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D699">
      <w:pPr>
        <w:adjustRightInd w:val="0"/>
        <w:snapToGrid w:val="0"/>
        <w:spacing w:line="580" w:lineRule="exact"/>
        <w:ind w:firstLine="0" w:firstLineChars="0"/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</w:rPr>
        <w:t>附</w:t>
      </w:r>
      <w:r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  <w:lang w:val="en-US" w:eastAsia="zh-CN"/>
        </w:rPr>
        <w:t>件3</w:t>
      </w:r>
    </w:p>
    <w:p w14:paraId="78FF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2026年集中式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highlight w:val="none"/>
          <w:lang w:val="en-US" w:eastAsia="zh-CN"/>
        </w:rPr>
        <w:t>光伏发电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项目评审标准</w:t>
      </w:r>
    </w:p>
    <w:p w14:paraId="4BC09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98"/>
        <w:gridCol w:w="10552"/>
      </w:tblGrid>
      <w:tr w14:paraId="7880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315" w:type="pct"/>
            <w:vAlign w:val="center"/>
          </w:tcPr>
          <w:p w14:paraId="57D94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616" w:type="pct"/>
            <w:vAlign w:val="center"/>
          </w:tcPr>
          <w:p w14:paraId="7FC98E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评审内容</w:t>
            </w:r>
          </w:p>
        </w:tc>
        <w:tc>
          <w:tcPr>
            <w:tcW w:w="4068" w:type="pct"/>
            <w:vAlign w:val="center"/>
          </w:tcPr>
          <w:p w14:paraId="0D3BF00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-160" w:leftChars="-50" w:right="-160" w:rightChars="-50" w:firstLine="0" w:firstLineChars="0"/>
              <w:jc w:val="center"/>
              <w:rPr>
                <w:rFonts w:hint="eastAsia" w:ascii="黑体" w:hAnsi="黑体" w:eastAsia="楷体_GB2312" w:cs="黑体"/>
                <w:bCs/>
                <w:snapToGrid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评审标准</w:t>
            </w:r>
          </w:p>
        </w:tc>
      </w:tr>
      <w:tr w14:paraId="3360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15" w:type="pct"/>
            <w:vAlign w:val="center"/>
          </w:tcPr>
          <w:p w14:paraId="5B7546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616" w:type="pct"/>
            <w:vAlign w:val="center"/>
          </w:tcPr>
          <w:p w14:paraId="6F400F0B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-160" w:leftChars="-50" w:right="-160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前期工作</w:t>
            </w:r>
          </w:p>
          <w:p w14:paraId="5B1F3D3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-160" w:leftChars="-50" w:right="-160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/>
              </w:rPr>
              <w:t>分）</w:t>
            </w:r>
          </w:p>
        </w:tc>
        <w:tc>
          <w:tcPr>
            <w:tcW w:w="4068" w:type="pct"/>
            <w:vAlign w:val="center"/>
          </w:tcPr>
          <w:p w14:paraId="71DFD9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u w:val="none"/>
                <w:lang w:val="en-US" w:eastAsia="zh-CN"/>
              </w:rPr>
              <w:t>支持开发企业进一步深化前期工作，根据项目工作深度得分。取得环境影响评价批复、水土保持方案批复、地质灾害评估报告审查意见、压覆重要矿产资源查询结果表、社会稳定风险评估评审备案、用地（用海）预审、用地（用海）租赁合同（明确租金和支付方式）、支付租金凭证、防洪评价批复（如涉及）等支持性材料的，每取得一项得5分，最高得40分。</w:t>
            </w:r>
          </w:p>
        </w:tc>
      </w:tr>
      <w:tr w14:paraId="0C5C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15" w:type="pct"/>
            <w:vAlign w:val="center"/>
          </w:tcPr>
          <w:p w14:paraId="09BAA0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616" w:type="pct"/>
            <w:vAlign w:val="center"/>
          </w:tcPr>
          <w:p w14:paraId="2DFB05B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-160" w:leftChars="-50" w:right="-160" w:rightChars="-50" w:firstLine="0" w:firstLineChars="0"/>
              <w:jc w:val="center"/>
              <w:rPr>
                <w:rFonts w:hint="default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集成发展</w:t>
            </w:r>
          </w:p>
          <w:p w14:paraId="3128845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-160" w:leftChars="-50" w:right="-160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/>
              </w:rPr>
              <w:t>分）</w:t>
            </w:r>
          </w:p>
        </w:tc>
        <w:tc>
          <w:tcPr>
            <w:tcW w:w="4068" w:type="pct"/>
            <w:vAlign w:val="center"/>
          </w:tcPr>
          <w:p w14:paraId="754F7A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u w:val="none"/>
                <w:lang w:val="en-US" w:eastAsia="zh-CN"/>
              </w:rPr>
              <w:t>支持光伏发电与油气、煤炭、煤电、储能、氢能等多能源品种一体化开发，与交通、设施农业、采煤塌陷地治理、</w:t>
            </w:r>
            <w:r>
              <w:rPr>
                <w:rFonts w:hint="eastAsia" w:ascii="仿宋_GB2312" w:hAnsi="仿宋_GB2312" w:cs="仿宋_GB2312"/>
                <w:snapToGrid/>
                <w:kern w:val="2"/>
                <w:sz w:val="24"/>
                <w:szCs w:val="24"/>
                <w:u w:val="none"/>
                <w:lang w:val="en-US" w:eastAsia="zh-CN"/>
              </w:rPr>
              <w:t>生态环境保护、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u w:val="none"/>
                <w:lang w:val="en-US" w:eastAsia="zh-CN"/>
              </w:rPr>
              <w:t>产业等领域深度融合，开发企业针对项目实际情况和所在地资源禀赋，编制集成融合发展方案，取得相应支持性材料。对光伏发电与其他领域集成融合发展匹配度进行综合评价，视情况得0-</w:t>
            </w:r>
            <w:r>
              <w:rPr>
                <w:rFonts w:hint="eastAsia" w:ascii="仿宋_GB2312" w:hAnsi="仿宋_GB2312" w:cs="仿宋_GB2312"/>
                <w:snapToGrid/>
                <w:kern w:val="2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u w:val="none"/>
                <w:lang w:val="en-US" w:eastAsia="zh-CN"/>
              </w:rPr>
              <w:t>分。</w:t>
            </w:r>
          </w:p>
        </w:tc>
      </w:tr>
      <w:tr w14:paraId="218F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15" w:type="pct"/>
            <w:vMerge w:val="restart"/>
            <w:vAlign w:val="center"/>
          </w:tcPr>
          <w:p w14:paraId="57DE9B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16" w:type="pct"/>
            <w:vMerge w:val="restart"/>
            <w:vAlign w:val="center"/>
          </w:tcPr>
          <w:p w14:paraId="50B01620">
            <w:pPr>
              <w:pStyle w:val="4"/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u w:val="none"/>
                <w:lang w:val="zh-CN"/>
              </w:rPr>
              <w:t>建设方案</w:t>
            </w:r>
          </w:p>
          <w:p w14:paraId="59A2459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-160" w:leftChars="-50" w:right="-160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u w:val="none"/>
                <w:lang w:val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u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napToGrid/>
                <w:sz w:val="24"/>
                <w:szCs w:val="24"/>
                <w:u w:val="none"/>
                <w:lang w:val="zh-CN"/>
              </w:rPr>
              <w:t>分）</w:t>
            </w:r>
          </w:p>
        </w:tc>
        <w:tc>
          <w:tcPr>
            <w:tcW w:w="4068" w:type="pct"/>
            <w:vAlign w:val="center"/>
          </w:tcPr>
          <w:p w14:paraId="47512893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开发建设方案内容完善，深度满足光伏项目行业技术标准规范。对开发建设方案完善度进行综合评价，视情况得0-5分。</w:t>
            </w:r>
          </w:p>
        </w:tc>
      </w:tr>
      <w:tr w14:paraId="2F22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15" w:type="pct"/>
            <w:vMerge w:val="continue"/>
            <w:vAlign w:val="center"/>
          </w:tcPr>
          <w:p w14:paraId="7C759B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" w:type="pct"/>
            <w:vMerge w:val="continue"/>
            <w:vAlign w:val="center"/>
          </w:tcPr>
          <w:p w14:paraId="1536859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-160" w:leftChars="-50" w:right="-160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4068" w:type="pct"/>
            <w:vAlign w:val="center"/>
          </w:tcPr>
          <w:p w14:paraId="22A78CD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支持开发企业优化场区布局，科学合理排布。对布局方式、装机规模和用地（用海）面积充裕度和集约节约用地等方面进行综合评价，视情况得0-10分。</w:t>
            </w:r>
          </w:p>
        </w:tc>
      </w:tr>
      <w:tr w14:paraId="7FBC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15" w:type="pct"/>
            <w:vMerge w:val="continue"/>
            <w:vAlign w:val="center"/>
          </w:tcPr>
          <w:p w14:paraId="2BDD89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616" w:type="pct"/>
            <w:vMerge w:val="continue"/>
            <w:vAlign w:val="center"/>
          </w:tcPr>
          <w:p w14:paraId="4DE8AA6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-160" w:leftChars="-50" w:right="-160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4068" w:type="pct"/>
            <w:vAlign w:val="center"/>
          </w:tcPr>
          <w:p w14:paraId="0E51EE5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光伏组件光电转换效率不低于22.3%，鼓励开发企业优先选用钙钛矿、异质结、BC等先进光伏组件设备，提升光伏发电效率和系统可靠性。支持通过自愿配置储能设施，提高项目自主调节能力。对项目设备选型、系统效率、发电出力等方面的科学性、合理性进行综合评价，视情况得0-10分。</w:t>
            </w:r>
          </w:p>
        </w:tc>
      </w:tr>
      <w:tr w14:paraId="59C4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15" w:type="pct"/>
            <w:vMerge w:val="continue"/>
            <w:vAlign w:val="center"/>
          </w:tcPr>
          <w:p w14:paraId="5F24B9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616" w:type="pct"/>
            <w:vMerge w:val="continue"/>
            <w:vAlign w:val="center"/>
          </w:tcPr>
          <w:p w14:paraId="3A49BA6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-160" w:leftChars="-50" w:right="-160" w:rightChars="-5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zh-CN"/>
              </w:rPr>
            </w:pPr>
          </w:p>
        </w:tc>
        <w:tc>
          <w:tcPr>
            <w:tcW w:w="4068" w:type="pct"/>
            <w:vAlign w:val="center"/>
          </w:tcPr>
          <w:p w14:paraId="3756C73E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开发企业要结合新能源上网电价市场化改革政策，合理预测利用率和电价水平，科学开展经济性测算。对项目利用率、电价水平和收益率等方面进行综合评价，视情况得0-10分。</w:t>
            </w:r>
          </w:p>
        </w:tc>
      </w:tr>
      <w:tr w14:paraId="2AA4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15" w:type="pct"/>
            <w:vAlign w:val="center"/>
          </w:tcPr>
          <w:p w14:paraId="70537D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16" w:type="pct"/>
            <w:vAlign w:val="center"/>
          </w:tcPr>
          <w:p w14:paraId="5E03B281"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zh-CN" w:eastAsia="zh-CN"/>
              </w:rPr>
              <w:t>奖优罚劣</w:t>
            </w:r>
          </w:p>
          <w:p w14:paraId="438D2D72">
            <w:pPr>
              <w:pStyle w:val="4"/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zh-C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满分5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zh-CN" w:eastAsia="zh-CN"/>
              </w:rPr>
              <w:t>分）</w:t>
            </w:r>
          </w:p>
        </w:tc>
        <w:tc>
          <w:tcPr>
            <w:tcW w:w="4068" w:type="pct"/>
            <w:vAlign w:val="center"/>
          </w:tcPr>
          <w:p w14:paraId="4C58437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4"/>
                <w:szCs w:val="24"/>
                <w:u w:val="none"/>
                <w:lang w:val="en-US" w:eastAsia="zh-CN"/>
              </w:rPr>
              <w:t>以全省“十四五”期间市场化光伏发电项目建成并网率为基准，依据项目所属驻鲁最高一级企业所有项目建成并网情况进行赋分。低于全省平均水平的，视情况得0-2分；高于全省平均水平的，视情况得3-5分；首次申报的，得2分。</w:t>
            </w:r>
          </w:p>
        </w:tc>
      </w:tr>
    </w:tbl>
    <w:p w14:paraId="7E8E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8B1770-1AF3-4E88-8267-07B0C1ECB8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5B0482-159E-445F-8782-29896EF2A4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1332EC-C7EE-48CD-B922-A41E9C82EE7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442FE1A-4D71-49A2-863A-3B13BC46A6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D2559F7-9B36-4EB4-8EC2-913D0A90B0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385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2C6F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2C6F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A34B8"/>
    <w:rsid w:val="158B3A59"/>
    <w:rsid w:val="20194AB6"/>
    <w:rsid w:val="262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99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qFormat/>
    <w:uiPriority w:val="99"/>
    <w:pPr>
      <w:widowControl/>
      <w:snapToGrid w:val="0"/>
      <w:ind w:firstLine="360"/>
      <w:jc w:val="left"/>
    </w:pPr>
    <w:rPr>
      <w:rFonts w:asciiTheme="minorHAnsi" w:hAnsiTheme="minorHAnsi" w:eastAsiaTheme="minorEastAsia" w:cstheme="minorBidi"/>
      <w:kern w:val="0"/>
      <w:sz w:val="18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2026-03-18T09:23:00Z</dcterms:created>
  <dc:creator>木白木易</dc:creator>
  <cp:lastModifiedBy>木白木易</cp:lastModifiedBy>
  <dcterms:modified xsi:type="dcterms:W3CDTF">2026-03-18T09:24:07Z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4FCD729D55C2499E8A096FEAB2CE1806_13</vt:lpwstr>
  </property>
  <property fmtid="{D5CDD505-2E9C-101B-9397-08002B2CF9AE}" pid="4" name="KSOTemplateDocerSaveRecord">
    <vt:lpwstr>eyJoZGlkIjoiYzYyYzQ1MzQ1YWMyMTAxNWZhY2M1NWE3ZDZlOTAxOWMiLCJ1c2VySWQiOiIyMzQ0NTI3NzgifQ==</vt:lpwstr>
  </property>
</Properties>
</file>