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BF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件1</w:t>
      </w:r>
    </w:p>
    <w:p w14:paraId="5E0B1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F90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2026年集中式光伏发电项目申报材料清单</w:t>
      </w:r>
    </w:p>
    <w:p w14:paraId="40618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color w:val="auto"/>
          <w:kern w:val="0"/>
          <w:sz w:val="32"/>
          <w:szCs w:val="32"/>
          <w:highlight w:val="none"/>
        </w:rPr>
      </w:pPr>
    </w:p>
    <w:p w14:paraId="1F65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1.项目开发建设方案。包括但不限于项目选址、容配比选择、规模与用地面积匹配度、设备选型、系统效率、并网时间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、消纳模式、经济性测算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和集成融合发展方式等。</w:t>
      </w:r>
    </w:p>
    <w:p w14:paraId="2D77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2.光伏方阵大地2000坐标系shp格式矢量坐标。</w:t>
      </w:r>
    </w:p>
    <w:p w14:paraId="5B78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.县级自然资源部门（海洋部门）需针对项目选址坐标出具，包括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项目用地（用海）范围、用地（用海）面积、土地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分类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或海域功能分类，并说明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项目选址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符合国土空间规划、相关用地（用海）政策和“三区三线”管控要求，不涉及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国家、省相关法律法规或规划明确禁止的区域，明确原则同意该项目建设的意见文件。利用</w:t>
      </w:r>
      <w:r>
        <w:rPr>
          <w:rFonts w:hint="eastAsia" w:ascii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建筑物及其附属设施的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，须提供</w:t>
      </w:r>
      <w:r>
        <w:rPr>
          <w:rFonts w:hint="eastAsia" w:ascii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建筑物及其附属设施的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不动产权证</w:t>
      </w:r>
      <w:r>
        <w:rPr>
          <w:rFonts w:hint="eastAsia" w:ascii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（或土地证）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和合作开发协议。</w:t>
      </w:r>
    </w:p>
    <w:p w14:paraId="22D78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.涉及水利设施的，县级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水利（水务）部门</w:t>
      </w:r>
      <w:r>
        <w:rPr>
          <w:rFonts w:hint="eastAsia" w:ascii="仿宋_GB2312" w:hAnsi="Times New Roman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河务部门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需针对项目选址坐标出具，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项目符合《水利部关于加强河湖水域岸线空间管控的指导意见》（水河湖〔2022〕216号）有关要求，不对水利设施造成影响，原则同意该项目建设的意见文件。</w:t>
      </w:r>
    </w:p>
    <w:p w14:paraId="6B25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县级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文旅部门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需针对项目选址坐标出具，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项目选址不涉及文物，原则同意该项目建设的意见文件。</w:t>
      </w:r>
    </w:p>
    <w:p w14:paraId="1C060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县级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军事部门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需针对项目选址坐标出具，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项目选址不涉及军事设施，原则同意该项目建设的意见文件。</w:t>
      </w:r>
    </w:p>
    <w:p w14:paraId="05935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.县级生态环境部门需针对项目选址坐标出具，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项目符合有关生态环境政策，原则同意该项目建设的意见文件。</w:t>
      </w:r>
    </w:p>
    <w:p w14:paraId="4C1A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.县级交通运输部门需针对项目选址坐标出具，</w:t>
      </w:r>
      <w:r>
        <w:rPr>
          <w:rFonts w:hint="eastAsia" w:ascii="仿宋_GB2312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项目对在运或规划的交通设施无影响，原则同意该项目建设的意见文件。</w:t>
      </w:r>
    </w:p>
    <w:p w14:paraId="2772A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eastAsia="仿宋_GB2312"/>
          <w:snapToGrid w:val="0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</w:rPr>
        <w:t>县级人民政府出具的关于项目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有关情况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</w:rPr>
        <w:t>的说明。</w:t>
      </w:r>
    </w:p>
    <w:p w14:paraId="6DA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.项目承诺书。</w:t>
      </w:r>
    </w:p>
    <w:p w14:paraId="56B89BBB">
      <w:pPr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</w:rPr>
        <w:t>市级能源主管部门出具的符合当地能源发展有关规划的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说明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</w:rPr>
        <w:t>文件。</w:t>
      </w:r>
    </w:p>
    <w:p w14:paraId="7CBF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以上相关支持性文件原则上应不早于2025年，如出具时间较早，须由原部门作出合法有效的补充说明。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B49A0-177B-4844-8AF5-E094EBF0AD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7A9F93-86AD-4305-92BA-8BB9C543F5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FE9DA28-28FF-45BE-ABA2-79C130E9BF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AEB9575-FC92-4D74-A65B-722CFC4717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07D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25B70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52"/>
                              <w:lang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25B70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52"/>
                        <w:lang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909B2"/>
    <w:rsid w:val="03C17B39"/>
    <w:rsid w:val="158B3A59"/>
    <w:rsid w:val="646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2026-03-18T09:22:00Z</dcterms:created>
  <dc:creator>木白木易</dc:creator>
  <cp:lastModifiedBy>木白木易</cp:lastModifiedBy>
  <dcterms:modified xsi:type="dcterms:W3CDTF">2026-03-18T09:23:02Z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4222AE8C16D243AD97D87A729B1293BD_11</vt:lpwstr>
  </property>
  <property fmtid="{D5CDD505-2E9C-101B-9397-08002B2CF9AE}" pid="4" name="KSOTemplateDocerSaveRecord">
    <vt:lpwstr>eyJoZGlkIjoiYzYyYzQ1MzQ1YWMyMTAxNWZhY2M1NWE3ZDZlOTAxOWMiLCJ1c2VySWQiOiIyMzQ0NTI3NzgifQ==</vt:lpwstr>
  </property>
</Properties>
</file>