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山东省能源局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ascii="仿宋_GB2312" w:hAnsi="sans-serif" w:eastAsia="仿宋_GB2312" w:cs="仿宋_GB2312"/>
          <w:i w:val="0"/>
          <w:caps w:val="0"/>
          <w:color w:val="000000"/>
          <w:spacing w:val="0"/>
          <w:sz w:val="32"/>
          <w:szCs w:val="32"/>
          <w:shd w:val="clear" w:fill="FFFFFF"/>
        </w:rPr>
      </w:pPr>
      <w:r>
        <w:rPr>
          <w:rFonts w:hint="eastAsia" w:ascii="方正小标宋简体" w:hAnsi="方正小标宋简体" w:eastAsia="方正小标宋简体" w:cs="方正小标宋简体"/>
          <w:i w:val="0"/>
          <w:caps w:val="0"/>
          <w:color w:val="000000"/>
          <w:spacing w:val="0"/>
          <w:sz w:val="44"/>
          <w:szCs w:val="44"/>
          <w:shd w:val="clear" w:fill="FFFFFF"/>
        </w:rPr>
        <w:t>2020年政府信息公开工作年度报告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08"/>
        <w:jc w:val="both"/>
        <w:textAlignment w:val="auto"/>
        <w:rPr>
          <w:rFonts w:ascii="仿宋_GB2312" w:hAnsi="sans-serif" w:eastAsia="仿宋_GB2312" w:cs="仿宋_GB2312"/>
          <w:i w:val="0"/>
          <w:caps w:val="0"/>
          <w:color w:val="000000"/>
          <w:spacing w:val="0"/>
          <w:sz w:val="32"/>
          <w:szCs w:val="32"/>
          <w:shd w:val="clear" w:fill="FFFFFF"/>
        </w:rPr>
      </w:pPr>
      <w:r>
        <w:rPr>
          <w:rFonts w:ascii="仿宋_GB2312" w:hAnsi="sans-serif" w:eastAsia="仿宋_GB2312" w:cs="仿宋_GB2312"/>
          <w:i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sans-serif" w:hAnsi="sans-serif" w:eastAsia="sans-serif" w:cs="sans-serif"/>
          <w:i w:val="0"/>
          <w:caps w:val="0"/>
          <w:color w:val="000000"/>
          <w:spacing w:val="0"/>
          <w:sz w:val="32"/>
          <w:szCs w:val="32"/>
        </w:rPr>
      </w:pPr>
      <w:r>
        <w:rPr>
          <w:rFonts w:ascii="仿宋_GB2312" w:hAnsi="sans-serif" w:eastAsia="仿宋_GB2312" w:cs="仿宋_GB2312"/>
          <w:i w:val="0"/>
          <w:caps w:val="0"/>
          <w:color w:val="000000"/>
          <w:spacing w:val="0"/>
          <w:sz w:val="32"/>
          <w:szCs w:val="32"/>
          <w:shd w:val="clear" w:fill="FFFFFF"/>
        </w:rPr>
        <w:t>根据《中华人民共和国政府信息公开条例》（国务院令第</w:t>
      </w:r>
      <w:r>
        <w:rPr>
          <w:rFonts w:hint="eastAsia" w:ascii="仿宋_GB2312" w:hAnsi="sans-serif" w:eastAsia="仿宋_GB2312" w:cs="仿宋_GB2312"/>
          <w:i w:val="0"/>
          <w:caps w:val="0"/>
          <w:color w:val="000000"/>
          <w:spacing w:val="0"/>
          <w:sz w:val="32"/>
          <w:szCs w:val="32"/>
          <w:shd w:val="clear" w:fill="FFFFFF"/>
        </w:rPr>
        <w:t>711号）、《山东省政府信息公开办法》（省政府令第225号）和《国务院办公厅政府信息与政务公开办公室关于政府信息公开工作年度报告有关事项的通知》(国办公开办函〔2019〕60号)要求，现公布山东省能源局2020年政府信息公开工作年度报告。本报告包括总体情况、主动公开政府信息情况、收到和处理政府信息公开申请情况、政府信息公开行政复议和行政诉讼情况、存在的主要问题及改进情况、其他需要报告的事项等六部分。本年度报告中所列数据统计期限为2020年1月1日起至2020年12月31日止。报告电子版可从山东省能源局门户网站（http://nyj.shandong.gov.cn）下载。如对本报告有疑问，请与山东省能源局办公室联系（地址：济南市市中区旅游路28666号，电话：0531-68627717，传真：0531-85063512）。</w:t>
      </w:r>
    </w:p>
    <w:p>
      <w:pPr>
        <w:pStyle w:val="2"/>
        <w:keepNext w:val="0"/>
        <w:keepLines w:val="0"/>
        <w:widowControl/>
        <w:suppressLineNumbers w:val="0"/>
        <w:shd w:val="clear" w:fill="FFFFFF"/>
        <w:spacing w:before="0" w:beforeAutospacing="0" w:after="0" w:afterAutospacing="0" w:line="370" w:lineRule="atLeast"/>
        <w:ind w:left="0" w:right="0" w:firstLine="410"/>
        <w:jc w:val="both"/>
        <w:rPr>
          <w:rFonts w:hint="default" w:ascii="sans-serif" w:hAnsi="sans-serif" w:eastAsia="sans-serif" w:cs="sans-serif"/>
          <w:i w:val="0"/>
          <w:caps w:val="0"/>
          <w:color w:val="000000"/>
          <w:spacing w:val="0"/>
          <w:sz w:val="32"/>
          <w:szCs w:val="32"/>
        </w:rPr>
      </w:pPr>
      <w:r>
        <w:rPr>
          <w:rFonts w:ascii="黑体" w:hAnsi="宋体" w:eastAsia="黑体" w:cs="黑体"/>
          <w:i w:val="0"/>
          <w:caps w:val="0"/>
          <w:color w:val="000000"/>
          <w:spacing w:val="0"/>
          <w:sz w:val="32"/>
          <w:szCs w:val="32"/>
          <w:shd w:val="clear" w:fill="FFFFFF"/>
        </w:rPr>
        <w:t>一、总体情况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shd w:val="clear" w:fill="FFFFFF"/>
        </w:rPr>
        <w:t>2020年，省能源局认真落实省委、省政府关于全面推进政务公开工作的系列决策部署，紧紧围绕全省能源中心工作及群众关注关切，持续做好信息发布、政策解读、政民互动、平台建设等工作，以公开促落实、强规范、优服务，全面提升政务公开质量和实效。一是强化组织领导。印发了《2020</w:t>
      </w:r>
      <w:r>
        <w:rPr>
          <w:rFonts w:hint="eastAsia" w:ascii="仿宋_GB2312" w:hAnsi="sans-serif" w:eastAsia="仿宋_GB2312" w:cs="仿宋_GB2312"/>
          <w:i w:val="0"/>
          <w:caps w:val="0"/>
          <w:color w:val="000000"/>
          <w:spacing w:val="0"/>
          <w:sz w:val="32"/>
          <w:szCs w:val="32"/>
          <w:shd w:val="clear" w:fill="FFFFFF"/>
        </w:rPr>
        <w:t>年政务公开工作要点》，明确各处室、单位目标任务和责任分工，细化工作措施，确保政务公开工作顺利推进。坚持全员抓公开，各处室、单位明确专人负责，办公室加强督查督办，及时督促各处室、单位积极主动公开政府信息，扎实做好政务公开工作。</w:t>
      </w:r>
      <w:r>
        <w:rPr>
          <w:rFonts w:hint="eastAsia" w:ascii="楷体_GB2312" w:hAnsi="sans-serif" w:eastAsia="楷体_GB2312" w:cs="楷体_GB2312"/>
          <w:i w:val="0"/>
          <w:caps w:val="0"/>
          <w:color w:val="000000"/>
          <w:spacing w:val="0"/>
          <w:sz w:val="32"/>
          <w:szCs w:val="32"/>
          <w:shd w:val="clear" w:fill="FFFFFF"/>
        </w:rPr>
        <w:t>二是加大重点领域信息公开。</w:t>
      </w:r>
      <w:r>
        <w:rPr>
          <w:rFonts w:hint="eastAsia" w:ascii="仿宋_GB2312" w:hAnsi="sans-serif" w:eastAsia="仿宋_GB2312" w:cs="仿宋_GB2312"/>
          <w:i w:val="0"/>
          <w:caps w:val="0"/>
          <w:color w:val="000000"/>
          <w:spacing w:val="0"/>
          <w:sz w:val="32"/>
          <w:szCs w:val="32"/>
          <w:shd w:val="clear" w:fill="FFFFFF"/>
        </w:rPr>
        <w:t>聚焦“八大发展战略”“重点工作攻坚年”等重大决策部署和全省能源发展重点工作，不断加大能源结构调整、能源供应保障、防范化解重大风险等领域信息公开力度。先后通过局门户网站发布各类信息440余条，利用省能源局微信公众号、政务微博等渠道发布消息290余条，参加3次省政府新闻发布会，主动向社会介绍氢能产业发展、能源结构调整等改革发展成效，扩大政务公开范围和影响力。</w:t>
      </w:r>
      <w:r>
        <w:rPr>
          <w:rFonts w:hint="eastAsia" w:ascii="楷体_GB2312" w:hAnsi="sans-serif" w:eastAsia="楷体_GB2312" w:cs="楷体_GB2312"/>
          <w:i w:val="0"/>
          <w:caps w:val="0"/>
          <w:color w:val="000000"/>
          <w:spacing w:val="0"/>
          <w:sz w:val="32"/>
          <w:szCs w:val="32"/>
          <w:shd w:val="clear" w:fill="FFFFFF"/>
        </w:rPr>
        <w:t>三是规范政府信息依申请公开。</w:t>
      </w:r>
      <w:r>
        <w:rPr>
          <w:rFonts w:hint="eastAsia" w:ascii="仿宋_GB2312" w:hAnsi="sans-serif" w:eastAsia="仿宋_GB2312" w:cs="仿宋_GB2312"/>
          <w:i w:val="0"/>
          <w:caps w:val="0"/>
          <w:color w:val="000000"/>
          <w:spacing w:val="0"/>
          <w:sz w:val="32"/>
          <w:szCs w:val="32"/>
          <w:shd w:val="clear" w:fill="FFFFFF"/>
        </w:rPr>
        <w:t>健全政府信息依申请公开受理、答复机制，及时更新调整依申请公开指南和目录，扎实做好线下、网上依申请公开工作，及时公布申请受理情况和办理结果。今年以来，共受理政府信息公开申请10件，已全部依法依规及时答复，主要涉及压煤村庄搬迁、能源政策信息等，办结率100%。</w:t>
      </w:r>
      <w:r>
        <w:rPr>
          <w:rFonts w:hint="eastAsia" w:ascii="楷体_GB2312" w:hAnsi="sans-serif" w:eastAsia="楷体_GB2312" w:cs="楷体_GB2312"/>
          <w:i w:val="0"/>
          <w:caps w:val="0"/>
          <w:color w:val="000000"/>
          <w:spacing w:val="0"/>
          <w:sz w:val="32"/>
          <w:szCs w:val="32"/>
          <w:shd w:val="clear" w:fill="FFFFFF"/>
        </w:rPr>
        <w:t>四是加强政府信息管理。</w:t>
      </w:r>
      <w:r>
        <w:rPr>
          <w:rFonts w:hint="eastAsia" w:ascii="仿宋_GB2312" w:hAnsi="sans-serif" w:eastAsia="仿宋_GB2312" w:cs="仿宋_GB2312"/>
          <w:i w:val="0"/>
          <w:caps w:val="0"/>
          <w:color w:val="000000"/>
          <w:spacing w:val="0"/>
          <w:sz w:val="32"/>
          <w:szCs w:val="32"/>
          <w:shd w:val="clear" w:fill="FFFFFF"/>
        </w:rPr>
        <w:t>严格规范政府信息公开属性认定，拟制公文时明确公开属性，随公文一同报批。及时更新公开指南，修订完善并发布主动公开目录，涉及11项30条，逐项明确公开时限、方式及责任处室等，不断扩大政府信息主动公开。对本部门出台重要政策文件，实行文件和解读稿同步起草、同步报批、同步发布，提高政策解读的精准性和针对性。</w:t>
      </w:r>
      <w:r>
        <w:rPr>
          <w:rFonts w:hint="eastAsia" w:ascii="楷体" w:hAnsi="楷体" w:eastAsia="楷体" w:cs="楷体"/>
          <w:i w:val="0"/>
          <w:caps w:val="0"/>
          <w:color w:val="000000"/>
          <w:spacing w:val="0"/>
          <w:sz w:val="32"/>
          <w:szCs w:val="32"/>
          <w:shd w:val="clear" w:fill="FFFFFF"/>
        </w:rPr>
        <w:t>五是做好人大代表建议和政协委员提案办理结果公开。</w:t>
      </w:r>
      <w:r>
        <w:rPr>
          <w:rFonts w:ascii="仿宋" w:hAnsi="仿宋" w:eastAsia="仿宋" w:cs="仿宋"/>
          <w:i w:val="0"/>
          <w:caps w:val="0"/>
          <w:color w:val="333333"/>
          <w:spacing w:val="0"/>
          <w:sz w:val="32"/>
          <w:szCs w:val="32"/>
          <w:shd w:val="clear" w:fill="FFFFFF"/>
        </w:rPr>
        <w:t>2020年，我局共办理人大代表建议、政协委员提案48件，其中人大代表建议27件，政协委员提案21件。办理的建议提案中34件属于依申请公开件，根据有关规定，未在网站公开发布；其余14件的办理情况，已在我局门户网站予以公布。2020年，我局承办的建议提案办理满意率为100%。</w:t>
      </w:r>
      <w:r>
        <w:rPr>
          <w:rFonts w:hint="eastAsia" w:ascii="楷体_GB2312" w:hAnsi="sans-serif" w:eastAsia="楷体_GB2312" w:cs="楷体_GB2312"/>
          <w:i w:val="0"/>
          <w:caps w:val="0"/>
          <w:color w:val="000000"/>
          <w:spacing w:val="0"/>
          <w:sz w:val="32"/>
          <w:szCs w:val="32"/>
          <w:shd w:val="clear" w:fill="FFFFFF"/>
        </w:rPr>
        <w:t>五是统筹信息平台建设。</w:t>
      </w:r>
      <w:r>
        <w:rPr>
          <w:rFonts w:hint="eastAsia" w:ascii="仿宋_GB2312" w:hAnsi="sans-serif" w:eastAsia="仿宋_GB2312" w:cs="仿宋_GB2312"/>
          <w:i w:val="0"/>
          <w:caps w:val="0"/>
          <w:color w:val="000000"/>
          <w:spacing w:val="0"/>
          <w:sz w:val="32"/>
          <w:szCs w:val="32"/>
          <w:shd w:val="clear" w:fill="FFFFFF"/>
        </w:rPr>
        <w:t>健全完善政府信息公开专栏，设立“政府信息公开指南”“政府信息公开制度”“法定主动公开内容”“政府信息公开工作年度报告”四个子栏目，并重点做好局门户网站重点领域信息公开、政策解读、公众参与、建议提案办理等专栏建设和内容维护，聚焦法定主动公开内容，创新政务公开多元展现模式。</w:t>
      </w:r>
    </w:p>
    <w:p>
      <w:pPr>
        <w:pStyle w:val="2"/>
        <w:keepNext w:val="0"/>
        <w:keepLines w:val="0"/>
        <w:widowControl/>
        <w:suppressLineNumbers w:val="0"/>
        <w:shd w:val="clear" w:fill="FFFFFF"/>
        <w:spacing w:before="0" w:beforeAutospacing="0" w:after="0" w:afterAutospacing="0" w:line="370" w:lineRule="atLeast"/>
        <w:ind w:right="0"/>
        <w:jc w:val="both"/>
        <w:rPr>
          <w:rFonts w:hint="default" w:ascii="sans-serif" w:hAnsi="sans-serif" w:eastAsia="sans-serif" w:cs="sans-serif"/>
          <w:i w:val="0"/>
          <w:caps w:val="0"/>
          <w:color w:val="000000"/>
          <w:spacing w:val="0"/>
          <w:sz w:val="32"/>
          <w:szCs w:val="32"/>
        </w:rPr>
      </w:pPr>
      <w:r>
        <w:drawing>
          <wp:inline distT="0" distB="0" distL="114300" distR="114300">
            <wp:extent cx="5268595" cy="3867785"/>
            <wp:effectExtent l="0" t="0" r="190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68595" cy="3867785"/>
                    </a:xfrm>
                    <a:prstGeom prst="rect">
                      <a:avLst/>
                    </a:prstGeom>
                    <a:noFill/>
                    <a:ln>
                      <a:noFill/>
                    </a:ln>
                  </pic:spPr>
                </pic:pic>
              </a:graphicData>
            </a:graphic>
          </wp:inline>
        </w:drawing>
      </w:r>
    </w:p>
    <w:p>
      <w:pPr>
        <w:pStyle w:val="2"/>
        <w:keepNext w:val="0"/>
        <w:keepLines w:val="0"/>
        <w:widowControl/>
        <w:suppressLineNumbers w:val="0"/>
        <w:shd w:val="clear" w:fill="FFFFFF"/>
        <w:spacing w:before="0" w:beforeAutospacing="0" w:after="0" w:afterAutospacing="0" w:line="370" w:lineRule="atLeast"/>
        <w:ind w:left="0" w:right="0" w:firstLine="430"/>
        <w:jc w:val="both"/>
        <w:rPr>
          <w:rFonts w:hint="default" w:ascii="sans-serif" w:hAnsi="sans-serif" w:eastAsia="sans-serif" w:cs="sans-serif"/>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二、监督保障情况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rPr>
        <w:t>局党组高度重视政务公开工作，局主要负责同志多次就政务公开工作作出批示要求，对政务公开重大问题亲自研究调度。</w:t>
      </w:r>
      <w:r>
        <w:rPr>
          <w:rFonts w:hint="eastAsia" w:ascii="仿宋_GB2312" w:hAnsi="sans-serif" w:eastAsia="仿宋_GB2312" w:cs="仿宋_GB2312"/>
          <w:i w:val="0"/>
          <w:caps w:val="0"/>
          <w:color w:val="333333"/>
          <w:spacing w:val="0"/>
          <w:sz w:val="32"/>
          <w:szCs w:val="32"/>
        </w:rPr>
        <w:t>按照国家和我省对政务公开工作的新要求，研究制定了《2020年山东省能源局政务公开工作要点》，就会议公开、信息发布、政策解读、政民互动、平台建设等重点工作作出安排部署，并细化分工到责任处室（单位）。加大政务公开工作在年度考核评价体系中的权重，在分类考核指标中的权重不低于4%。</w:t>
      </w:r>
    </w:p>
    <w:p>
      <w:pPr>
        <w:pStyle w:val="2"/>
        <w:keepNext w:val="0"/>
        <w:keepLines w:val="0"/>
        <w:widowControl/>
        <w:suppressLineNumbers w:val="0"/>
        <w:shd w:val="clear" w:fill="FFFFFF"/>
        <w:spacing w:before="0" w:beforeAutospacing="0" w:after="0" w:afterAutospacing="0" w:line="370" w:lineRule="atLeast"/>
        <w:ind w:left="0" w:right="0" w:firstLine="430"/>
        <w:jc w:val="both"/>
        <w:rPr>
          <w:rFonts w:hint="default"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三、主动公开政府信息情况</w:t>
      </w:r>
    </w:p>
    <w:tbl>
      <w:tblPr>
        <w:tblW w:w="8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50"/>
        <w:gridCol w:w="10"/>
        <w:gridCol w:w="1826"/>
        <w:gridCol w:w="2243"/>
        <w:gridCol w:w="2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0" w:hRule="atLeast"/>
          <w:jc w:val="center"/>
        </w:trPr>
        <w:tc>
          <w:tcPr>
            <w:tcW w:w="8285" w:type="dxa"/>
            <w:gridSpan w:val="5"/>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信息内容</w:t>
            </w:r>
          </w:p>
        </w:tc>
        <w:tc>
          <w:tcPr>
            <w:tcW w:w="1836" w:type="dxa"/>
            <w:gridSpan w:val="2"/>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本年新制作数量</w:t>
            </w:r>
          </w:p>
        </w:tc>
        <w:tc>
          <w:tcPr>
            <w:tcW w:w="224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本年新公开数量</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规章</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224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规范性文件</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3</w:t>
            </w:r>
          </w:p>
        </w:tc>
        <w:tc>
          <w:tcPr>
            <w:tcW w:w="224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3</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8285" w:type="dxa"/>
            <w:gridSpan w:val="5"/>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信息内容</w:t>
            </w:r>
          </w:p>
        </w:tc>
        <w:tc>
          <w:tcPr>
            <w:tcW w:w="1836" w:type="dxa"/>
            <w:gridSpan w:val="2"/>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上一年项目数量</w:t>
            </w:r>
          </w:p>
        </w:tc>
        <w:tc>
          <w:tcPr>
            <w:tcW w:w="224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本年增/减</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行政许可</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8</w:t>
            </w:r>
          </w:p>
        </w:tc>
        <w:tc>
          <w:tcPr>
            <w:tcW w:w="224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+2</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其他对外管理服务事项</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22</w:t>
            </w:r>
          </w:p>
        </w:tc>
        <w:tc>
          <w:tcPr>
            <w:tcW w:w="224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8285" w:type="dxa"/>
            <w:gridSpan w:val="5"/>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信息内容</w:t>
            </w:r>
          </w:p>
        </w:tc>
        <w:tc>
          <w:tcPr>
            <w:tcW w:w="1836" w:type="dxa"/>
            <w:gridSpan w:val="2"/>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上一年项目数量</w:t>
            </w:r>
          </w:p>
        </w:tc>
        <w:tc>
          <w:tcPr>
            <w:tcW w:w="224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本年增/减</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行政处罚</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40</w:t>
            </w:r>
          </w:p>
        </w:tc>
        <w:tc>
          <w:tcPr>
            <w:tcW w:w="224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行政强制</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2</w:t>
            </w:r>
          </w:p>
        </w:tc>
        <w:tc>
          <w:tcPr>
            <w:tcW w:w="224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215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8285" w:type="dxa"/>
            <w:gridSpan w:val="5"/>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信息内容</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上一年项目数量</w:t>
            </w:r>
          </w:p>
        </w:tc>
        <w:tc>
          <w:tcPr>
            <w:tcW w:w="4399" w:type="dxa"/>
            <w:gridSpan w:val="2"/>
            <w:tcBorders>
              <w:top w:val="single" w:color="auto" w:sz="4" w:space="0"/>
              <w:left w:val="nil"/>
              <w:bottom w:val="single" w:color="auto" w:sz="4" w:space="0"/>
              <w:right w:val="single" w:color="000000"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jc w:val="center"/>
        </w:trPr>
        <w:tc>
          <w:tcPr>
            <w:tcW w:w="2050"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行政事业性收费</w:t>
            </w:r>
          </w:p>
        </w:tc>
        <w:tc>
          <w:tcPr>
            <w:tcW w:w="1836"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2</w:t>
            </w:r>
          </w:p>
        </w:tc>
        <w:tc>
          <w:tcPr>
            <w:tcW w:w="4399" w:type="dxa"/>
            <w:gridSpan w:val="2"/>
            <w:tcBorders>
              <w:top w:val="nil"/>
              <w:left w:val="nil"/>
              <w:bottom w:val="single" w:color="auto" w:sz="4" w:space="0"/>
              <w:right w:val="single" w:color="000000"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8285" w:type="dxa"/>
            <w:gridSpan w:val="5"/>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2060" w:type="dxa"/>
            <w:gridSpan w:val="2"/>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信息内容</w:t>
            </w:r>
          </w:p>
        </w:tc>
        <w:tc>
          <w:tcPr>
            <w:tcW w:w="18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采购项目数量</w:t>
            </w:r>
          </w:p>
        </w:tc>
        <w:tc>
          <w:tcPr>
            <w:tcW w:w="4399" w:type="dxa"/>
            <w:gridSpan w:val="2"/>
            <w:tcBorders>
              <w:top w:val="single" w:color="auto" w:sz="4" w:space="0"/>
              <w:left w:val="nil"/>
              <w:bottom w:val="single" w:color="auto" w:sz="4" w:space="0"/>
              <w:right w:val="single" w:color="000000"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2060" w:type="dxa"/>
            <w:gridSpan w:val="2"/>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政府集中采购</w:t>
            </w:r>
          </w:p>
        </w:tc>
        <w:tc>
          <w:tcPr>
            <w:tcW w:w="182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20</w:t>
            </w:r>
          </w:p>
        </w:tc>
        <w:tc>
          <w:tcPr>
            <w:tcW w:w="4399" w:type="dxa"/>
            <w:gridSpan w:val="2"/>
            <w:tcBorders>
              <w:top w:val="nil"/>
              <w:left w:val="nil"/>
              <w:bottom w:val="single" w:color="auto" w:sz="4" w:space="0"/>
              <w:right w:val="single" w:color="000000" w:sz="4" w:space="0"/>
            </w:tcBorders>
            <w:shd w:val="clear" w:color="auto" w:fill="FFFFFF"/>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210.68万元</w:t>
            </w:r>
          </w:p>
        </w:tc>
      </w:tr>
    </w:tbl>
    <w:p>
      <w:pPr>
        <w:pStyle w:val="2"/>
        <w:keepNext w:val="0"/>
        <w:keepLines w:val="0"/>
        <w:widowControl/>
        <w:suppressLineNumbers w:val="0"/>
        <w:shd w:val="clear" w:fill="FFFFFF"/>
        <w:spacing w:before="0" w:beforeAutospacing="0" w:after="0" w:afterAutospacing="0" w:line="370" w:lineRule="atLeast"/>
        <w:ind w:left="0" w:right="0" w:firstLine="430"/>
        <w:jc w:val="both"/>
        <w:rPr>
          <w:rFonts w:hint="default"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四、收到和处理政府信息公开申请情况</w:t>
      </w:r>
    </w:p>
    <w:tbl>
      <w:tblPr>
        <w:tblW w:w="81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0"/>
        <w:gridCol w:w="929"/>
        <w:gridCol w:w="1709"/>
        <w:gridCol w:w="653"/>
        <w:gridCol w:w="585"/>
        <w:gridCol w:w="772"/>
        <w:gridCol w:w="786"/>
        <w:gridCol w:w="657"/>
        <w:gridCol w:w="671"/>
        <w:gridCol w:w="8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8" w:hRule="atLeast"/>
          <w:jc w:val="center"/>
        </w:trPr>
        <w:tc>
          <w:tcPr>
            <w:tcW w:w="3218" w:type="dxa"/>
            <w:gridSpan w:val="3"/>
            <w:vMerge w:val="restart"/>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（本列数据的勾稽关系为：第一项加第二项之和，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等于第三项加第四项之和）</w:t>
            </w:r>
          </w:p>
        </w:tc>
        <w:tc>
          <w:tcPr>
            <w:tcW w:w="4952" w:type="dxa"/>
            <w:gridSpan w:val="7"/>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6" w:hRule="atLeast"/>
          <w:jc w:val="center"/>
        </w:trPr>
        <w:tc>
          <w:tcPr>
            <w:tcW w:w="3218"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653"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自然人</w:t>
            </w:r>
          </w:p>
        </w:tc>
        <w:tc>
          <w:tcPr>
            <w:tcW w:w="3471" w:type="dxa"/>
            <w:gridSpan w:val="5"/>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法人或其他组织</w:t>
            </w:r>
          </w:p>
        </w:tc>
        <w:tc>
          <w:tcPr>
            <w:tcW w:w="828"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3218"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653"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商业企业</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科研机构</w:t>
            </w:r>
          </w:p>
        </w:tc>
        <w:tc>
          <w:tcPr>
            <w:tcW w:w="786"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社会公益组织</w:t>
            </w:r>
          </w:p>
        </w:tc>
        <w:tc>
          <w:tcPr>
            <w:tcW w:w="657"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法律服务机构</w:t>
            </w:r>
          </w:p>
        </w:tc>
        <w:tc>
          <w:tcPr>
            <w:tcW w:w="671"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2"/>
                <w:szCs w:val="22"/>
              </w:rPr>
            </w:pPr>
            <w:r>
              <w:rPr>
                <w:rFonts w:hint="eastAsia" w:ascii="宋体" w:hAnsi="宋体" w:eastAsia="宋体" w:cs="宋体"/>
                <w:sz w:val="22"/>
                <w:szCs w:val="22"/>
                <w:bdr w:val="none" w:color="auto" w:sz="0" w:space="0"/>
              </w:rPr>
              <w:t>其他</w:t>
            </w:r>
          </w:p>
        </w:tc>
        <w:tc>
          <w:tcPr>
            <w:tcW w:w="828"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3218" w:type="dxa"/>
            <w:gridSpan w:val="3"/>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一、本年新收政府信息公开申请数量</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9</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0" w:hRule="atLeast"/>
          <w:jc w:val="center"/>
        </w:trPr>
        <w:tc>
          <w:tcPr>
            <w:tcW w:w="3218" w:type="dxa"/>
            <w:gridSpan w:val="3"/>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二、上年结转政府信息公开申请数量</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0" w:hRule="atLeast"/>
          <w:jc w:val="center"/>
        </w:trPr>
        <w:tc>
          <w:tcPr>
            <w:tcW w:w="580" w:type="dxa"/>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20" w:lineRule="atLeast"/>
              <w:ind w:left="0" w:right="0"/>
              <w:rPr>
                <w:sz w:val="22"/>
                <w:szCs w:val="22"/>
              </w:rPr>
            </w:pPr>
            <w:r>
              <w:rPr>
                <w:rFonts w:hint="eastAsia" w:ascii="宋体" w:hAnsi="宋体" w:eastAsia="宋体" w:cs="宋体"/>
                <w:sz w:val="22"/>
                <w:szCs w:val="22"/>
                <w:bdr w:val="none" w:color="auto" w:sz="0" w:space="0"/>
              </w:rPr>
              <w:t>三、本年度办理结果</w:t>
            </w:r>
          </w:p>
        </w:tc>
        <w:tc>
          <w:tcPr>
            <w:tcW w:w="2638"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（一）予以公开</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5</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2638"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（二）部分公开（区分处理的，只计这一情形，不计其他情形）</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（三）不予公开</w:t>
            </w: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1.属于国家秘密</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2.其他法律行政法规禁止公开</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3.危及“三安全一稳定”</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4.保护第三方合法权益</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5.属于三类内部事务信息</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6.属于四类过程性信息</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7.属于行政执法案卷</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8.属于行政查询事项</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（四）无法提供</w:t>
            </w: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1.本机关不掌握相关政府信息</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3</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2.没有现成信息需要另行制作</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3.补正后申请内容仍不明确</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（五）不予处理</w:t>
            </w: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1.信访举报投诉类申请</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2.重复申请</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3.要求提供公开出版物</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4.无正当理由大量反复申请</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92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17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rPr>
                <w:sz w:val="22"/>
                <w:szCs w:val="22"/>
              </w:rPr>
            </w:pPr>
            <w:r>
              <w:rPr>
                <w:rFonts w:hint="eastAsia" w:ascii="宋体" w:hAnsi="宋体" w:eastAsia="宋体" w:cs="宋体"/>
                <w:sz w:val="22"/>
                <w:szCs w:val="22"/>
                <w:bdr w:val="none" w:color="auto" w:sz="0" w:space="0"/>
              </w:rPr>
              <w:t>5.要求行政机关确认或重新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firstLine="130"/>
              <w:rPr>
                <w:sz w:val="22"/>
                <w:szCs w:val="22"/>
              </w:rPr>
            </w:pPr>
            <w:r>
              <w:rPr>
                <w:rFonts w:hint="eastAsia" w:ascii="宋体" w:hAnsi="宋体" w:eastAsia="宋体" w:cs="宋体"/>
                <w:sz w:val="22"/>
                <w:szCs w:val="22"/>
                <w:bdr w:val="none" w:color="auto" w:sz="0" w:space="0"/>
              </w:rPr>
              <w:t>出具已获取信息</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2638"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（六）其他处理</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60" w:hRule="atLeast"/>
          <w:jc w:val="center"/>
        </w:trPr>
        <w:tc>
          <w:tcPr>
            <w:tcW w:w="58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2638"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30" w:lineRule="atLeast"/>
              <w:ind w:left="0" w:right="0"/>
              <w:rPr>
                <w:sz w:val="22"/>
                <w:szCs w:val="22"/>
              </w:rPr>
            </w:pPr>
            <w:r>
              <w:rPr>
                <w:rFonts w:hint="eastAsia" w:ascii="宋体" w:hAnsi="宋体" w:eastAsia="宋体" w:cs="宋体"/>
                <w:sz w:val="22"/>
                <w:szCs w:val="22"/>
                <w:bdr w:val="none" w:color="auto" w:sz="0" w:space="0"/>
              </w:rPr>
              <w:t>（七）总计</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9</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58" w:hRule="atLeast"/>
          <w:jc w:val="center"/>
        </w:trPr>
        <w:tc>
          <w:tcPr>
            <w:tcW w:w="3218" w:type="dxa"/>
            <w:gridSpan w:val="3"/>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2"/>
                <w:szCs w:val="22"/>
              </w:rPr>
            </w:pPr>
            <w:r>
              <w:rPr>
                <w:rFonts w:hint="eastAsia" w:ascii="宋体" w:hAnsi="宋体" w:eastAsia="宋体" w:cs="宋体"/>
                <w:sz w:val="22"/>
                <w:szCs w:val="22"/>
                <w:bdr w:val="none" w:color="auto" w:sz="0" w:space="0"/>
              </w:rPr>
              <w:t>四、结转下年度继续办理</w:t>
            </w:r>
          </w:p>
        </w:tc>
        <w:tc>
          <w:tcPr>
            <w:tcW w:w="653"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585"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72"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786"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57"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671"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82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bl>
    <w:p>
      <w:pPr>
        <w:pStyle w:val="2"/>
        <w:keepNext w:val="0"/>
        <w:keepLines w:val="0"/>
        <w:widowControl/>
        <w:suppressLineNumbers w:val="0"/>
        <w:shd w:val="clear" w:fill="FFFFFF"/>
        <w:spacing w:before="0" w:beforeAutospacing="0" w:after="0" w:afterAutospacing="0" w:line="370" w:lineRule="atLeast"/>
        <w:ind w:left="0" w:right="0" w:firstLine="430"/>
        <w:jc w:val="both"/>
        <w:rPr>
          <w:rFonts w:hint="default"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五、政府信息公开行政复议、行政诉讼情况</w:t>
      </w:r>
    </w:p>
    <w:tbl>
      <w:tblPr>
        <w:tblW w:w="786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69"/>
        <w:gridCol w:w="379"/>
        <w:gridCol w:w="379"/>
        <w:gridCol w:w="379"/>
        <w:gridCol w:w="369"/>
        <w:gridCol w:w="369"/>
        <w:gridCol w:w="399"/>
        <w:gridCol w:w="399"/>
        <w:gridCol w:w="399"/>
        <w:gridCol w:w="409"/>
        <w:gridCol w:w="400"/>
        <w:gridCol w:w="400"/>
        <w:gridCol w:w="400"/>
        <w:gridCol w:w="400"/>
        <w:gridCol w:w="24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30" w:hRule="atLeast"/>
          <w:jc w:val="center"/>
        </w:trPr>
        <w:tc>
          <w:tcPr>
            <w:tcW w:w="1875" w:type="dxa"/>
            <w:gridSpan w:val="5"/>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行政复议</w:t>
            </w:r>
          </w:p>
        </w:tc>
        <w:tc>
          <w:tcPr>
            <w:tcW w:w="5993" w:type="dxa"/>
            <w:gridSpan w:val="10"/>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69" w:type="dxa"/>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维持</w:t>
            </w:r>
          </w:p>
        </w:tc>
        <w:tc>
          <w:tcPr>
            <w:tcW w:w="379"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结果纠正</w:t>
            </w:r>
          </w:p>
        </w:tc>
        <w:tc>
          <w:tcPr>
            <w:tcW w:w="379"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其他结果</w:t>
            </w:r>
          </w:p>
        </w:tc>
        <w:tc>
          <w:tcPr>
            <w:tcW w:w="379"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审结</w:t>
            </w:r>
          </w:p>
        </w:tc>
        <w:tc>
          <w:tcPr>
            <w:tcW w:w="369"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sz w:val="22"/>
                <w:szCs w:val="22"/>
              </w:rPr>
            </w:pPr>
            <w:r>
              <w:rPr>
                <w:rFonts w:hint="eastAsia" w:ascii="宋体" w:hAnsi="宋体" w:eastAsia="宋体" w:cs="宋体"/>
                <w:sz w:val="22"/>
                <w:szCs w:val="22"/>
                <w:bdr w:val="none" w:color="auto" w:sz="0" w:space="0"/>
              </w:rPr>
              <w:t>计</w:t>
            </w:r>
          </w:p>
        </w:tc>
        <w:tc>
          <w:tcPr>
            <w:tcW w:w="1975" w:type="dxa"/>
            <w:gridSpan w:val="5"/>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未经复议直接起诉</w:t>
            </w:r>
          </w:p>
        </w:tc>
        <w:tc>
          <w:tcPr>
            <w:tcW w:w="4018" w:type="dxa"/>
            <w:gridSpan w:val="5"/>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369"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379"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379"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379"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369"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rPr>
                <w:rFonts w:hint="eastAsia" w:ascii="宋体"/>
                <w:sz w:val="22"/>
                <w:szCs w:val="22"/>
              </w:rPr>
            </w:pPr>
          </w:p>
        </w:tc>
        <w:tc>
          <w:tcPr>
            <w:tcW w:w="36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结果维持</w:t>
            </w:r>
          </w:p>
        </w:tc>
        <w:tc>
          <w:tcPr>
            <w:tcW w:w="39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结果纠正</w:t>
            </w:r>
          </w:p>
        </w:tc>
        <w:tc>
          <w:tcPr>
            <w:tcW w:w="399"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w:t>
            </w:r>
          </w:p>
        </w:tc>
        <w:tc>
          <w:tcPr>
            <w:tcW w:w="399"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审结</w:t>
            </w:r>
          </w:p>
        </w:tc>
        <w:tc>
          <w:tcPr>
            <w:tcW w:w="409"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总计</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结果维持</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纠正</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结果</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尚未审结</w:t>
            </w:r>
          </w:p>
        </w:tc>
        <w:tc>
          <w:tcPr>
            <w:tcW w:w="2418"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369"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1</w:t>
            </w:r>
          </w:p>
        </w:tc>
        <w:tc>
          <w:tcPr>
            <w:tcW w:w="37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7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7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6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6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9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9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39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409"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c>
          <w:tcPr>
            <w:tcW w:w="2418"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2"/>
                <w:szCs w:val="22"/>
              </w:rPr>
            </w:pPr>
            <w:r>
              <w:rPr>
                <w:rFonts w:hint="eastAsia" w:ascii="宋体" w:hAnsi="宋体" w:eastAsia="宋体" w:cs="宋体"/>
                <w:sz w:val="22"/>
                <w:szCs w:val="22"/>
                <w:bdr w:val="none" w:color="auto" w:sz="0" w:space="0"/>
              </w:rPr>
              <w:t>0</w:t>
            </w:r>
          </w:p>
        </w:tc>
      </w:tr>
    </w:tbl>
    <w:p>
      <w:pPr>
        <w:pStyle w:val="2"/>
        <w:keepNext w:val="0"/>
        <w:keepLines w:val="0"/>
        <w:widowControl/>
        <w:suppressLineNumbers w:val="0"/>
        <w:shd w:val="clear" w:fill="FFFFFF"/>
        <w:spacing w:before="0" w:beforeAutospacing="0" w:after="0" w:afterAutospacing="0" w:line="370" w:lineRule="atLeast"/>
        <w:ind w:left="0" w:right="0" w:firstLine="430"/>
        <w:jc w:val="both"/>
        <w:rPr>
          <w:rFonts w:hint="default"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rPr>
        <w:t>六、存在的主要问题及改进情况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sans-serif" w:eastAsia="仿宋_GB2312" w:cs="仿宋_GB2312"/>
          <w:i w:val="0"/>
          <w:caps w:val="0"/>
          <w:color w:val="000000"/>
          <w:spacing w:val="0"/>
          <w:sz w:val="32"/>
          <w:szCs w:val="32"/>
          <w:shd w:val="clear" w:fill="FFFFFF"/>
        </w:rPr>
      </w:pPr>
      <w:r>
        <w:rPr>
          <w:rFonts w:hint="eastAsia" w:ascii="仿宋_GB2312" w:hAnsi="sans-serif" w:eastAsia="仿宋_GB2312" w:cs="仿宋_GB2312"/>
          <w:i w:val="0"/>
          <w:caps w:val="0"/>
          <w:color w:val="000000"/>
          <w:spacing w:val="0"/>
          <w:sz w:val="32"/>
          <w:szCs w:val="32"/>
          <w:shd w:val="clear" w:fill="FFFFFF"/>
        </w:rPr>
        <w:t>我局政府信息公开工作还存在一些问题：</w:t>
      </w:r>
      <w:r>
        <w:rPr>
          <w:rFonts w:hint="eastAsia" w:ascii="楷体_GB2312" w:hAnsi="sans-serif" w:eastAsia="楷体_GB2312" w:cs="楷体_GB2312"/>
          <w:i w:val="0"/>
          <w:caps w:val="0"/>
          <w:color w:val="000000"/>
          <w:spacing w:val="0"/>
          <w:sz w:val="32"/>
          <w:szCs w:val="32"/>
          <w:shd w:val="clear" w:fill="FFFFFF"/>
        </w:rPr>
        <w:t>一是政务公开意识仍需提高。</w:t>
      </w:r>
      <w:r>
        <w:rPr>
          <w:rFonts w:hint="eastAsia" w:ascii="仿宋_GB2312" w:hAnsi="sans-serif" w:eastAsia="仿宋_GB2312" w:cs="仿宋_GB2312"/>
          <w:i w:val="0"/>
          <w:caps w:val="0"/>
          <w:color w:val="000000"/>
          <w:spacing w:val="0"/>
          <w:sz w:val="32"/>
          <w:szCs w:val="32"/>
          <w:shd w:val="clear" w:fill="FFFFFF"/>
        </w:rPr>
        <w:t>公开工作中仍存在“不愿公开”问题，主动性较差，没有真正发挥政务公开对业务工作的推进作用。</w:t>
      </w:r>
      <w:r>
        <w:rPr>
          <w:rFonts w:hint="eastAsia" w:ascii="楷体_GB2312" w:hAnsi="sans-serif" w:eastAsia="楷体_GB2312" w:cs="楷体_GB2312"/>
          <w:i w:val="0"/>
          <w:caps w:val="0"/>
          <w:color w:val="000000"/>
          <w:spacing w:val="0"/>
          <w:sz w:val="32"/>
          <w:szCs w:val="32"/>
          <w:shd w:val="clear" w:fill="FFFFFF"/>
        </w:rPr>
        <w:t>二是政务公开内容仍需完善。</w:t>
      </w:r>
      <w:r>
        <w:rPr>
          <w:rFonts w:hint="eastAsia" w:ascii="仿宋_GB2312" w:hAnsi="sans-serif" w:eastAsia="仿宋_GB2312" w:cs="仿宋_GB2312"/>
          <w:i w:val="0"/>
          <w:caps w:val="0"/>
          <w:color w:val="000000"/>
          <w:spacing w:val="0"/>
          <w:sz w:val="32"/>
          <w:szCs w:val="32"/>
          <w:shd w:val="clear" w:fill="FFFFFF"/>
        </w:rPr>
        <w:t>现有主动公开的政府信息与公众的需求还存在一定差距，信息公开主要集中于结果公开、程序公开，过程公开有待加强，公开内容还需深化。</w:t>
      </w:r>
      <w:r>
        <w:rPr>
          <w:rFonts w:hint="eastAsia" w:ascii="楷体_GB2312" w:hAnsi="sans-serif" w:eastAsia="楷体_GB2312" w:cs="楷体_GB2312"/>
          <w:i w:val="0"/>
          <w:caps w:val="0"/>
          <w:color w:val="000000"/>
          <w:spacing w:val="0"/>
          <w:sz w:val="32"/>
          <w:szCs w:val="32"/>
          <w:shd w:val="clear" w:fill="FFFFFF"/>
        </w:rPr>
        <w:t>三是政策解读力度仍需加大。</w:t>
      </w:r>
      <w:r>
        <w:rPr>
          <w:rFonts w:hint="eastAsia" w:ascii="仿宋_GB2312" w:hAnsi="sans-serif" w:eastAsia="仿宋_GB2312" w:cs="仿宋_GB2312"/>
          <w:i w:val="0"/>
          <w:caps w:val="0"/>
          <w:color w:val="000000"/>
          <w:spacing w:val="0"/>
          <w:sz w:val="32"/>
          <w:szCs w:val="32"/>
          <w:shd w:val="clear" w:fill="FFFFFF"/>
        </w:rPr>
        <w:t>各处室、单位对于政府或部门发布的规范性文件解读较好，基本实现了全部解读，但对于涉及群众切身利益的非规范性文件的解读力度不足。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shd w:val="clear" w:fill="FFFFFF"/>
        </w:rPr>
        <w:t>2021年，重点从以下方面改进：</w:t>
      </w:r>
      <w:r>
        <w:rPr>
          <w:rFonts w:hint="eastAsia" w:ascii="楷体_GB2312" w:hAnsi="sans-serif" w:eastAsia="楷体_GB2312" w:cs="楷体_GB2312"/>
          <w:i w:val="0"/>
          <w:caps w:val="0"/>
          <w:color w:val="000000"/>
          <w:spacing w:val="0"/>
          <w:sz w:val="32"/>
          <w:szCs w:val="32"/>
          <w:shd w:val="clear" w:fill="FFFFFF"/>
        </w:rPr>
        <w:t>一是聚力提升政务公开力度。</w:t>
      </w:r>
      <w:r>
        <w:rPr>
          <w:rFonts w:hint="eastAsia" w:ascii="仿宋_GB2312" w:hAnsi="sans-serif" w:eastAsia="仿宋_GB2312" w:cs="仿宋_GB2312"/>
          <w:i w:val="0"/>
          <w:caps w:val="0"/>
          <w:color w:val="000000"/>
          <w:spacing w:val="0"/>
          <w:sz w:val="32"/>
          <w:szCs w:val="32"/>
          <w:shd w:val="clear" w:fill="FFFFFF"/>
        </w:rPr>
        <w:t>不断规范政务公开工作流程，拓宽信息来源，提高信息公开质量，第一时间发布重要会议、重大活动、重大政策信息，重点推进重大建设项目实施领域政府信息公开，更好地保障人民群众知情权、参与权、监督权。</w:t>
      </w:r>
      <w:r>
        <w:rPr>
          <w:rFonts w:hint="eastAsia" w:ascii="楷体_GB2312" w:hAnsi="sans-serif" w:eastAsia="楷体_GB2312" w:cs="楷体_GB2312"/>
          <w:i w:val="0"/>
          <w:caps w:val="0"/>
          <w:color w:val="000000"/>
          <w:spacing w:val="0"/>
          <w:sz w:val="32"/>
          <w:szCs w:val="32"/>
          <w:shd w:val="clear" w:fill="FFFFFF"/>
        </w:rPr>
        <w:t>二是大力创新政务公开形式。</w:t>
      </w:r>
      <w:r>
        <w:rPr>
          <w:rFonts w:hint="eastAsia" w:ascii="仿宋_GB2312" w:hAnsi="sans-serif" w:eastAsia="仿宋_GB2312" w:cs="仿宋_GB2312"/>
          <w:i w:val="0"/>
          <w:caps w:val="0"/>
          <w:color w:val="000000"/>
          <w:spacing w:val="0"/>
          <w:sz w:val="32"/>
          <w:szCs w:val="32"/>
          <w:shd w:val="clear" w:fill="FFFFFF"/>
        </w:rPr>
        <w:t>创新政务公开新载体、新形式，加强和完善政府门户网站内容建设，推进网站集约化建设。发挥新媒体等平台宣传作用，运用图片、图表、视频等可视化方式，实现表达方式、宣传手段革新，保持政务新媒体创新和发展活力。</w:t>
      </w:r>
      <w:r>
        <w:rPr>
          <w:rFonts w:hint="eastAsia" w:ascii="楷体_GB2312" w:hAnsi="sans-serif" w:eastAsia="楷体_GB2312" w:cs="楷体_GB2312"/>
          <w:i w:val="0"/>
          <w:caps w:val="0"/>
          <w:color w:val="000000"/>
          <w:spacing w:val="0"/>
          <w:sz w:val="32"/>
          <w:szCs w:val="32"/>
          <w:shd w:val="clear" w:fill="FFFFFF"/>
        </w:rPr>
        <w:t>三是持续强化队伍建设。</w:t>
      </w:r>
      <w:r>
        <w:rPr>
          <w:rFonts w:hint="eastAsia" w:ascii="仿宋_GB2312" w:hAnsi="sans-serif" w:eastAsia="仿宋_GB2312" w:cs="仿宋_GB2312"/>
          <w:i w:val="0"/>
          <w:caps w:val="0"/>
          <w:color w:val="000000"/>
          <w:spacing w:val="0"/>
          <w:sz w:val="32"/>
          <w:szCs w:val="32"/>
          <w:shd w:val="clear" w:fill="FFFFFF"/>
        </w:rPr>
        <w:t>对标一流，借鉴先进经验，组织开展政务公开工作提升、依申请公开办理、网上政务公开等学习培训，不断提高政务公开工作人员能力和水平。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default" w:ascii="sans-serif" w:hAnsi="sans-serif" w:eastAsia="sans-serif" w:cs="sans-serif"/>
          <w:i w:val="0"/>
          <w:caps w:val="0"/>
          <w:color w:val="000000"/>
          <w:spacing w:val="0"/>
          <w:sz w:val="32"/>
          <w:szCs w:val="32"/>
        </w:rPr>
      </w:pPr>
      <w:r>
        <w:rPr>
          <w:rFonts w:hint="eastAsia" w:ascii="黑体" w:hAnsi="宋体" w:eastAsia="黑体" w:cs="黑体"/>
          <w:i w:val="0"/>
          <w:caps w:val="0"/>
          <w:color w:val="000000"/>
          <w:spacing w:val="0"/>
          <w:sz w:val="32"/>
          <w:szCs w:val="32"/>
          <w:shd w:val="clear" w:fill="FFFFFF"/>
        </w:rPr>
        <w:t>七、其他需要报告的事项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10"/>
        <w:jc w:val="both"/>
        <w:textAlignment w:val="auto"/>
        <w:rPr>
          <w:rFonts w:hint="default" w:ascii="sans-serif" w:hAnsi="sans-serif" w:eastAsia="sans-serif" w:cs="sans-serif"/>
          <w:i w:val="0"/>
          <w:caps w:val="0"/>
          <w:color w:val="000000"/>
          <w:spacing w:val="0"/>
          <w:sz w:val="32"/>
          <w:szCs w:val="32"/>
        </w:rPr>
      </w:pPr>
      <w:r>
        <w:rPr>
          <w:rFonts w:hint="eastAsia" w:ascii="仿宋_GB2312" w:hAnsi="sans-serif" w:eastAsia="仿宋_GB2312" w:cs="仿宋_GB2312"/>
          <w:i w:val="0"/>
          <w:caps w:val="0"/>
          <w:color w:val="000000"/>
          <w:spacing w:val="0"/>
          <w:sz w:val="32"/>
          <w:szCs w:val="32"/>
          <w:shd w:val="clear" w:fill="FFFFFF"/>
        </w:rPr>
        <w:t>无</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C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2021-05-27T07:08:18Z</dcterms:created>
  <dc:creator>lenovo</dc:creator>
  <cp:lastModifiedBy>dodo</cp:lastModifiedBy>
  <dcterms:modified xsi:type="dcterms:W3CDTF">2021-05-27T07:16:46Z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