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E69FF3"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left"/>
        <w:outlineLvl w:val="0"/>
        <w:rPr>
          <w:rFonts w:hint="eastAsia" w:ascii="黑体" w:hAnsi="宋体" w:eastAsia="黑体" w:cs="黑体"/>
          <w:kern w:val="2"/>
          <w:sz w:val="32"/>
          <w:szCs w:val="32"/>
        </w:rPr>
      </w:pP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>附件2</w:t>
      </w:r>
    </w:p>
    <w:p w14:paraId="03376013">
      <w:pPr>
        <w:keepNext w:val="0"/>
        <w:keepLines w:val="0"/>
        <w:widowControl/>
        <w:suppressLineNumbers w:val="0"/>
        <w:overflowPunct w:val="0"/>
        <w:spacing w:before="0" w:beforeAutospacing="0" w:after="0" w:afterAutospacing="0" w:line="560" w:lineRule="exact"/>
        <w:ind w:left="0" w:right="0"/>
        <w:jc w:val="center"/>
        <w:rPr>
          <w:rFonts w:hint="eastAsia" w:ascii="方正小标宋_GBK" w:hAnsi="方正小标宋_GBK" w:eastAsia="方正小标宋_GBK" w:cs="方正小标宋_GBK"/>
          <w:b/>
          <w:bCs/>
          <w:color w:val="000000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/>
          <w:bCs/>
          <w:color w:val="000000"/>
          <w:kern w:val="0"/>
          <w:sz w:val="44"/>
          <w:szCs w:val="44"/>
          <w:lang w:val="en-US" w:eastAsia="zh-CN" w:bidi="ar"/>
        </w:rPr>
        <w:t xml:space="preserve"> </w:t>
      </w:r>
    </w:p>
    <w:p w14:paraId="246E7E66">
      <w:pPr>
        <w:keepNext w:val="0"/>
        <w:keepLines w:val="0"/>
        <w:widowControl/>
        <w:suppressLineNumbers w:val="0"/>
        <w:overflowPunct w:val="0"/>
        <w:spacing w:before="0" w:beforeAutospacing="0" w:after="0" w:afterAutospacing="0" w:line="560" w:lineRule="exact"/>
        <w:ind w:left="0" w:right="0"/>
        <w:jc w:val="center"/>
        <w:rPr>
          <w:rFonts w:hint="eastAsia" w:ascii="方正小标宋_GBK" w:hAnsi="方正小标宋_GBK" w:eastAsia="方正小标宋_GBK" w:cs="方正小标宋_GBK"/>
          <w:kern w:val="2"/>
          <w:sz w:val="44"/>
          <w:szCs w:val="44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  <w:lang w:val="en-US" w:eastAsia="zh-CN" w:bidi="ar"/>
        </w:rPr>
        <w:t>电力系统安全风险专项评估报告模板</w:t>
      </w:r>
    </w:p>
    <w:bookmarkEnd w:id="0"/>
    <w:p w14:paraId="067DA6F0">
      <w:pPr>
        <w:keepNext w:val="0"/>
        <w:keepLines w:val="0"/>
        <w:widowControl w:val="0"/>
        <w:suppressLineNumbers w:val="0"/>
        <w:overflowPunct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黑体" w:hAnsi="宋体" w:eastAsia="黑体" w:cs="黑体"/>
          <w:kern w:val="2"/>
          <w:sz w:val="32"/>
          <w:szCs w:val="32"/>
        </w:rPr>
      </w:pP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 xml:space="preserve"> </w:t>
      </w:r>
    </w:p>
    <w:p w14:paraId="21D92D8C">
      <w:pPr>
        <w:keepNext w:val="0"/>
        <w:keepLines w:val="0"/>
        <w:widowControl w:val="0"/>
        <w:suppressLineNumbers w:val="0"/>
        <w:overflowPunct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黑体" w:hAnsi="宋体" w:eastAsia="黑体" w:cs="黑体"/>
          <w:kern w:val="2"/>
          <w:sz w:val="32"/>
          <w:szCs w:val="32"/>
        </w:rPr>
      </w:pP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>前言</w:t>
      </w:r>
    </w:p>
    <w:p w14:paraId="55D48C3B">
      <w:pPr>
        <w:keepNext w:val="0"/>
        <w:keepLines w:val="0"/>
        <w:widowControl w:val="0"/>
        <w:suppressLineNumbers w:val="0"/>
        <w:overflowPunct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楷体_GB2312" w:eastAsia="楷体_GB2312" w:cs="楷体_GB2312"/>
          <w:kern w:val="2"/>
          <w:sz w:val="32"/>
          <w:szCs w:val="32"/>
        </w:rPr>
      </w:pPr>
      <w:r>
        <w:rPr>
          <w:rFonts w:hint="eastAsia" w:ascii="楷体_GB2312" w:hAnsi="Times New Roman" w:eastAsia="楷体_GB2312" w:cs="楷体_GB2312"/>
          <w:kern w:val="2"/>
          <w:sz w:val="32"/>
          <w:szCs w:val="32"/>
          <w:lang w:val="en-US" w:eastAsia="zh-CN" w:bidi="ar"/>
        </w:rPr>
        <w:t>（一）报告编制单位情况</w:t>
      </w:r>
    </w:p>
    <w:p w14:paraId="4A4F3438">
      <w:pPr>
        <w:keepNext w:val="0"/>
        <w:keepLines w:val="0"/>
        <w:widowControl w:val="0"/>
        <w:suppressLineNumbers w:val="0"/>
        <w:overflowPunct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包括但不限于报告编制单位简介、相关资质及编制人员等。</w:t>
      </w:r>
    </w:p>
    <w:p w14:paraId="3645515F">
      <w:pPr>
        <w:keepNext w:val="0"/>
        <w:keepLines w:val="0"/>
        <w:widowControl w:val="0"/>
        <w:suppressLineNumbers w:val="0"/>
        <w:overflowPunct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楷体_GB2312" w:eastAsia="楷体_GB2312" w:cs="楷体_GB2312"/>
          <w:kern w:val="2"/>
          <w:sz w:val="32"/>
          <w:szCs w:val="32"/>
        </w:rPr>
      </w:pPr>
      <w:r>
        <w:rPr>
          <w:rFonts w:hint="eastAsia" w:ascii="楷体_GB2312" w:hAnsi="Times New Roman" w:eastAsia="楷体_GB2312" w:cs="楷体_GB2312"/>
          <w:kern w:val="2"/>
          <w:sz w:val="32"/>
          <w:szCs w:val="32"/>
          <w:lang w:val="en-US" w:eastAsia="zh-CN" w:bidi="ar"/>
        </w:rPr>
        <w:t>（二）设计依据</w:t>
      </w:r>
    </w:p>
    <w:p w14:paraId="18DB3ABD">
      <w:pPr>
        <w:keepNext w:val="0"/>
        <w:keepLines w:val="0"/>
        <w:widowControl w:val="0"/>
        <w:suppressLineNumbers w:val="0"/>
        <w:overflowPunct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设计相关规范规程。</w:t>
      </w:r>
    </w:p>
    <w:p w14:paraId="3969B6EE">
      <w:pPr>
        <w:keepNext w:val="0"/>
        <w:keepLines w:val="0"/>
        <w:widowControl w:val="0"/>
        <w:suppressLineNumbers w:val="0"/>
        <w:overflowPunct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黑体" w:hAnsi="宋体" w:eastAsia="黑体" w:cs="黑体"/>
          <w:kern w:val="2"/>
          <w:sz w:val="32"/>
          <w:szCs w:val="32"/>
        </w:rPr>
      </w:pP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>一、项目概况</w:t>
      </w:r>
    </w:p>
    <w:p w14:paraId="0AFBB0F9">
      <w:pPr>
        <w:keepNext w:val="0"/>
        <w:keepLines w:val="0"/>
        <w:widowControl w:val="0"/>
        <w:suppressLineNumbers w:val="0"/>
        <w:overflowPunct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楷体_GB2312" w:eastAsia="楷体_GB2312" w:cs="楷体_GB2312"/>
          <w:kern w:val="2"/>
          <w:sz w:val="32"/>
          <w:szCs w:val="32"/>
        </w:rPr>
      </w:pPr>
      <w:r>
        <w:rPr>
          <w:rFonts w:hint="eastAsia" w:ascii="楷体_GB2312" w:hAnsi="Times New Roman" w:eastAsia="楷体_GB2312" w:cs="楷体_GB2312"/>
          <w:kern w:val="2"/>
          <w:sz w:val="32"/>
          <w:szCs w:val="32"/>
          <w:lang w:val="en-US" w:eastAsia="zh-CN" w:bidi="ar"/>
        </w:rPr>
        <w:t>（一）项目概况</w:t>
      </w:r>
    </w:p>
    <w:p w14:paraId="17B18345">
      <w:pPr>
        <w:keepNext w:val="0"/>
        <w:keepLines w:val="0"/>
        <w:widowControl w:val="0"/>
        <w:suppressLineNumbers w:val="0"/>
        <w:overflowPunct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简要介绍项目情况，包括但不限于项目位置、项目类型（并网型或离网型）、建设内容、建设时序和规模（包含负荷、电源、储能、直连线路、接网工程等）等基本信息。</w:t>
      </w:r>
    </w:p>
    <w:p w14:paraId="3F2A72FB">
      <w:pPr>
        <w:keepNext w:val="0"/>
        <w:keepLines w:val="0"/>
        <w:widowControl w:val="0"/>
        <w:suppressLineNumbers w:val="0"/>
        <w:overflowPunct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楷体_GB2312" w:eastAsia="楷体_GB2312" w:cs="楷体_GB2312"/>
          <w:kern w:val="2"/>
          <w:sz w:val="32"/>
          <w:szCs w:val="32"/>
        </w:rPr>
      </w:pPr>
      <w:r>
        <w:rPr>
          <w:rFonts w:hint="eastAsia" w:ascii="楷体_GB2312" w:hAnsi="Times New Roman" w:eastAsia="楷体_GB2312" w:cs="楷体_GB2312"/>
          <w:kern w:val="2"/>
          <w:sz w:val="32"/>
          <w:szCs w:val="32"/>
          <w:lang w:val="en-US" w:eastAsia="zh-CN" w:bidi="ar"/>
        </w:rPr>
        <w:t>（二）直连线路建设方案</w:t>
      </w:r>
    </w:p>
    <w:p w14:paraId="4703690A">
      <w:pPr>
        <w:keepNext w:val="0"/>
        <w:keepLines w:val="0"/>
        <w:widowControl w:val="0"/>
        <w:suppressLineNumbers w:val="0"/>
        <w:overflowPunct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详细介绍电源侧和负荷侧间的直连线路情况，包括但不限于送出方式（如架空线路或直埋等）、送出线路长度、线路参数、路径示意图等。</w:t>
      </w:r>
    </w:p>
    <w:p w14:paraId="027AB766">
      <w:pPr>
        <w:keepNext w:val="0"/>
        <w:keepLines w:val="0"/>
        <w:widowControl w:val="0"/>
        <w:suppressLineNumbers w:val="0"/>
        <w:overflowPunct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黑体" w:hAnsi="宋体" w:eastAsia="黑体" w:cs="黑体"/>
          <w:kern w:val="2"/>
          <w:sz w:val="32"/>
          <w:szCs w:val="32"/>
        </w:rPr>
      </w:pP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>二、电力系统概况</w:t>
      </w:r>
    </w:p>
    <w:p w14:paraId="74CB2301">
      <w:pPr>
        <w:keepNext w:val="0"/>
        <w:keepLines w:val="0"/>
        <w:widowControl w:val="0"/>
        <w:suppressLineNumbers w:val="0"/>
        <w:overflowPunct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楷体_GB2312" w:eastAsia="楷体_GB2312" w:cs="楷体_GB2312"/>
          <w:kern w:val="2"/>
          <w:sz w:val="32"/>
          <w:szCs w:val="32"/>
        </w:rPr>
      </w:pPr>
      <w:r>
        <w:rPr>
          <w:rFonts w:hint="eastAsia" w:ascii="楷体_GB2312" w:hAnsi="Times New Roman" w:eastAsia="楷体_GB2312" w:cs="楷体_GB2312"/>
          <w:kern w:val="2"/>
          <w:sz w:val="32"/>
          <w:szCs w:val="32"/>
          <w:lang w:val="en-US" w:eastAsia="zh-CN" w:bidi="ar"/>
        </w:rPr>
        <w:t>（一）山东电网概况</w:t>
      </w:r>
    </w:p>
    <w:p w14:paraId="0E75A810">
      <w:pPr>
        <w:keepNext w:val="0"/>
        <w:keepLines w:val="0"/>
        <w:widowControl w:val="0"/>
        <w:suppressLineNumbers w:val="0"/>
        <w:overflowPunct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简要分析山东电网情况。</w:t>
      </w:r>
    </w:p>
    <w:p w14:paraId="2FFBC83C">
      <w:pPr>
        <w:keepNext w:val="0"/>
        <w:keepLines w:val="0"/>
        <w:widowControl w:val="0"/>
        <w:suppressLineNumbers w:val="0"/>
        <w:overflowPunct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楷体_GB2312" w:eastAsia="楷体_GB2312" w:cs="楷体_GB2312"/>
          <w:kern w:val="2"/>
          <w:sz w:val="32"/>
          <w:szCs w:val="32"/>
        </w:rPr>
      </w:pPr>
      <w:r>
        <w:rPr>
          <w:rFonts w:hint="eastAsia" w:ascii="楷体_GB2312" w:hAnsi="Times New Roman" w:eastAsia="楷体_GB2312" w:cs="楷体_GB2312"/>
          <w:kern w:val="2"/>
          <w:sz w:val="32"/>
          <w:szCs w:val="32"/>
          <w:lang w:val="en-US" w:eastAsia="zh-CN" w:bidi="ar"/>
        </w:rPr>
        <w:t>（二）项目属地电网概况</w:t>
      </w:r>
    </w:p>
    <w:p w14:paraId="7A39CFBA">
      <w:pPr>
        <w:keepNext w:val="0"/>
        <w:keepLines w:val="0"/>
        <w:widowControl w:val="0"/>
        <w:suppressLineNumbers w:val="0"/>
        <w:overflowPunct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简要分析项目属地电网情况。</w:t>
      </w:r>
    </w:p>
    <w:p w14:paraId="63241B4D">
      <w:pPr>
        <w:keepNext w:val="0"/>
        <w:keepLines w:val="0"/>
        <w:widowControl w:val="0"/>
        <w:suppressLineNumbers w:val="0"/>
        <w:overflowPunct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黑体" w:hAnsi="宋体" w:eastAsia="黑体" w:cs="黑体"/>
          <w:kern w:val="2"/>
          <w:sz w:val="32"/>
          <w:szCs w:val="32"/>
        </w:rPr>
      </w:pP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>三、接入系统方案</w:t>
      </w:r>
    </w:p>
    <w:p w14:paraId="254724D5">
      <w:pPr>
        <w:keepNext w:val="0"/>
        <w:keepLines w:val="0"/>
        <w:widowControl w:val="0"/>
        <w:suppressLineNumbers w:val="0"/>
        <w:overflowPunct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介绍220千伏及以上电压等级并网项目的接入系统方案，并附接入系统方案示意图和负荷侧相关厂站的主接线示意图。</w:t>
      </w:r>
    </w:p>
    <w:p w14:paraId="5DD62108">
      <w:pPr>
        <w:keepNext w:val="0"/>
        <w:keepLines w:val="0"/>
        <w:widowControl w:val="0"/>
        <w:suppressLineNumbers w:val="0"/>
        <w:overflowPunct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黑体" w:hAnsi="宋体" w:eastAsia="黑体" w:cs="黑体"/>
          <w:kern w:val="2"/>
          <w:sz w:val="32"/>
          <w:szCs w:val="32"/>
        </w:rPr>
      </w:pP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>四、电气计算分析</w:t>
      </w:r>
    </w:p>
    <w:p w14:paraId="479E3764">
      <w:pPr>
        <w:keepNext w:val="0"/>
        <w:keepLines w:val="0"/>
        <w:widowControl w:val="0"/>
        <w:suppressLineNumbers w:val="0"/>
        <w:overflowPunct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楷体_GB2312" w:eastAsia="楷体_GB2312" w:cs="楷体_GB2312"/>
          <w:kern w:val="2"/>
          <w:sz w:val="32"/>
          <w:szCs w:val="32"/>
        </w:rPr>
      </w:pPr>
      <w:r>
        <w:rPr>
          <w:rFonts w:hint="eastAsia" w:ascii="楷体_GB2312" w:hAnsi="Times New Roman" w:eastAsia="楷体_GB2312" w:cs="楷体_GB2312"/>
          <w:kern w:val="2"/>
          <w:sz w:val="32"/>
          <w:szCs w:val="32"/>
          <w:lang w:val="en-US" w:eastAsia="zh-CN" w:bidi="ar"/>
        </w:rPr>
        <w:t>（一）潮流计算分析</w:t>
      </w:r>
    </w:p>
    <w:p w14:paraId="008F8A7E">
      <w:pPr>
        <w:keepNext w:val="0"/>
        <w:keepLines w:val="0"/>
        <w:widowControl w:val="0"/>
        <w:suppressLineNumbers w:val="0"/>
        <w:overflowPunct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1.计算原则</w:t>
      </w:r>
    </w:p>
    <w:p w14:paraId="428C6199">
      <w:pPr>
        <w:keepNext w:val="0"/>
        <w:keepLines w:val="0"/>
        <w:widowControl w:val="0"/>
        <w:suppressLineNumbers w:val="0"/>
        <w:overflowPunct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说明计算采用的软件，根据项目的分期投产情况，确定各期的计算水平年、电网接线方式、计算方式及各类电源出力原则等。</w:t>
      </w:r>
    </w:p>
    <w:p w14:paraId="3C2299FC">
      <w:pPr>
        <w:keepNext w:val="0"/>
        <w:keepLines w:val="0"/>
        <w:widowControl w:val="0"/>
        <w:suppressLineNumbers w:val="0"/>
        <w:overflowPunct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2.潮流计算结果</w:t>
      </w:r>
    </w:p>
    <w:p w14:paraId="4A9B9AA3">
      <w:pPr>
        <w:keepNext w:val="0"/>
        <w:keepLines w:val="0"/>
        <w:widowControl w:val="0"/>
        <w:suppressLineNumbers w:val="0"/>
        <w:overflowPunct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描述各计算水平年的潮流计算结果，并附结果示意图。</w:t>
      </w:r>
    </w:p>
    <w:p w14:paraId="6E3A652C">
      <w:pPr>
        <w:keepNext w:val="0"/>
        <w:keepLines w:val="0"/>
        <w:widowControl w:val="0"/>
        <w:suppressLineNumbers w:val="0"/>
        <w:overflowPunct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楷体_GB2312" w:eastAsia="楷体_GB2312" w:cs="楷体_GB2312"/>
          <w:kern w:val="2"/>
          <w:sz w:val="32"/>
          <w:szCs w:val="32"/>
        </w:rPr>
      </w:pPr>
      <w:r>
        <w:rPr>
          <w:rFonts w:hint="eastAsia" w:ascii="楷体_GB2312" w:hAnsi="Times New Roman" w:eastAsia="楷体_GB2312" w:cs="楷体_GB2312"/>
          <w:kern w:val="2"/>
          <w:sz w:val="32"/>
          <w:szCs w:val="32"/>
          <w:lang w:val="en-US" w:eastAsia="zh-CN" w:bidi="ar"/>
        </w:rPr>
        <w:t>（二）短路电流计算</w:t>
      </w:r>
    </w:p>
    <w:p w14:paraId="0A17AE06">
      <w:pPr>
        <w:keepNext w:val="0"/>
        <w:keepLines w:val="0"/>
        <w:widowControl w:val="0"/>
        <w:suppressLineNumbers w:val="0"/>
        <w:overflowPunct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1.计算原则</w:t>
      </w:r>
    </w:p>
    <w:p w14:paraId="510369D0">
      <w:pPr>
        <w:keepNext w:val="0"/>
        <w:keepLines w:val="0"/>
        <w:widowControl w:val="0"/>
        <w:suppressLineNumbers w:val="0"/>
        <w:overflowPunct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说明计算采用的软件、计算水平年和远景年、电网接线方式等。</w:t>
      </w:r>
    </w:p>
    <w:p w14:paraId="5EF787C9">
      <w:pPr>
        <w:keepNext w:val="0"/>
        <w:keepLines w:val="0"/>
        <w:widowControl w:val="0"/>
        <w:suppressLineNumbers w:val="0"/>
        <w:overflowPunct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2.短路计算结果</w:t>
      </w:r>
    </w:p>
    <w:p w14:paraId="1A580BC7">
      <w:pPr>
        <w:keepNext w:val="0"/>
        <w:keepLines w:val="0"/>
        <w:widowControl w:val="0"/>
        <w:suppressLineNumbers w:val="0"/>
        <w:overflowPunct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分析绿电直连项目投产后对附近相关厂站短路水平的影响，并附短路计算结果。</w:t>
      </w:r>
    </w:p>
    <w:p w14:paraId="12AA6143">
      <w:pPr>
        <w:keepNext w:val="0"/>
        <w:keepLines w:val="0"/>
        <w:widowControl w:val="0"/>
        <w:suppressLineNumbers w:val="0"/>
        <w:overflowPunct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楷体_GB2312" w:eastAsia="楷体_GB2312" w:cs="楷体_GB2312"/>
          <w:kern w:val="2"/>
          <w:sz w:val="32"/>
          <w:szCs w:val="32"/>
        </w:rPr>
      </w:pPr>
      <w:r>
        <w:rPr>
          <w:rFonts w:hint="eastAsia" w:ascii="楷体_GB2312" w:hAnsi="Times New Roman" w:eastAsia="楷体_GB2312" w:cs="楷体_GB2312"/>
          <w:kern w:val="2"/>
          <w:sz w:val="32"/>
          <w:szCs w:val="32"/>
          <w:lang w:val="en-US" w:eastAsia="zh-CN" w:bidi="ar"/>
        </w:rPr>
        <w:t>（三）稳定计算分析</w:t>
      </w:r>
    </w:p>
    <w:p w14:paraId="4FEDC732">
      <w:pPr>
        <w:keepNext w:val="0"/>
        <w:keepLines w:val="0"/>
        <w:widowControl w:val="0"/>
        <w:suppressLineNumbers w:val="0"/>
        <w:overflowPunct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1.计算原则</w:t>
      </w:r>
    </w:p>
    <w:p w14:paraId="11E02D73">
      <w:pPr>
        <w:keepNext w:val="0"/>
        <w:keepLines w:val="0"/>
        <w:widowControl w:val="0"/>
        <w:suppressLineNumbers w:val="0"/>
        <w:overflowPunct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说明计算采用的软件、计算水平年、电网接线方式、计算方式等。</w:t>
      </w:r>
    </w:p>
    <w:p w14:paraId="6B076E90">
      <w:pPr>
        <w:keepNext w:val="0"/>
        <w:keepLines w:val="0"/>
        <w:widowControl w:val="0"/>
        <w:suppressLineNumbers w:val="0"/>
        <w:overflowPunct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2.稳定计算结果</w:t>
      </w:r>
    </w:p>
    <w:p w14:paraId="33ECAC0A">
      <w:pPr>
        <w:keepNext w:val="0"/>
        <w:keepLines w:val="0"/>
        <w:widowControl w:val="0"/>
        <w:suppressLineNumbers w:val="0"/>
        <w:overflowPunct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描述各计算水平年的稳定计算结果，并附结果示意图。</w:t>
      </w:r>
    </w:p>
    <w:p w14:paraId="43EEC15C">
      <w:pPr>
        <w:keepNext w:val="0"/>
        <w:keepLines w:val="0"/>
        <w:widowControl w:val="0"/>
        <w:suppressLineNumbers w:val="0"/>
        <w:overflowPunct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楷体_GB2312" w:eastAsia="楷体_GB2312" w:cs="楷体_GB2312"/>
          <w:kern w:val="2"/>
          <w:sz w:val="32"/>
          <w:szCs w:val="32"/>
        </w:rPr>
      </w:pPr>
      <w:r>
        <w:rPr>
          <w:rFonts w:hint="eastAsia" w:ascii="楷体_GB2312" w:hAnsi="Times New Roman" w:eastAsia="楷体_GB2312" w:cs="楷体_GB2312"/>
          <w:kern w:val="2"/>
          <w:sz w:val="32"/>
          <w:szCs w:val="32"/>
          <w:lang w:val="en-US" w:eastAsia="zh-CN" w:bidi="ar"/>
        </w:rPr>
        <w:t>（四）多场站短路比计算分析</w:t>
      </w:r>
    </w:p>
    <w:p w14:paraId="3249AD44">
      <w:pPr>
        <w:keepNext w:val="0"/>
        <w:keepLines w:val="0"/>
        <w:widowControl w:val="0"/>
        <w:suppressLineNumbers w:val="0"/>
        <w:overflowPunct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1.计算原则</w:t>
      </w:r>
    </w:p>
    <w:p w14:paraId="11B72321">
      <w:pPr>
        <w:keepNext w:val="0"/>
        <w:keepLines w:val="0"/>
        <w:widowControl w:val="0"/>
        <w:suppressLineNumbers w:val="0"/>
        <w:overflowPunct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说明计算采用的软件、计算水平年、电网接线方式、计算方式等。</w:t>
      </w:r>
    </w:p>
    <w:p w14:paraId="70C193DD">
      <w:pPr>
        <w:keepNext w:val="0"/>
        <w:keepLines w:val="0"/>
        <w:widowControl w:val="0"/>
        <w:suppressLineNumbers w:val="0"/>
        <w:overflowPunct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2.短路比计算结果</w:t>
      </w:r>
    </w:p>
    <w:p w14:paraId="0F2C62C2">
      <w:pPr>
        <w:keepNext w:val="0"/>
        <w:keepLines w:val="0"/>
        <w:widowControl w:val="0"/>
        <w:suppressLineNumbers w:val="0"/>
        <w:overflowPunct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描述各计算水平年的短路比计算结果。</w:t>
      </w:r>
    </w:p>
    <w:p w14:paraId="7DB2F771">
      <w:pPr>
        <w:keepNext w:val="0"/>
        <w:keepLines w:val="0"/>
        <w:widowControl w:val="0"/>
        <w:suppressLineNumbers w:val="0"/>
        <w:overflowPunct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黑体" w:hAnsi="宋体" w:eastAsia="黑体" w:cs="黑体"/>
          <w:kern w:val="2"/>
          <w:sz w:val="32"/>
          <w:szCs w:val="32"/>
        </w:rPr>
      </w:pP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>五、无功补偿分析</w:t>
      </w:r>
    </w:p>
    <w:p w14:paraId="242F8D69">
      <w:pPr>
        <w:keepNext w:val="0"/>
        <w:keepLines w:val="0"/>
        <w:widowControl w:val="0"/>
        <w:suppressLineNumbers w:val="0"/>
        <w:overflowPunct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对计算水平年进行无功平衡计算，确定各期无功补偿设备的型式及容量。</w:t>
      </w:r>
    </w:p>
    <w:p w14:paraId="7ACF943D">
      <w:pPr>
        <w:keepNext w:val="0"/>
        <w:keepLines w:val="0"/>
        <w:widowControl w:val="0"/>
        <w:suppressLineNumbers w:val="0"/>
        <w:overflowPunct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黑体" w:hAnsi="宋体" w:eastAsia="黑体" w:cs="黑体"/>
          <w:kern w:val="2"/>
          <w:sz w:val="32"/>
          <w:szCs w:val="32"/>
        </w:rPr>
      </w:pP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>六、电能质量评估</w:t>
      </w:r>
    </w:p>
    <w:p w14:paraId="486D7BAB">
      <w:pPr>
        <w:keepNext w:val="0"/>
        <w:keepLines w:val="0"/>
        <w:widowControl w:val="0"/>
        <w:suppressLineNumbers w:val="0"/>
        <w:overflowPunct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明确电压偏差与电压波动、谐波、三相电压不平衡度、闪变等指标限值；描述电能质量背景测试过程及结果；详细描述电能质量仿真计算，包括但不限于计算条件、仿真模型、谐波计算（配储逆变运行）、三相电压不平衡度计算、电压偏差与电压波动计算、闪变计算。</w:t>
      </w:r>
    </w:p>
    <w:p w14:paraId="36745D3F">
      <w:pPr>
        <w:keepNext w:val="0"/>
        <w:keepLines w:val="0"/>
        <w:widowControl w:val="0"/>
        <w:suppressLineNumbers w:val="0"/>
        <w:overflowPunct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黑体" w:hAnsi="宋体" w:eastAsia="黑体" w:cs="黑体"/>
          <w:kern w:val="2"/>
          <w:sz w:val="32"/>
          <w:szCs w:val="32"/>
        </w:rPr>
      </w:pP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>七、直连线路交叉跨越方案</w:t>
      </w:r>
    </w:p>
    <w:p w14:paraId="77C8820D">
      <w:pPr>
        <w:keepNext w:val="0"/>
        <w:keepLines w:val="0"/>
        <w:widowControl w:val="0"/>
        <w:suppressLineNumbers w:val="0"/>
        <w:overflowPunct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详细说明直连线路路径及线路交叉跨越情况（附图）、分析影响并提出解决措施。</w:t>
      </w:r>
    </w:p>
    <w:p w14:paraId="465DB16A">
      <w:pPr>
        <w:keepNext w:val="0"/>
        <w:keepLines w:val="0"/>
        <w:widowControl w:val="0"/>
        <w:suppressLineNumbers w:val="0"/>
        <w:overflowPunct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黑体" w:hAnsi="宋体" w:eastAsia="黑体" w:cs="黑体"/>
          <w:kern w:val="2"/>
          <w:sz w:val="32"/>
          <w:szCs w:val="32"/>
        </w:rPr>
      </w:pP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>八、结论及应对措施</w:t>
      </w:r>
    </w:p>
    <w:p w14:paraId="672B4E55">
      <w:pPr>
        <w:keepNext w:val="0"/>
        <w:keepLines w:val="0"/>
        <w:widowControl w:val="0"/>
        <w:suppressLineNumbers w:val="0"/>
        <w:overflowPunct w:val="0"/>
        <w:spacing w:before="0" w:beforeAutospacing="0" w:after="0" w:afterAutospacing="0" w:line="560" w:lineRule="exact"/>
        <w:ind w:left="0" w:right="0" w:firstLine="640" w:firstLineChars="200"/>
        <w:jc w:val="left"/>
        <w:rPr>
          <w:rFonts w:hint="eastAsia" w:ascii="仿宋_GB2312" w:hAnsi="Calibri" w:eastAsia="仿宋_GB2312" w:cs="仿宋_GB2312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给出评估结论，分析潜在风险，并提出应对措施。</w:t>
      </w:r>
    </w:p>
    <w:p w14:paraId="73C4B990"/>
    <w:sectPr>
      <w:pgSz w:w="11906" w:h="16838"/>
      <w:pgMar w:top="2098" w:right="1474" w:bottom="1985" w:left="1588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254DEF"/>
    <w:rsid w:val="67254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p0"/>
    <w:basedOn w:val="1"/>
    <w:qFormat/>
    <w:uiPriority w:val="0"/>
    <w:pPr>
      <w:widowControl/>
    </w:pPr>
    <w:rPr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2026-07-08T09:23:00Z</dcterms:created>
  <dc:creator>王昊</dc:creator>
  <cp:lastModifiedBy>王昊</cp:lastModifiedBy>
  <dcterms:modified xsi:type="dcterms:W3CDTF">2026-07-08T09:25:02Z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661A409422DE492B90376571CA3E4006_11</vt:lpwstr>
  </property>
  <property fmtid="{D5CDD505-2E9C-101B-9397-08002B2CF9AE}" pid="4" name="KSOTemplateDocerSaveRecord">
    <vt:lpwstr>eyJoZGlkIjoiYmEwZjAzYjEwZGRiYmUzODJlMjhhMGZjMGExOTlkYzkiLCJ1c2VySWQiOiIyNTAxMTk2ODQifQ==</vt:lpwstr>
  </property>
</Properties>
</file>