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0" w:firstLineChars="0"/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</w:rPr>
        <w:t>附</w:t>
      </w: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2024年市场化并网项目评审标准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48"/>
        <w:gridCol w:w="10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751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优选内容</w:t>
            </w:r>
          </w:p>
        </w:tc>
        <w:tc>
          <w:tcPr>
            <w:tcW w:w="393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黑体" w:hAnsi="黑体" w:eastAsia="楷体_GB2312" w:cs="黑体"/>
                <w:bCs/>
                <w:snapToGrid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优选标准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18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751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前期工作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/>
              </w:rPr>
              <w:t>分）</w:t>
            </w:r>
          </w:p>
        </w:tc>
        <w:tc>
          <w:tcPr>
            <w:tcW w:w="3930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u w:val="none"/>
                <w:lang w:val="en-US" w:eastAsia="zh-CN"/>
              </w:rPr>
              <w:t>支持开发企业进一步深化前期工作，根据项目前期工作深度进行得分。取得环境影响评价批复、水土保持方案批复、地质灾害评估报告审查意见、压覆重要矿产资源查询结果表、社会稳定风险评估评审备案、用地（用海）预审、用地（用海）租赁合同（明确租金和支付方式）、支付租金凭证、防洪评价批复（如涉及）等支持性材料的，每取得一项得5分，最高得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18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751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储能配置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/>
              </w:rPr>
              <w:t>（满分30分）</w:t>
            </w:r>
          </w:p>
        </w:tc>
        <w:tc>
          <w:tcPr>
            <w:tcW w:w="3930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u w:val="none"/>
                <w:lang w:val="en-US" w:eastAsia="zh-CN"/>
              </w:rPr>
              <w:t>支持开发企业针对项目实际情况自愿合理配置调节设施，根据承诺配置的调节设施情况进行得分。对于储能类型不再设置优先级，统一按照储能容量比例进行排序，最高得30分。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18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51" w:type="pct"/>
            <w:vMerge w:val="restart"/>
            <w:vAlign w:val="center"/>
          </w:tcPr>
          <w:p>
            <w:pPr>
              <w:pStyle w:val="3"/>
              <w:widowControl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u w:val="none"/>
                <w:lang w:val="zh-CN"/>
              </w:rPr>
              <w:t>建设方案</w:t>
            </w:r>
          </w:p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u w:val="none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u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u w:val="none"/>
                <w:lang w:val="zh-CN"/>
              </w:rPr>
              <w:t>分）</w:t>
            </w:r>
          </w:p>
        </w:tc>
        <w:tc>
          <w:tcPr>
            <w:tcW w:w="393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支持开发企业优化场区布局，集约节约用地，对布局方式、装机规模和用地（用海）面积进行综合评价，视情况得0-10分。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1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51" w:type="pct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/>
              </w:rPr>
            </w:pPr>
          </w:p>
        </w:tc>
        <w:tc>
          <w:tcPr>
            <w:tcW w:w="393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支持开发企业优先选用鼓励利用钙钛矿、异质结等先进光伏设备，高效率、低噪音等先进风电设备，提升风光资源利用率。对项目设备选型、系统效率等方面的科学性、合理性进行综合评价，视情况得0-10分。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18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51" w:type="pct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zh-CN"/>
              </w:rPr>
            </w:pPr>
          </w:p>
        </w:tc>
        <w:tc>
          <w:tcPr>
            <w:tcW w:w="393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鼓励开发企业合理制定建设周期，加快建设进度，尽快形成实物工作量，对于承诺2024年底前并网的，得10分，对于承诺2025年底前并网的，得5分。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318" w:type="pc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751" w:type="pct"/>
            <w:vAlign w:val="center"/>
          </w:tcPr>
          <w:p>
            <w:pPr>
              <w:pStyle w:val="3"/>
              <w:adjustRightIn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 w:eastAsia="zh-CN"/>
              </w:rPr>
              <w:t>奖优罚劣</w:t>
            </w:r>
          </w:p>
          <w:p>
            <w:pPr>
              <w:pStyle w:val="3"/>
              <w:adjustRightInd w:val="0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 w:eastAsia="zh-CN"/>
              </w:rPr>
              <w:t>（±5分）</w:t>
            </w:r>
          </w:p>
        </w:tc>
        <w:tc>
          <w:tcPr>
            <w:tcW w:w="393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u w:val="none"/>
                <w:lang w:val="en-US" w:eastAsia="zh-CN"/>
              </w:rPr>
              <w:t>以全省2021-2023年度保障性、市场化项目建成并网率为基准，依据项目所属驻鲁最高一级企业所有项目建成并网情况进行赋分，每高于全省平均水平1个百分点的，得0.1分；低于1个百分点的，扣0.1分。</w:t>
            </w:r>
          </w:p>
        </w:tc>
      </w:tr>
    </w:tbl>
    <w:p>
      <w:pPr>
        <w:rPr>
          <w:sz w:val="2"/>
          <w:szCs w:val="6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587" w:right="2098" w:bottom="1474" w:left="1984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GM2Mjg3OWRmZTI5NjQyNWI0ZjNiZjBmZmNmNGQifQ=="/>
  </w:docVars>
  <w:rsids>
    <w:rsidRoot w:val="6127230E"/>
    <w:rsid w:val="6127230E"/>
    <w:rsid w:val="6C8C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99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note text"/>
    <w:qFormat/>
    <w:uiPriority w:val="99"/>
    <w:pPr>
      <w:widowControl/>
      <w:snapToGrid w:val="0"/>
      <w:ind w:firstLine="360"/>
      <w:jc w:val="left"/>
    </w:pPr>
    <w:rPr>
      <w:rFonts w:asciiTheme="minorHAnsi" w:hAnsiTheme="minorHAnsi" w:eastAsiaTheme="minorEastAsia" w:cstheme="minorBidi"/>
      <w:kern w:val="0"/>
      <w:sz w:val="18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2024-02-18T14:37:00Z</dcterms:created>
  <dc:creator>木白木易</dc:creator>
  <cp:lastModifiedBy>木白木易</cp:lastModifiedBy>
  <dcterms:modified xsi:type="dcterms:W3CDTF">2024-02-18T14:37:52Z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A8F3994B46444E2B9C34D77EA215654E_11</vt:lpwstr>
  </property>
</Properties>
</file>