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山东省能源局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0" w:afterAutospacing="0" w:line="560" w:lineRule="exact"/>
        <w:jc w:val="center"/>
        <w:textAlignment w:val="auto"/>
        <w:rPr>
          <w:rFonts w:ascii="宋体" w:hAnsi="宋体" w:eastAsia="宋体" w:cs="宋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2019年度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政府信息公开工作年度报告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rPr>
          <w:rFonts w:ascii="仿宋_GB2312" w:hAnsi="微软雅黑" w:eastAsia="仿宋_GB2312"/>
          <w:sz w:val="32"/>
          <w:szCs w:val="27"/>
        </w:rPr>
      </w:pPr>
      <w:r>
        <w:rPr>
          <w:rFonts w:hint="eastAsia" w:ascii="仿宋_GB2312" w:hAnsi="微软雅黑" w:eastAsia="仿宋_GB2312"/>
          <w:sz w:val="32"/>
          <w:szCs w:val="27"/>
        </w:rPr>
        <w:t>本报告由山东省</w:t>
      </w:r>
      <w:r>
        <w:rPr>
          <w:rFonts w:ascii="仿宋_GB2312" w:hAnsi="微软雅黑" w:eastAsia="仿宋_GB2312"/>
          <w:sz w:val="32"/>
          <w:szCs w:val="27"/>
        </w:rPr>
        <w:t>能源局</w:t>
      </w:r>
      <w:r>
        <w:rPr>
          <w:rFonts w:hint="eastAsia" w:ascii="仿宋_GB2312" w:hAnsi="微软雅黑" w:eastAsia="仿宋_GB2312"/>
          <w:sz w:val="32"/>
          <w:szCs w:val="27"/>
        </w:rPr>
        <w:t>根据《中华人民共和国政府信息公开条例》（国务院令第711号）和《山东省政府信息公开办法》（省政府令第225号）的要求编制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，</w:t>
      </w:r>
      <w:r>
        <w:rPr>
          <w:rFonts w:hint="eastAsia" w:ascii="仿宋_GB2312" w:hAnsi="微软雅黑" w:eastAsia="仿宋_GB2312"/>
          <w:sz w:val="32"/>
          <w:szCs w:val="27"/>
        </w:rPr>
        <w:t>报告中所列数据统计期限为201</w:t>
      </w:r>
      <w:r>
        <w:rPr>
          <w:rFonts w:ascii="仿宋_GB2312" w:hAnsi="微软雅黑" w:eastAsia="仿宋_GB2312"/>
          <w:sz w:val="32"/>
          <w:szCs w:val="27"/>
        </w:rPr>
        <w:t>9</w:t>
      </w:r>
      <w:r>
        <w:rPr>
          <w:rFonts w:hint="eastAsia" w:ascii="仿宋_GB2312" w:hAnsi="微软雅黑" w:eastAsia="仿宋_GB2312"/>
          <w:sz w:val="32"/>
          <w:szCs w:val="27"/>
        </w:rPr>
        <w:t>年1月1日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起</w:t>
      </w:r>
      <w:r>
        <w:rPr>
          <w:rFonts w:hint="eastAsia" w:ascii="仿宋_GB2312" w:hAnsi="微软雅黑" w:eastAsia="仿宋_GB2312"/>
          <w:sz w:val="32"/>
          <w:szCs w:val="27"/>
        </w:rPr>
        <w:t>至201</w:t>
      </w:r>
      <w:r>
        <w:rPr>
          <w:rFonts w:ascii="仿宋_GB2312" w:hAnsi="微软雅黑" w:eastAsia="仿宋_GB2312"/>
          <w:sz w:val="32"/>
          <w:szCs w:val="27"/>
        </w:rPr>
        <w:t>9</w:t>
      </w:r>
      <w:r>
        <w:rPr>
          <w:rFonts w:hint="eastAsia" w:ascii="仿宋_GB2312" w:hAnsi="微软雅黑" w:eastAsia="仿宋_GB2312"/>
          <w:sz w:val="32"/>
          <w:szCs w:val="27"/>
        </w:rPr>
        <w:t>年12月31日止。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全文</w:t>
      </w:r>
      <w:r>
        <w:rPr>
          <w:rFonts w:hint="eastAsia" w:ascii="仿宋_GB2312" w:hAnsi="微软雅黑" w:eastAsia="仿宋_GB2312"/>
          <w:sz w:val="32"/>
          <w:szCs w:val="27"/>
        </w:rPr>
        <w:t>包括政府信息公开总体情况、主动公开政府信息情况、收到和处理政府信息公开申请情况、政府信息公开行政复议、行政诉讼情况、存在的主要问题及改进情况五个方面。本报告电子版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可从山东</w:t>
      </w:r>
      <w:r>
        <w:rPr>
          <w:rFonts w:hint="eastAsia" w:ascii="仿宋_GB2312" w:hAnsi="微软雅黑" w:eastAsia="仿宋_GB2312"/>
          <w:sz w:val="32"/>
          <w:szCs w:val="27"/>
        </w:rPr>
        <w:t>省能源局门户网站(http://nyj.shandong.gov.cn)下载。如对本报告有疑问，请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与</w:t>
      </w:r>
      <w:r>
        <w:rPr>
          <w:rFonts w:hint="eastAsia" w:ascii="仿宋_GB2312" w:hAnsi="微软雅黑" w:eastAsia="仿宋_GB2312"/>
          <w:sz w:val="32"/>
          <w:szCs w:val="27"/>
        </w:rPr>
        <w:t>山东省能源局办公室联系，电话</w:t>
      </w:r>
      <w:r>
        <w:rPr>
          <w:rFonts w:ascii="仿宋_GB2312" w:hAnsi="微软雅黑" w:eastAsia="仿宋_GB2312"/>
          <w:sz w:val="32"/>
          <w:szCs w:val="27"/>
        </w:rPr>
        <w:t>：</w:t>
      </w:r>
      <w:r>
        <w:rPr>
          <w:rFonts w:hint="eastAsia" w:ascii="仿宋_GB2312" w:hAnsi="微软雅黑" w:eastAsia="仿宋_GB2312"/>
          <w:sz w:val="32"/>
          <w:szCs w:val="27"/>
        </w:rPr>
        <w:t>0531-68627</w:t>
      </w:r>
      <w:r>
        <w:rPr>
          <w:rFonts w:ascii="仿宋_GB2312" w:hAnsi="微软雅黑" w:eastAsia="仿宋_GB2312"/>
          <w:sz w:val="32"/>
          <w:szCs w:val="27"/>
        </w:rPr>
        <w:t>707</w:t>
      </w:r>
      <w:r>
        <w:rPr>
          <w:rFonts w:hint="eastAsia" w:ascii="仿宋_GB2312" w:hAnsi="微软雅黑" w:eastAsia="仿宋_GB2312"/>
          <w:sz w:val="32"/>
          <w:szCs w:val="27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22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27"/>
          <w:lang w:val="en-US" w:eastAsia="zh-CN" w:bidi="ar-SA"/>
        </w:rPr>
      </w:pPr>
      <w:r>
        <w:rPr>
          <w:rFonts w:hint="eastAsia" w:ascii="仿宋_GB2312" w:hAnsi="微软雅黑" w:eastAsia="仿宋_GB2312"/>
          <w:sz w:val="32"/>
          <w:szCs w:val="27"/>
        </w:rPr>
        <w:t>201</w:t>
      </w:r>
      <w:r>
        <w:rPr>
          <w:rFonts w:ascii="仿宋_GB2312" w:hAnsi="微软雅黑" w:eastAsia="仿宋_GB2312"/>
          <w:sz w:val="32"/>
          <w:szCs w:val="27"/>
        </w:rPr>
        <w:t>9</w:t>
      </w:r>
      <w:r>
        <w:rPr>
          <w:rFonts w:hint="eastAsia" w:ascii="仿宋_GB2312" w:hAnsi="微软雅黑" w:eastAsia="仿宋_GB2312"/>
          <w:sz w:val="32"/>
          <w:szCs w:val="27"/>
        </w:rPr>
        <w:t>年，按照省委、省政府关于推进政务公开工作的系列决策部署，我局紧紧围绕中心工作及群众关注关切，以提升政府信息及政务公开质量为主线，持续做好信息发布、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政策</w:t>
      </w:r>
      <w:r>
        <w:rPr>
          <w:rFonts w:hint="eastAsia" w:ascii="仿宋_GB2312" w:hAnsi="微软雅黑" w:eastAsia="仿宋_GB2312"/>
          <w:sz w:val="32"/>
          <w:szCs w:val="27"/>
        </w:rPr>
        <w:t>解读、政民互动、平台建设等</w:t>
      </w:r>
      <w:r>
        <w:rPr>
          <w:rFonts w:ascii="仿宋_GB2312" w:hAnsi="微软雅黑" w:eastAsia="仿宋_GB2312"/>
          <w:sz w:val="32"/>
          <w:szCs w:val="27"/>
        </w:rPr>
        <w:t>工作</w:t>
      </w:r>
      <w:r>
        <w:rPr>
          <w:rFonts w:hint="eastAsia" w:ascii="仿宋_GB2312" w:hAnsi="微软雅黑" w:eastAsia="仿宋_GB2312"/>
          <w:sz w:val="32"/>
          <w:szCs w:val="27"/>
        </w:rPr>
        <w:t>，不断增强政府信息公开的主动性、权威性和实效性。</w:t>
      </w:r>
      <w:r>
        <w:rPr>
          <w:rFonts w:hint="eastAsia" w:ascii="仿宋_GB2312" w:hAnsi="微软雅黑" w:eastAsia="仿宋_GB2312"/>
          <w:b/>
          <w:bCs/>
          <w:sz w:val="32"/>
          <w:szCs w:val="27"/>
          <w:lang w:eastAsia="zh-CN"/>
        </w:rPr>
        <w:t>一是</w:t>
      </w:r>
      <w:r>
        <w:rPr>
          <w:rFonts w:hint="eastAsia" w:ascii="仿宋_GB2312" w:hAnsi="微软雅黑" w:eastAsia="仿宋_GB2312"/>
          <w:b/>
          <w:bCs/>
          <w:sz w:val="32"/>
          <w:szCs w:val="27"/>
        </w:rPr>
        <w:t>完善公开工作机制。</w:t>
      </w:r>
      <w:r>
        <w:rPr>
          <w:rFonts w:hint="eastAsia" w:ascii="仿宋_GB2312" w:hAnsi="微软雅黑" w:eastAsia="仿宋_GB2312"/>
          <w:sz w:val="32"/>
          <w:szCs w:val="27"/>
        </w:rPr>
        <w:t>成立政务公开工作领导小组，进一步明确工作分工，夯实责任主体，确保政府信息公开工作有序、规范开展。坚持“全员抓公开”的思路，对政府信息公开工作实行统一要求、统一管理，各处室、单位明确了专人负责政务公开工作，办公室加强</w:t>
      </w:r>
      <w:r>
        <w:rPr>
          <w:rFonts w:ascii="仿宋_GB2312" w:hAnsi="微软雅黑" w:eastAsia="仿宋_GB2312"/>
          <w:sz w:val="32"/>
          <w:szCs w:val="27"/>
        </w:rPr>
        <w:t>督查</w:t>
      </w:r>
      <w:r>
        <w:rPr>
          <w:rFonts w:hint="eastAsia" w:ascii="仿宋_GB2312" w:hAnsi="微软雅黑" w:eastAsia="仿宋_GB2312"/>
          <w:sz w:val="32"/>
          <w:szCs w:val="27"/>
        </w:rPr>
        <w:t>督办</w:t>
      </w:r>
      <w:r>
        <w:rPr>
          <w:rFonts w:ascii="仿宋_GB2312" w:hAnsi="微软雅黑" w:eastAsia="仿宋_GB2312"/>
          <w:sz w:val="32"/>
          <w:szCs w:val="27"/>
        </w:rPr>
        <w:t>，</w:t>
      </w:r>
      <w:r>
        <w:rPr>
          <w:rFonts w:hint="eastAsia" w:ascii="仿宋_GB2312" w:hAnsi="微软雅黑" w:eastAsia="仿宋_GB2312"/>
          <w:sz w:val="32"/>
          <w:szCs w:val="27"/>
        </w:rPr>
        <w:t>及时督促各处室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、</w:t>
      </w:r>
      <w:r>
        <w:rPr>
          <w:rFonts w:hint="eastAsia" w:ascii="仿宋_GB2312" w:hAnsi="微软雅黑" w:eastAsia="仿宋_GB2312"/>
          <w:sz w:val="32"/>
          <w:szCs w:val="27"/>
        </w:rPr>
        <w:t>单位按时主动公开政府信息，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切实做好政府信息公开工作</w:t>
      </w:r>
      <w:r>
        <w:rPr>
          <w:rFonts w:hint="eastAsia" w:ascii="仿宋_GB2312" w:hAnsi="微软雅黑" w:eastAsia="仿宋_GB2312"/>
          <w:sz w:val="32"/>
          <w:szCs w:val="27"/>
        </w:rPr>
        <w:t>。</w:t>
      </w:r>
      <w:r>
        <w:rPr>
          <w:rFonts w:hint="eastAsia" w:ascii="仿宋_GB2312" w:hAnsi="微软雅黑" w:eastAsia="仿宋_GB2312"/>
          <w:b/>
          <w:bCs/>
          <w:sz w:val="32"/>
          <w:szCs w:val="27"/>
          <w:lang w:eastAsia="zh-CN"/>
        </w:rPr>
        <w:t>二是加大主动公开力度。</w:t>
      </w:r>
      <w:r>
        <w:rPr>
          <w:rFonts w:hint="eastAsia" w:ascii="仿宋_GB2312" w:hAnsi="微软雅黑" w:eastAsia="仿宋_GB2312"/>
          <w:sz w:val="32"/>
          <w:szCs w:val="27"/>
        </w:rPr>
        <w:t>充分利用现有公开渠道，不断扩大公开范围，细化公开内容，积极主动公开各类政府信息。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通过</w:t>
      </w:r>
      <w:r>
        <w:rPr>
          <w:rFonts w:hint="eastAsia" w:ascii="仿宋_GB2312" w:hAnsi="微软雅黑" w:eastAsia="仿宋_GB2312"/>
          <w:sz w:val="32"/>
          <w:szCs w:val="27"/>
        </w:rPr>
        <w:t>局门户网站发布各类信息</w:t>
      </w:r>
      <w:r>
        <w:rPr>
          <w:rFonts w:hint="eastAsia" w:ascii="仿宋_GB2312" w:hAnsi="微软雅黑" w:eastAsia="仿宋_GB2312"/>
          <w:sz w:val="32"/>
          <w:szCs w:val="27"/>
          <w:lang w:val="en-US" w:eastAsia="zh-CN"/>
        </w:rPr>
        <w:t xml:space="preserve"> 440</w:t>
      </w:r>
      <w:r>
        <w:rPr>
          <w:rFonts w:hint="eastAsia" w:ascii="仿宋_GB2312" w:hAnsi="微软雅黑" w:eastAsia="仿宋_GB2312"/>
          <w:sz w:val="32"/>
          <w:szCs w:val="27"/>
        </w:rPr>
        <w:t>余条，门户网站主阵地作用得到充分发挥。积极利用山东省能源局微信公众号、政务微博等渠道，通过文字、图片等多种形式进行信息发布，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发布</w:t>
      </w:r>
      <w:r>
        <w:rPr>
          <w:rFonts w:ascii="仿宋_GB2312" w:hAnsi="微软雅黑" w:eastAsia="仿宋_GB2312"/>
          <w:sz w:val="32"/>
          <w:szCs w:val="27"/>
        </w:rPr>
        <w:t>消息</w:t>
      </w:r>
      <w:r>
        <w:rPr>
          <w:rFonts w:hint="eastAsia" w:ascii="仿宋_GB2312" w:hAnsi="微软雅黑" w:eastAsia="仿宋_GB2312"/>
          <w:sz w:val="32"/>
          <w:szCs w:val="27"/>
          <w:lang w:val="en-US" w:eastAsia="zh-CN"/>
        </w:rPr>
        <w:t>290</w:t>
      </w:r>
      <w:r>
        <w:rPr>
          <w:rFonts w:hint="eastAsia" w:ascii="仿宋_GB2312" w:hAnsi="微软雅黑" w:eastAsia="仿宋_GB2312"/>
          <w:sz w:val="32"/>
          <w:szCs w:val="27"/>
        </w:rPr>
        <w:t>余条。通过省政府新闻办召开</w:t>
      </w:r>
      <w:r>
        <w:rPr>
          <w:rFonts w:hint="eastAsia" w:ascii="仿宋_GB2312" w:hAnsi="微软雅黑" w:eastAsia="仿宋_GB2312"/>
          <w:sz w:val="32"/>
          <w:szCs w:val="27"/>
          <w:lang w:val="en-US" w:eastAsia="zh-CN"/>
        </w:rPr>
        <w:t>1</w:t>
      </w:r>
      <w:r>
        <w:rPr>
          <w:rFonts w:hint="eastAsia" w:ascii="仿宋_GB2312" w:hAnsi="微软雅黑" w:eastAsia="仿宋_GB2312"/>
          <w:sz w:val="32"/>
          <w:szCs w:val="27"/>
        </w:rPr>
        <w:t>次新闻发布会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，</w:t>
      </w:r>
      <w:r>
        <w:rPr>
          <w:rFonts w:hint="eastAsia" w:ascii="仿宋_GB2312" w:hAnsi="微软雅黑" w:eastAsia="仿宋_GB2312"/>
          <w:sz w:val="32"/>
          <w:szCs w:val="27"/>
        </w:rPr>
        <w:t>参加《问政山东》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、</w:t>
      </w:r>
      <w:r>
        <w:rPr>
          <w:rFonts w:hint="eastAsia" w:ascii="仿宋_GB2312" w:hAnsi="微软雅黑" w:eastAsia="仿宋_GB2312"/>
          <w:sz w:val="32"/>
          <w:szCs w:val="27"/>
        </w:rPr>
        <w:t>“阳光政务热线”等节目，现场回答问题、解读政策、回应关切。</w:t>
      </w:r>
      <w:r>
        <w:rPr>
          <w:rFonts w:hint="eastAsia" w:ascii="仿宋_GB2312" w:hAnsi="微软雅黑" w:eastAsia="仿宋_GB2312"/>
          <w:sz w:val="32"/>
          <w:szCs w:val="27"/>
          <w:lang w:eastAsia="zh-CN"/>
        </w:rPr>
        <w:t>三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27"/>
          <w:lang w:val="en-US" w:eastAsia="zh-CN" w:bidi="ar-SA"/>
        </w:rPr>
        <w:t>是依法依规做好依申请公开。</w:t>
      </w:r>
      <w:r>
        <w:rPr>
          <w:rFonts w:hint="eastAsia" w:ascii="仿宋_GB2312" w:hAnsi="微软雅黑" w:eastAsia="仿宋_GB2312" w:cs="宋体"/>
          <w:kern w:val="0"/>
          <w:sz w:val="32"/>
          <w:szCs w:val="27"/>
          <w:lang w:val="en-US" w:eastAsia="zh-CN" w:bidi="ar-SA"/>
        </w:rPr>
        <w:t>共收到依申请公开事项16件，主要涉及压煤村庄搬迁、能源政策信息等。信息公开申请已全部依法依规及时答复，办结率100%。其中同意公开所申请信息10件，同意部分公开所申请信息5件，不予公开所申请信息1件。</w:t>
      </w:r>
      <w:r>
        <w:rPr>
          <w:rFonts w:hint="eastAsia" w:ascii="仿宋_GB2312" w:hAnsi="微软雅黑" w:eastAsia="仿宋_GB2312"/>
          <w:b/>
          <w:bCs/>
          <w:sz w:val="32"/>
          <w:szCs w:val="27"/>
          <w:lang w:val="en-US" w:eastAsia="zh-CN"/>
        </w:rPr>
        <w:t>四是加强政府信息管理。</w:t>
      </w:r>
      <w:r>
        <w:rPr>
          <w:rFonts w:hint="eastAsia" w:ascii="仿宋_GB2312" w:hAnsi="微软雅黑" w:eastAsia="仿宋_GB2312" w:cs="宋体"/>
          <w:kern w:val="0"/>
          <w:sz w:val="32"/>
          <w:szCs w:val="27"/>
          <w:lang w:val="en-US" w:eastAsia="zh-CN" w:bidi="ar-SA"/>
        </w:rPr>
        <w:t>高度重视政府信息主动公开工作，对职责范围内涉及群众切身利益、需要社会广泛知晓的政府信息，通过局门户网站、官方微信公众号、主流媒体等多个渠道及时主动向社会公开。根据机构改革情况，对局政府信息公开指南和信息公开目录进行了修订，进一步明确了主动公开的事项、范围等，同步对门户网站主动公开目录进行了相应调整。</w:t>
      </w:r>
      <w:r>
        <w:rPr>
          <w:rFonts w:hint="eastAsia" w:ascii="仿宋_GB2312" w:hAnsi="微软雅黑" w:eastAsia="仿宋_GB2312" w:cs="宋体"/>
          <w:b/>
          <w:bCs/>
          <w:kern w:val="0"/>
          <w:sz w:val="32"/>
          <w:szCs w:val="27"/>
          <w:lang w:val="en-US" w:eastAsia="zh-CN" w:bidi="ar-SA"/>
        </w:rPr>
        <w:t>五是统筹公开平台建设。</w:t>
      </w:r>
      <w:r>
        <w:rPr>
          <w:rFonts w:hint="eastAsia" w:ascii="仿宋_GB2312" w:hAnsi="微软雅黑" w:eastAsia="仿宋_GB2312" w:cs="宋体"/>
          <w:kern w:val="0"/>
          <w:sz w:val="32"/>
          <w:szCs w:val="27"/>
          <w:lang w:val="en-US" w:eastAsia="zh-CN" w:bidi="ar-SA"/>
        </w:rPr>
        <w:t>充分发挥局门户网站主体作用，优化栏目设置，强化搜索功能，做好重点领域信息公开、政策解读、回应关切等。注重利用新媒体平台信息传播速度快、覆盖面广、阅读方便的优势，开通了“山东省能源局”微信公众号、政务微博账号。加强与主流媒体合作，创办了《大众能源-绿色发展》专刊，</w:t>
      </w:r>
      <w:r>
        <w:rPr>
          <w:rFonts w:ascii="仿宋_GB2312" w:eastAsia="仿宋_GB2312"/>
          <w:sz w:val="32"/>
          <w:szCs w:val="32"/>
        </w:rPr>
        <w:t>相继</w:t>
      </w:r>
      <w:r>
        <w:rPr>
          <w:rFonts w:hint="eastAsia" w:ascii="仿宋_GB2312" w:eastAsia="仿宋_GB2312"/>
          <w:sz w:val="32"/>
          <w:szCs w:val="32"/>
        </w:rPr>
        <w:t>推出</w:t>
      </w:r>
      <w:r>
        <w:rPr>
          <w:rFonts w:ascii="仿宋_GB2312" w:eastAsia="仿宋_GB2312"/>
          <w:sz w:val="32"/>
          <w:szCs w:val="32"/>
        </w:rPr>
        <w:t>权威</w:t>
      </w:r>
      <w:r>
        <w:rPr>
          <w:rFonts w:hint="eastAsia" w:ascii="仿宋_GB2312" w:eastAsia="仿宋_GB2312"/>
          <w:sz w:val="32"/>
          <w:szCs w:val="32"/>
        </w:rPr>
        <w:t>信息、</w:t>
      </w:r>
      <w:r>
        <w:rPr>
          <w:rFonts w:ascii="仿宋_GB2312" w:eastAsia="仿宋_GB2312"/>
          <w:sz w:val="32"/>
          <w:szCs w:val="32"/>
        </w:rPr>
        <w:t>政策解读、</w:t>
      </w:r>
      <w:r>
        <w:rPr>
          <w:rFonts w:hint="eastAsia" w:ascii="仿宋_GB2312" w:eastAsia="仿宋_GB2312"/>
          <w:sz w:val="32"/>
          <w:szCs w:val="32"/>
        </w:rPr>
        <w:t>专家观点等</w:t>
      </w:r>
      <w:r>
        <w:rPr>
          <w:rFonts w:ascii="仿宋_GB2312" w:eastAsia="仿宋_GB2312"/>
          <w:sz w:val="32"/>
          <w:szCs w:val="32"/>
        </w:rPr>
        <w:t>一批有特色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有影响的专题专栏</w:t>
      </w:r>
      <w:r>
        <w:rPr>
          <w:rFonts w:hint="eastAsia" w:ascii="仿宋_GB2312" w:eastAsia="仿宋_GB2312"/>
          <w:sz w:val="32"/>
          <w:szCs w:val="32"/>
        </w:rPr>
        <w:t>，全年出版39期，发表新闻稿件180余篇，</w:t>
      </w:r>
      <w:r>
        <w:rPr>
          <w:rFonts w:hint="eastAsia" w:ascii="仿宋_GB2312" w:hAnsi="微软雅黑" w:eastAsia="仿宋_GB2312" w:cs="宋体"/>
          <w:kern w:val="0"/>
          <w:sz w:val="32"/>
          <w:szCs w:val="27"/>
          <w:lang w:val="en-US" w:eastAsia="zh-CN" w:bidi="ar-SA"/>
        </w:rPr>
        <w:t>增进了公众对能源工作的了解、支持和认同。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0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+8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+64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+40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+2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18"/>
                <w:lang w:val="en-US" w:eastAsia="zh-CN"/>
              </w:rPr>
              <w:t>365.11万元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0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0" w:leftChars="-30" w:right="-128" w:rightChars="-6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2" w:leftChars="-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2" w:leftChars="-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2" w:leftChars="-51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2" w:leftChars="-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191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0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2" w:leftChars="-71" w:right="-162" w:rightChars="-81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2" w:leftChars="-71" w:right="-162" w:rightChars="-8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1" w:leftChars="-21" w:right="-126" w:rightChars="-63" w:hang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78" w:leftChars="-39" w:right="-92" w:rightChars="-46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2" w:leftChars="-56" w:right="-112" w:rightChars="-56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2" w:leftChars="-56" w:right="-112" w:rightChars="-56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0" w:leftChars="-50" w:right="-120" w:rightChars="-6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41" w:right="-84" w:rightChars="-42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0" w:leftChars="-60" w:right="-130" w:rightChars="-65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0" w:leftChars="-60" w:right="-130" w:rightChars="-65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56" w:leftChars="-78" w:right="-146" w:rightChars="-73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56" w:leftChars="-78" w:right="-146" w:rightChars="-73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4" w:leftChars="-47" w:right="-74" w:rightChars="-37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0" w:leftChars="-65" w:right="-118" w:rightChars="-59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0" w:leftChars="-65" w:right="-118" w:rightChars="-59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5" w:leftChars="-83" w:right="-128" w:rightChars="-64" w:hang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65" w:leftChars="-83" w:right="-128" w:rightChars="-64" w:hanging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4" w:leftChars="-33" w:right="-100" w:rightChars="-50" w:hanging="2" w:hangingChars="1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22" w:firstLineChars="200"/>
        <w:jc w:val="both"/>
        <w:textAlignment w:val="auto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政府信息公开工作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还存在一些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问题：部分处室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、单位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对政府信息公开重视不够，信息公开意识不强，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信息公开的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时效性有待进一步提高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政府信息公开主要集中于结果公开、程序公开，过程公开有待加强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政策解读仍以文字解读为主，政策解读的形式尚需进一步丰富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22" w:firstLineChars="200"/>
        <w:jc w:val="both"/>
        <w:textAlignment w:val="auto"/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2020年，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val="en-US" w:eastAsia="zh-CN"/>
        </w:rPr>
        <w:t>重点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从以下方面改进：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加大对重大公共决策公开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紧密结合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工作职能，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提高信息公开质量，做到突出重点，力求实效。二是进一步加强队伍建设。通过组织学习、培训，不断增强各处室、单位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公开工作意识，提高工作人员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政府信息公开工作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能力和水平。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进一步创新互动模式。强化对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政务微博、微信公众号等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新媒体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，发挥新媒体平台和渠道宣传作用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运用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图片、图表、图解、视频等可视化方式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，加大政策解读回应力度，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不断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扩大</w:t>
      </w:r>
      <w:r>
        <w:rPr>
          <w:rFonts w:hint="eastAsia" w:ascii="仿宋_GB2312" w:eastAsia="仿宋_GB2312" w:cs="宋体"/>
          <w:color w:val="333333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公开受众面和影响力。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firstLine="641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其他需要报告的事项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2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  <w:lang w:eastAsia="zh-CN"/>
        </w:rPr>
        <w:t>无</w:t>
      </w:r>
      <w:bookmarkStart w:id="0" w:name="_GoBack"/>
      <w:bookmarkEnd w:id="0"/>
    </w:p>
    <w:sectPr>
      <w:pgSz w:w="11906" w:h="16838"/>
      <w:pgMar w:top="2098" w:right="1474" w:bottom="1984" w:left="1588" w:header="851" w:footer="1418" w:gutter="0"/>
      <w:cols w:space="425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201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B0"/>
    <w:rsid w:val="000453A2"/>
    <w:rsid w:val="00062AE1"/>
    <w:rsid w:val="00074EF6"/>
    <w:rsid w:val="00096BFB"/>
    <w:rsid w:val="000A35B0"/>
    <w:rsid w:val="000E16F3"/>
    <w:rsid w:val="00110F44"/>
    <w:rsid w:val="00171C76"/>
    <w:rsid w:val="001932D1"/>
    <w:rsid w:val="001D1E58"/>
    <w:rsid w:val="002321AE"/>
    <w:rsid w:val="003607DC"/>
    <w:rsid w:val="003C2C7D"/>
    <w:rsid w:val="003E065B"/>
    <w:rsid w:val="00484C45"/>
    <w:rsid w:val="004928E2"/>
    <w:rsid w:val="00505085"/>
    <w:rsid w:val="00543600"/>
    <w:rsid w:val="006324CF"/>
    <w:rsid w:val="00667049"/>
    <w:rsid w:val="007066F9"/>
    <w:rsid w:val="007D6D4B"/>
    <w:rsid w:val="007F164B"/>
    <w:rsid w:val="00831A33"/>
    <w:rsid w:val="008B061D"/>
    <w:rsid w:val="00917951"/>
    <w:rsid w:val="00920722"/>
    <w:rsid w:val="00975415"/>
    <w:rsid w:val="00A17AFE"/>
    <w:rsid w:val="00A36B67"/>
    <w:rsid w:val="00A662AE"/>
    <w:rsid w:val="00AF0264"/>
    <w:rsid w:val="00B104DF"/>
    <w:rsid w:val="00B33BC1"/>
    <w:rsid w:val="00BB55B8"/>
    <w:rsid w:val="00BD24F0"/>
    <w:rsid w:val="00C334AB"/>
    <w:rsid w:val="00C50B70"/>
    <w:rsid w:val="00CB7012"/>
    <w:rsid w:val="00F044BE"/>
    <w:rsid w:val="0F0C465A"/>
    <w:rsid w:val="16EE3C88"/>
    <w:rsid w:val="21C11E6B"/>
    <w:rsid w:val="2AF47674"/>
    <w:rsid w:val="37034CB1"/>
    <w:rsid w:val="48F9238B"/>
    <w:rsid w:val="4E2536F8"/>
    <w:rsid w:val="54C130A9"/>
    <w:rsid w:val="57635429"/>
    <w:rsid w:val="593475E0"/>
    <w:rsid w:val="755E61F6"/>
    <w:rsid w:val="7EA9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name="heading 1"/>
    <w:lsdException w:qFormat="1" w:unhideWhenUsed="0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semiHidden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semiHidden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大标题"/>
    <w:basedOn w:val="2"/>
    <w:next w:val="1"/>
    <w:link w:val="15"/>
    <w:qFormat/>
    <w:uiPriority w:val="0"/>
    <w:pPr>
      <w:spacing w:before="0" w:after="0" w:line="560" w:lineRule="exact"/>
      <w:jc w:val="center"/>
    </w:pPr>
    <w:rPr>
      <w:rFonts w:ascii="方正小标宋简体" w:eastAsia="方正小标宋简体"/>
      <w:b w:val="0"/>
    </w:rPr>
  </w:style>
  <w:style w:type="character" w:customStyle="1" w:styleId="15">
    <w:name w:val="大标题 Char"/>
    <w:basedOn w:val="11"/>
    <w:link w:val="14"/>
    <w:qFormat/>
    <w:uiPriority w:val="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16">
    <w:name w:val="标题 1 Char"/>
    <w:basedOn w:val="11"/>
    <w:link w:val="2"/>
    <w:semiHidden/>
    <w:qFormat/>
    <w:uiPriority w:val="9"/>
    <w:rPr>
      <w:b/>
      <w:bCs/>
      <w:kern w:val="44"/>
      <w:sz w:val="44"/>
      <w:szCs w:val="44"/>
    </w:rPr>
  </w:style>
  <w:style w:type="paragraph" w:customStyle="1" w:styleId="17">
    <w:name w:val="二级标题"/>
    <w:basedOn w:val="4"/>
    <w:next w:val="1"/>
    <w:link w:val="18"/>
    <w:qFormat/>
    <w:uiPriority w:val="2"/>
    <w:pPr>
      <w:spacing w:before="0" w:after="0" w:line="560" w:lineRule="exact"/>
      <w:ind w:firstLine="200" w:firstLineChars="200"/>
    </w:pPr>
    <w:rPr>
      <w:rFonts w:ascii="楷体_GB2312" w:hAnsi="楷体_GB2312" w:eastAsia="楷体_GB2312"/>
      <w:b w:val="0"/>
    </w:rPr>
  </w:style>
  <w:style w:type="character" w:customStyle="1" w:styleId="18">
    <w:name w:val="二级标题 Char"/>
    <w:basedOn w:val="11"/>
    <w:link w:val="17"/>
    <w:qFormat/>
    <w:uiPriority w:val="2"/>
    <w:rPr>
      <w:rFonts w:ascii="楷体_GB2312" w:hAnsi="楷体_GB2312" w:eastAsia="楷体_GB2312"/>
      <w:bCs/>
      <w:sz w:val="32"/>
      <w:szCs w:val="32"/>
    </w:rPr>
  </w:style>
  <w:style w:type="character" w:customStyle="1" w:styleId="19">
    <w:name w:val="标题 3 Char"/>
    <w:basedOn w:val="11"/>
    <w:link w:val="4"/>
    <w:semiHidden/>
    <w:uiPriority w:val="9"/>
    <w:rPr>
      <w:b/>
      <w:bCs/>
      <w:sz w:val="32"/>
      <w:szCs w:val="32"/>
    </w:rPr>
  </w:style>
  <w:style w:type="paragraph" w:customStyle="1" w:styleId="20">
    <w:name w:val="仿宋正文"/>
    <w:basedOn w:val="1"/>
    <w:link w:val="21"/>
    <w:qFormat/>
    <w:uiPriority w:val="5"/>
    <w:pPr>
      <w:spacing w:line="560" w:lineRule="exact"/>
      <w:ind w:firstLine="632" w:firstLineChars="200"/>
      <w:jc w:val="left"/>
    </w:pPr>
    <w:rPr>
      <w:rFonts w:ascii="仿宋_GB2312" w:eastAsia="仿宋_GB2312"/>
      <w:sz w:val="32"/>
      <w:szCs w:val="32"/>
    </w:rPr>
  </w:style>
  <w:style w:type="character" w:customStyle="1" w:styleId="21">
    <w:name w:val="仿宋正文 Char"/>
    <w:basedOn w:val="11"/>
    <w:link w:val="20"/>
    <w:qFormat/>
    <w:uiPriority w:val="5"/>
    <w:rPr>
      <w:rFonts w:ascii="仿宋_GB2312" w:eastAsia="仿宋_GB2312"/>
      <w:sz w:val="32"/>
      <w:szCs w:val="32"/>
    </w:rPr>
  </w:style>
  <w:style w:type="paragraph" w:customStyle="1" w:styleId="22">
    <w:name w:val="三级标题"/>
    <w:basedOn w:val="5"/>
    <w:next w:val="20"/>
    <w:link w:val="23"/>
    <w:qFormat/>
    <w:uiPriority w:val="3"/>
    <w:pPr>
      <w:spacing w:before="0" w:after="0" w:line="560" w:lineRule="exact"/>
      <w:ind w:firstLine="200" w:firstLineChars="200"/>
    </w:pPr>
    <w:rPr>
      <w:rFonts w:ascii="仿宋_GB2312" w:eastAsia="仿宋_GB2312"/>
      <w:b w:val="0"/>
      <w:sz w:val="32"/>
    </w:rPr>
  </w:style>
  <w:style w:type="character" w:customStyle="1" w:styleId="23">
    <w:name w:val="三级标题 Char"/>
    <w:basedOn w:val="11"/>
    <w:link w:val="22"/>
    <w:qFormat/>
    <w:uiPriority w:val="3"/>
    <w:rPr>
      <w:rFonts w:ascii="仿宋_GB2312" w:eastAsia="仿宋_GB2312" w:hAnsiTheme="majorHAnsi" w:cstheme="majorBidi"/>
      <w:bCs/>
      <w:sz w:val="32"/>
      <w:szCs w:val="28"/>
    </w:rPr>
  </w:style>
  <w:style w:type="character" w:customStyle="1" w:styleId="24">
    <w:name w:val="标题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5">
    <w:name w:val="四级标题"/>
    <w:basedOn w:val="5"/>
    <w:next w:val="20"/>
    <w:link w:val="26"/>
    <w:qFormat/>
    <w:uiPriority w:val="4"/>
    <w:pPr>
      <w:spacing w:before="0" w:after="0" w:line="560" w:lineRule="exact"/>
      <w:ind w:firstLine="200" w:firstLineChars="200"/>
    </w:pPr>
    <w:rPr>
      <w:rFonts w:ascii="仿宋_GB2312" w:eastAsia="仿宋_GB2312"/>
      <w:b w:val="0"/>
      <w:sz w:val="32"/>
    </w:rPr>
  </w:style>
  <w:style w:type="character" w:customStyle="1" w:styleId="26">
    <w:name w:val="四级标题 Char"/>
    <w:basedOn w:val="23"/>
    <w:link w:val="25"/>
    <w:qFormat/>
    <w:uiPriority w:val="4"/>
    <w:rPr>
      <w:rFonts w:ascii="仿宋_GB2312" w:eastAsia="仿宋_GB2312" w:hAnsiTheme="majorHAnsi" w:cstheme="majorBidi"/>
      <w:sz w:val="32"/>
      <w:szCs w:val="28"/>
    </w:rPr>
  </w:style>
  <w:style w:type="paragraph" w:customStyle="1" w:styleId="27">
    <w:name w:val="图表标号"/>
    <w:basedOn w:val="1"/>
    <w:next w:val="1"/>
    <w:link w:val="28"/>
    <w:qFormat/>
    <w:uiPriority w:val="6"/>
    <w:pPr>
      <w:spacing w:line="560" w:lineRule="exact"/>
      <w:jc w:val="center"/>
    </w:pPr>
    <w:rPr>
      <w:rFonts w:ascii="仿宋_GB2312" w:hAnsi="宋体" w:eastAsia="仿宋_GB2312" w:cs="宋体"/>
      <w:b/>
      <w:kern w:val="0"/>
      <w:sz w:val="28"/>
      <w:szCs w:val="28"/>
    </w:rPr>
  </w:style>
  <w:style w:type="character" w:customStyle="1" w:styleId="28">
    <w:name w:val="图表标号 Char"/>
    <w:basedOn w:val="11"/>
    <w:link w:val="27"/>
    <w:qFormat/>
    <w:uiPriority w:val="6"/>
    <w:rPr>
      <w:rFonts w:ascii="仿宋_GB2312" w:hAnsi="宋体" w:eastAsia="仿宋_GB2312" w:cs="宋体"/>
      <w:b/>
      <w:kern w:val="0"/>
      <w:sz w:val="28"/>
      <w:szCs w:val="28"/>
    </w:rPr>
  </w:style>
  <w:style w:type="paragraph" w:customStyle="1" w:styleId="29">
    <w:name w:val="一级标题"/>
    <w:basedOn w:val="3"/>
    <w:next w:val="20"/>
    <w:link w:val="30"/>
    <w:qFormat/>
    <w:uiPriority w:val="1"/>
    <w:pPr>
      <w:spacing w:before="0" w:after="0" w:line="560" w:lineRule="exact"/>
      <w:ind w:firstLine="200" w:firstLineChars="200"/>
      <w:jc w:val="left"/>
    </w:pPr>
    <w:rPr>
      <w:rFonts w:ascii="黑体" w:eastAsia="黑体"/>
      <w:b w:val="0"/>
      <w:color w:val="000000" w:themeColor="text1"/>
      <w14:textFill>
        <w14:solidFill>
          <w14:schemeClr w14:val="tx1"/>
        </w14:solidFill>
      </w14:textFill>
    </w:rPr>
  </w:style>
  <w:style w:type="character" w:customStyle="1" w:styleId="30">
    <w:name w:val="一级标题 Char"/>
    <w:basedOn w:val="11"/>
    <w:link w:val="29"/>
    <w:qFormat/>
    <w:uiPriority w:val="1"/>
    <w:rPr>
      <w:rFonts w:ascii="黑体" w:eastAsia="黑体" w:hAnsiTheme="majorHAnsi" w:cstheme="majorBid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31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3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34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1333</Words>
  <Characters>7599</Characters>
  <Lines>63</Lines>
  <Paragraphs>17</Paragraphs>
  <TotalTime>8</TotalTime>
  <ScaleCrop>false</ScaleCrop>
  <LinksUpToDate>false</LinksUpToDate>
  <CharactersWithSpaces>8915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2020-01-23T00:26:00Z</dcterms:created>
  <dc:creator>c</dc:creator>
  <cp:lastModifiedBy>Administrator</cp:lastModifiedBy>
  <cp:lastPrinted>2020-01-23T00:29:00Z</cp:lastPrinted>
  <dcterms:modified xsi:type="dcterms:W3CDTF">2020-02-04T03:18:08Z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