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71B98">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u w:val="none" w:color="auto"/>
        </w:rPr>
      </w:pPr>
      <w:bookmarkStart w:id="0" w:name="_GoBack"/>
      <w:bookmarkEnd w:id="0"/>
    </w:p>
    <w:p w14:paraId="2DD4B3B6">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u w:val="none" w:color="auto"/>
        </w:rPr>
      </w:pPr>
      <w:r>
        <w:rPr>
          <w:rFonts w:hint="eastAsia" w:ascii="方正小标宋_GBK" w:hAnsi="方正小标宋_GBK" w:eastAsia="方正小标宋_GBK" w:cs="方正小标宋_GBK"/>
          <w:b w:val="0"/>
          <w:bCs w:val="0"/>
          <w:color w:val="auto"/>
          <w:sz w:val="44"/>
          <w:szCs w:val="44"/>
          <w:highlight w:val="none"/>
          <w:u w:val="none" w:color="auto"/>
        </w:rPr>
        <w:t>山东省分布式光伏发电开发建设管理</w:t>
      </w:r>
    </w:p>
    <w:p w14:paraId="7BF11C78">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u w:val="none" w:color="auto"/>
          <w:lang w:eastAsia="zh-CN"/>
        </w:rPr>
      </w:pPr>
      <w:r>
        <w:rPr>
          <w:rFonts w:hint="eastAsia" w:ascii="方正小标宋_GBK" w:hAnsi="方正小标宋_GBK" w:eastAsia="方正小标宋_GBK" w:cs="方正小标宋_GBK"/>
          <w:b w:val="0"/>
          <w:bCs w:val="0"/>
          <w:color w:val="auto"/>
          <w:sz w:val="44"/>
          <w:szCs w:val="44"/>
          <w:highlight w:val="none"/>
          <w:u w:val="none" w:color="auto"/>
        </w:rPr>
        <w:t>实施细则</w:t>
      </w:r>
      <w:r>
        <w:rPr>
          <w:rFonts w:hint="eastAsia" w:ascii="方正小标宋_GBK" w:hAnsi="方正小标宋_GBK" w:eastAsia="方正小标宋_GBK" w:cs="方正小标宋_GBK"/>
          <w:b w:val="0"/>
          <w:bCs w:val="0"/>
          <w:color w:val="auto"/>
          <w:sz w:val="44"/>
          <w:szCs w:val="44"/>
          <w:highlight w:val="none"/>
          <w:u w:val="none" w:color="auto"/>
          <w:lang w:eastAsia="zh-CN"/>
        </w:rPr>
        <w:t>（</w:t>
      </w:r>
      <w:r>
        <w:rPr>
          <w:rFonts w:hint="eastAsia" w:ascii="方正小标宋_GBK" w:hAnsi="方正小标宋_GBK" w:eastAsia="方正小标宋_GBK" w:cs="方正小标宋_GBK"/>
          <w:b w:val="0"/>
          <w:bCs w:val="0"/>
          <w:color w:val="auto"/>
          <w:sz w:val="44"/>
          <w:szCs w:val="44"/>
          <w:highlight w:val="none"/>
          <w:u w:val="none" w:color="auto"/>
          <w:lang w:val="en-US" w:eastAsia="zh-CN"/>
        </w:rPr>
        <w:t>征求意见</w:t>
      </w:r>
      <w:r>
        <w:rPr>
          <w:rFonts w:hint="eastAsia" w:ascii="方正小标宋_GBK" w:hAnsi="方正小标宋_GBK" w:eastAsia="方正小标宋_GBK" w:cs="方正小标宋_GBK"/>
          <w:b w:val="0"/>
          <w:bCs w:val="0"/>
          <w:color w:val="auto"/>
          <w:sz w:val="44"/>
          <w:szCs w:val="44"/>
          <w:highlight w:val="none"/>
          <w:u w:val="none" w:color="auto"/>
          <w:lang w:eastAsia="zh-CN"/>
        </w:rPr>
        <w:t>稿）</w:t>
      </w:r>
    </w:p>
    <w:p w14:paraId="10CC6AC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both"/>
        <w:textAlignment w:val="auto"/>
        <w:rPr>
          <w:rFonts w:hint="eastAsia" w:ascii="方正仿宋_GBK" w:hAnsi="方正仿宋_GBK" w:eastAsia="方正仿宋_GBK" w:cs="方正仿宋_GBK"/>
          <w:b w:val="0"/>
          <w:bCs w:val="0"/>
          <w:color w:val="auto"/>
          <w:sz w:val="32"/>
          <w:szCs w:val="32"/>
          <w:highlight w:val="none"/>
          <w:u w:val="none" w:color="auto"/>
          <w:lang w:val="en-US" w:eastAsia="zh-CN"/>
        </w:rPr>
      </w:pPr>
    </w:p>
    <w:p w14:paraId="2FF4AD08">
      <w:pPr>
        <w:keepNext w:val="0"/>
        <w:keepLines w:val="0"/>
        <w:pageBreakBefore w:val="0"/>
        <w:widowControl w:val="0"/>
        <w:numPr>
          <w:ilvl w:val="0"/>
          <w:numId w:val="0"/>
        </w:numPr>
        <w:kinsoku/>
        <w:wordWrap/>
        <w:overflowPunct/>
        <w:topLinePunct w:val="0"/>
        <w:autoSpaceDE/>
        <w:autoSpaceDN/>
        <w:bidi w:val="0"/>
        <w:snapToGrid w:val="0"/>
        <w:spacing w:before="0" w:after="0" w:line="560" w:lineRule="exact"/>
        <w:ind w:left="0" w:leftChars="0" w:right="0" w:rightChars="0" w:firstLine="0" w:firstLineChars="0"/>
        <w:jc w:val="center"/>
        <w:textAlignment w:val="auto"/>
        <w:outlineLvl w:val="0"/>
        <w:rPr>
          <w:rFonts w:hint="eastAsia" w:ascii="黑体" w:hAnsi="黑体" w:eastAsia="黑体" w:cs="黑体"/>
          <w:b w:val="0"/>
          <w:bCs w:val="0"/>
          <w:color w:val="auto"/>
          <w:kern w:val="0"/>
          <w:sz w:val="32"/>
          <w:szCs w:val="32"/>
          <w:highlight w:val="none"/>
          <w:u w:val="none" w:color="auto"/>
          <w:lang w:val="en-US" w:eastAsia="zh-CN" w:bidi="ar-SA"/>
        </w:rPr>
      </w:pPr>
      <w:r>
        <w:rPr>
          <w:rFonts w:hint="eastAsia" w:ascii="黑体" w:hAnsi="黑体" w:eastAsia="黑体" w:cs="黑体"/>
          <w:b w:val="0"/>
          <w:bCs w:val="0"/>
          <w:color w:val="auto"/>
          <w:kern w:val="0"/>
          <w:sz w:val="32"/>
          <w:szCs w:val="32"/>
          <w:highlight w:val="none"/>
          <w:u w:val="none" w:color="auto"/>
          <w:lang w:val="en-US" w:eastAsia="zh-CN" w:bidi="ar-SA"/>
        </w:rPr>
        <w:t>第一章  总  则</w:t>
      </w:r>
    </w:p>
    <w:p w14:paraId="7C24C0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目的和依据</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第一条 </w:t>
      </w:r>
      <w:r>
        <w:rPr>
          <w:rFonts w:hint="eastAsia" w:ascii="仿宋_GB2312" w:hAnsi="仿宋_GB2312" w:eastAsia="仿宋_GB2312" w:cs="仿宋_GB2312"/>
          <w:b w:val="0"/>
          <w:bCs w:val="0"/>
          <w:color w:val="auto"/>
          <w:sz w:val="32"/>
          <w:szCs w:val="32"/>
          <w:highlight w:val="none"/>
          <w:u w:val="none" w:color="auto"/>
          <w:lang w:val="en-US" w:eastAsia="zh-CN"/>
        </w:rPr>
        <w:t>为促进分布式光伏高质量发展，助力构建新型电力系统，根据《中华人民共和国能源法》《中华人民共和国可再生能源法》《分布式光伏发电开发建设管理办法》《电网公平开放监管办法》等有关规定，制定本细则。</w:t>
      </w:r>
    </w:p>
    <w:p w14:paraId="035126C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适用范围</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第二条 </w:t>
      </w:r>
      <w:r>
        <w:rPr>
          <w:rFonts w:hint="eastAsia" w:ascii="仿宋_GB2312" w:hAnsi="仿宋_GB2312" w:eastAsia="仿宋_GB2312" w:cs="仿宋_GB2312"/>
          <w:color w:val="auto"/>
          <w:sz w:val="32"/>
          <w:szCs w:val="32"/>
          <w:highlight w:val="none"/>
          <w:u w:val="none" w:color="auto"/>
        </w:rPr>
        <w:t>分布式光伏发电是指在用户侧开发、在配电网接入、原则上在配电网系统就近平衡调节的光伏发电设施。</w:t>
      </w:r>
      <w:r>
        <w:rPr>
          <w:rFonts w:hint="eastAsia" w:ascii="仿宋_GB2312" w:hAnsi="仿宋_GB2312" w:eastAsia="仿宋_GB2312" w:cs="仿宋_GB2312"/>
          <w:b w:val="0"/>
          <w:bCs w:val="0"/>
          <w:color w:val="auto"/>
          <w:sz w:val="32"/>
          <w:szCs w:val="32"/>
          <w:highlight w:val="none"/>
          <w:u w:val="none" w:color="auto"/>
          <w:lang w:val="en-US" w:eastAsia="zh-CN"/>
        </w:rPr>
        <w:t>本细则适用于山东省行政区域内分布式光伏发电项目的开发建设和运行管理</w:t>
      </w:r>
      <w:r>
        <w:rPr>
          <w:rFonts w:hint="eastAsia" w:ascii="仿宋_GB2312" w:hAnsi="仿宋_GB2312" w:cs="仿宋_GB2312"/>
          <w:b w:val="0"/>
          <w:bCs w:val="0"/>
          <w:color w:val="auto"/>
          <w:sz w:val="32"/>
          <w:szCs w:val="32"/>
          <w:highlight w:val="none"/>
          <w:u w:val="none" w:color="auto"/>
          <w:lang w:val="en-US" w:eastAsia="zh-CN"/>
        </w:rPr>
        <w:t>。农光互补、渔光互补以及小型地面电站光伏发                                               电项目按集中式光伏电站管理。光伏发电与路灯等交通基础设施结合、作为交通设施附属物的不按分布式光伏发电管理。</w:t>
      </w:r>
    </w:p>
    <w:p w14:paraId="3EC4F1D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分布式光伏发电类型</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三</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分布式光伏发电分为自然人户用、非自然人户用、一般工商业和大型工商业四种类型。</w:t>
      </w:r>
    </w:p>
    <w:p w14:paraId="474AF17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自然人户用分布式光伏是指自然人利用自有住宅、庭院投资建设，与公共电网连接点电压等级不超过380伏的分布式光伏；</w:t>
      </w:r>
    </w:p>
    <w:p w14:paraId="284C6BE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非自然人户用分布式光伏是指非自然人利用居民住宅、庭院投资建设，与公共电网连接点电压等级不超过10千伏、总装机容量不超过6兆瓦的分布式光伏；</w:t>
      </w:r>
    </w:p>
    <w:p w14:paraId="7ED464A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一般工商业分布式光伏是指利用党政机关、学校、医院、市政、文化、体育设施、交通场站等公共机构以及工商业厂房等建筑物及其附属场所建设，与公共电网连接点电压等级不超过10千伏、总装机容量原则上不超过6兆瓦的分布式光伏；</w:t>
      </w:r>
    </w:p>
    <w:p w14:paraId="1F17C0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大型工商业分布式光伏是指利用建筑物及其附属场所建设，接入用户侧电网或者与用户开展专线供电（不直接接入公共电网且用户与发电项目投资方为同一法人主体），与公共电网连接点电压等级为35千伏、总装机容量原则上不超过20兆瓦或者与公共电网连接点电压等级为110千伏、总装机容量原则上不超过50兆瓦的分布式光伏。</w:t>
      </w:r>
    </w:p>
    <w:p w14:paraId="01E1F5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以上条款中建筑物及其附属场所应当位于同一用地红线范围内。</w:t>
      </w:r>
    </w:p>
    <w:p w14:paraId="76D4D4F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上网模式</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四</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分布式光伏发电上网模式包括全额上网、全部自发自用、自发自用余电上网三种。</w:t>
      </w:r>
    </w:p>
    <w:p w14:paraId="1C379F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自然人户用、非自然人户用分布式光伏可选择全额上网、全部自发自用或者自发自用余电上网模式。</w:t>
      </w:r>
    </w:p>
    <w:p w14:paraId="31CBF5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一般工商业</w:t>
      </w:r>
      <w:r>
        <w:rPr>
          <w:rFonts w:hint="eastAsia" w:ascii="仿宋_GB2312" w:hAnsi="仿宋_GB2312" w:cs="仿宋_GB2312"/>
          <w:b w:val="0"/>
          <w:bCs w:val="0"/>
          <w:color w:val="auto"/>
          <w:sz w:val="32"/>
          <w:szCs w:val="32"/>
          <w:highlight w:val="none"/>
          <w:u w:val="none" w:color="auto"/>
          <w:lang w:val="en-US" w:eastAsia="zh-CN"/>
        </w:rPr>
        <w:t>、大型工商业分布式光伏原则上</w:t>
      </w:r>
      <w:r>
        <w:rPr>
          <w:rFonts w:hint="eastAsia" w:ascii="仿宋_GB2312" w:hAnsi="仿宋_GB2312" w:eastAsia="仿宋_GB2312" w:cs="仿宋_GB2312"/>
          <w:b w:val="0"/>
          <w:bCs w:val="0"/>
          <w:color w:val="auto"/>
          <w:sz w:val="32"/>
          <w:szCs w:val="32"/>
          <w:highlight w:val="none"/>
          <w:u w:val="none" w:color="auto"/>
          <w:lang w:val="en-US" w:eastAsia="zh-CN"/>
        </w:rPr>
        <w:t>选择全部自发自用模式，也可采用自发自用余电上网模式</w:t>
      </w:r>
      <w:r>
        <w:rPr>
          <w:rFonts w:hint="eastAsia" w:ascii="仿宋_GB2312" w:hAnsi="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采用自发自用余电上网的，年自发自用电量占发电量的比例</w:t>
      </w:r>
      <w:r>
        <w:rPr>
          <w:rFonts w:hint="eastAsia" w:ascii="仿宋_GB2312" w:hAnsi="仿宋_GB2312" w:eastAsia="仿宋_GB2312" w:cs="仿宋_GB2312"/>
          <w:b w:val="0"/>
          <w:bCs w:val="0"/>
          <w:color w:val="auto"/>
          <w:sz w:val="32"/>
          <w:szCs w:val="32"/>
          <w:highlight w:val="none"/>
          <w:u w:val="none" w:color="auto"/>
          <w:lang w:val="en-US" w:eastAsia="zh-CN" w:bidi="ar-SA"/>
        </w:rPr>
        <w:t>不</w:t>
      </w:r>
      <w:r>
        <w:rPr>
          <w:rFonts w:hint="eastAsia" w:ascii="仿宋_GB2312" w:hAnsi="仿宋_GB2312" w:eastAsia="仿宋_GB2312" w:cs="仿宋_GB2312"/>
          <w:b w:val="0"/>
          <w:bCs w:val="0"/>
          <w:color w:val="auto"/>
          <w:sz w:val="32"/>
          <w:szCs w:val="32"/>
          <w:highlight w:val="none"/>
          <w:u w:val="none" w:color="auto"/>
          <w:lang w:val="en-US" w:eastAsia="zh-CN"/>
        </w:rPr>
        <w:t>低于</w:t>
      </w:r>
      <w:r>
        <w:rPr>
          <w:rFonts w:hint="eastAsia" w:ascii="仿宋_GB2312" w:hAnsi="仿宋_GB2312" w:cs="仿宋_GB2312"/>
          <w:b w:val="0"/>
          <w:bCs w:val="0"/>
          <w:color w:val="auto"/>
          <w:sz w:val="32"/>
          <w:szCs w:val="32"/>
          <w:highlight w:val="none"/>
          <w:u w:val="none" w:color="auto"/>
          <w:lang w:val="en-US" w:eastAsia="zh-CN"/>
        </w:rPr>
        <w:t>50</w:t>
      </w:r>
      <w:r>
        <w:rPr>
          <w:rFonts w:hint="eastAsia" w:ascii="仿宋_GB2312" w:hAnsi="仿宋_GB2312" w:eastAsia="仿宋_GB2312" w:cs="仿宋_GB2312"/>
          <w:b w:val="0"/>
          <w:bCs w:val="0"/>
          <w:color w:val="auto"/>
          <w:sz w:val="32"/>
          <w:szCs w:val="32"/>
          <w:highlight w:val="none"/>
          <w:u w:val="none" w:color="auto"/>
          <w:lang w:val="en-US" w:eastAsia="zh-CN"/>
        </w:rPr>
        <w:t>%</w:t>
      </w:r>
      <w:r>
        <w:rPr>
          <w:rFonts w:hint="eastAsia" w:ascii="仿宋_GB2312" w:hAnsi="仿宋_GB2312" w:cs="仿宋_GB2312"/>
          <w:b w:val="0"/>
          <w:bCs w:val="0"/>
          <w:color w:val="auto"/>
          <w:sz w:val="32"/>
          <w:szCs w:val="32"/>
          <w:highlight w:val="none"/>
          <w:u w:val="none" w:color="auto"/>
          <w:lang w:val="en-US" w:eastAsia="zh-CN"/>
        </w:rPr>
        <w:t>，上网电量全部参与电力现货市场</w:t>
      </w:r>
      <w:r>
        <w:rPr>
          <w:rFonts w:hint="eastAsia" w:ascii="仿宋_GB2312" w:hAnsi="仿宋_GB2312" w:eastAsia="仿宋_GB2312" w:cs="仿宋_GB2312"/>
          <w:b w:val="0"/>
          <w:bCs w:val="0"/>
          <w:color w:val="auto"/>
          <w:sz w:val="32"/>
          <w:szCs w:val="32"/>
          <w:highlight w:val="none"/>
          <w:u w:val="none" w:color="auto"/>
          <w:lang w:val="en-US" w:eastAsia="zh-CN"/>
        </w:rPr>
        <w:t>。县</w:t>
      </w:r>
      <w:r>
        <w:rPr>
          <w:rFonts w:hint="eastAsia" w:ascii="仿宋_GB2312" w:hAnsi="仿宋_GB2312" w:cs="仿宋_GB2312"/>
          <w:b w:val="0"/>
          <w:bCs w:val="0"/>
          <w:color w:val="auto"/>
          <w:sz w:val="32"/>
          <w:szCs w:val="32"/>
          <w:highlight w:val="none"/>
          <w:u w:val="none" w:color="auto"/>
          <w:lang w:val="en-US" w:eastAsia="zh-CN"/>
        </w:rPr>
        <w:t>（市、区）</w:t>
      </w:r>
      <w:r>
        <w:rPr>
          <w:rFonts w:hint="eastAsia" w:ascii="仿宋_GB2312" w:hAnsi="仿宋_GB2312" w:eastAsia="仿宋_GB2312" w:cs="仿宋_GB2312"/>
          <w:b w:val="0"/>
          <w:bCs w:val="0"/>
          <w:color w:val="auto"/>
          <w:sz w:val="32"/>
          <w:szCs w:val="32"/>
          <w:highlight w:val="none"/>
          <w:u w:val="none" w:color="auto"/>
          <w:lang w:val="en-US" w:eastAsia="zh-CN"/>
        </w:rPr>
        <w:t>能源主管部门会同</w:t>
      </w:r>
      <w:r>
        <w:rPr>
          <w:rFonts w:hint="eastAsia" w:ascii="仿宋_GB2312" w:hAnsi="仿宋_GB2312" w:cs="仿宋_GB2312"/>
          <w:b w:val="0"/>
          <w:bCs w:val="0"/>
          <w:color w:val="auto"/>
          <w:sz w:val="32"/>
          <w:szCs w:val="32"/>
          <w:highlight w:val="none"/>
          <w:u w:val="none" w:color="auto"/>
          <w:lang w:val="en-US" w:eastAsia="zh-CN"/>
        </w:rPr>
        <w:t>同级</w:t>
      </w:r>
      <w:r>
        <w:rPr>
          <w:rFonts w:hint="eastAsia" w:ascii="仿宋_GB2312" w:hAnsi="仿宋_GB2312" w:eastAsia="仿宋_GB2312" w:cs="仿宋_GB2312"/>
          <w:b w:val="0"/>
          <w:bCs w:val="0"/>
          <w:color w:val="auto"/>
          <w:sz w:val="32"/>
          <w:szCs w:val="32"/>
          <w:highlight w:val="none"/>
          <w:u w:val="none" w:color="auto"/>
          <w:lang w:val="en-US" w:eastAsia="zh-CN"/>
        </w:rPr>
        <w:t>电网企业对一般工商业、大型工商业分布式光伏自发自用电量比例</w:t>
      </w:r>
      <w:r>
        <w:rPr>
          <w:rFonts w:hint="eastAsia" w:ascii="仿宋_GB2312" w:hAnsi="仿宋_GB2312" w:cs="仿宋_GB2312"/>
          <w:b w:val="0"/>
          <w:bCs w:val="0"/>
          <w:color w:val="auto"/>
          <w:sz w:val="32"/>
          <w:szCs w:val="32"/>
          <w:highlight w:val="none"/>
          <w:u w:val="none" w:color="auto"/>
          <w:lang w:val="en-US" w:eastAsia="zh-CN"/>
        </w:rPr>
        <w:t>（自并网投产次月起）</w:t>
      </w:r>
      <w:r>
        <w:rPr>
          <w:rFonts w:hint="eastAsia" w:ascii="仿宋_GB2312" w:hAnsi="仿宋_GB2312" w:eastAsia="仿宋_GB2312" w:cs="仿宋_GB2312"/>
          <w:b w:val="0"/>
          <w:bCs w:val="0"/>
          <w:color w:val="auto"/>
          <w:sz w:val="32"/>
          <w:szCs w:val="32"/>
          <w:highlight w:val="none"/>
          <w:u w:val="none" w:color="auto"/>
          <w:lang w:val="en-US" w:eastAsia="zh-CN"/>
        </w:rPr>
        <w:t>进行监测评估，对于年自发自用电量低于</w:t>
      </w:r>
      <w:r>
        <w:rPr>
          <w:rFonts w:hint="eastAsia" w:ascii="仿宋_GB2312" w:hAnsi="仿宋_GB2312" w:cs="仿宋_GB2312"/>
          <w:b w:val="0"/>
          <w:bCs w:val="0"/>
          <w:color w:val="auto"/>
          <w:sz w:val="32"/>
          <w:szCs w:val="32"/>
          <w:highlight w:val="none"/>
          <w:u w:val="none" w:color="auto"/>
          <w:lang w:val="en-US" w:eastAsia="zh-CN"/>
        </w:rPr>
        <w:t>50%</w:t>
      </w:r>
      <w:r>
        <w:rPr>
          <w:rFonts w:hint="eastAsia" w:ascii="仿宋_GB2312" w:hAnsi="仿宋_GB2312" w:eastAsia="仿宋_GB2312" w:cs="仿宋_GB2312"/>
          <w:b w:val="0"/>
          <w:bCs w:val="0"/>
          <w:color w:val="auto"/>
          <w:sz w:val="32"/>
          <w:szCs w:val="32"/>
          <w:highlight w:val="none"/>
          <w:u w:val="none" w:color="auto"/>
          <w:lang w:val="en-US" w:eastAsia="zh-CN"/>
        </w:rPr>
        <w:t>的项目，年超比例上网电量结算部分，由电网企业按</w:t>
      </w:r>
      <w:r>
        <w:rPr>
          <w:rFonts w:hint="eastAsia" w:ascii="仿宋_GB2312" w:hAnsi="仿宋_GB2312" w:cs="仿宋_GB2312"/>
          <w:b w:val="0"/>
          <w:bCs w:val="0"/>
          <w:color w:val="auto"/>
          <w:sz w:val="32"/>
          <w:szCs w:val="32"/>
          <w:highlight w:val="none"/>
          <w:u w:val="none" w:color="auto"/>
          <w:lang w:val="en-US" w:eastAsia="zh-CN"/>
        </w:rPr>
        <w:t>本项目</w:t>
      </w:r>
      <w:r>
        <w:rPr>
          <w:rFonts w:hint="eastAsia" w:ascii="仿宋_GB2312" w:hAnsi="仿宋_GB2312" w:eastAsia="仿宋_GB2312" w:cs="仿宋_GB2312"/>
          <w:b w:val="0"/>
          <w:bCs w:val="0"/>
          <w:color w:val="auto"/>
          <w:sz w:val="32"/>
          <w:szCs w:val="32"/>
          <w:highlight w:val="none"/>
          <w:u w:val="none" w:color="auto"/>
          <w:lang w:val="en-US" w:eastAsia="zh-CN"/>
        </w:rPr>
        <w:t>同年上网电量平均结算价格在次年扣除。</w:t>
      </w:r>
    </w:p>
    <w:p w14:paraId="6DA122A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涉及自发自用的，用户和分布式光伏发电项目应位于同一用地红线范围内</w:t>
      </w:r>
      <w:r>
        <w:rPr>
          <w:rFonts w:hint="eastAsia" w:ascii="仿宋_GB2312" w:hAnsi="仿宋_GB2312" w:eastAsia="仿宋_GB2312" w:cs="仿宋_GB2312"/>
          <w:b w:val="0"/>
          <w:bCs w:val="0"/>
          <w:strike w:val="0"/>
          <w:color w:val="auto"/>
          <w:sz w:val="32"/>
          <w:szCs w:val="32"/>
          <w:highlight w:val="none"/>
          <w:u w:val="none" w:color="auto"/>
          <w:lang w:val="en-US" w:eastAsia="zh-CN"/>
        </w:rPr>
        <w:t>。</w:t>
      </w:r>
    </w:p>
    <w:p w14:paraId="41B4D55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职责分工</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五</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cs="仿宋_GB2312"/>
          <w:b w:val="0"/>
          <w:bCs w:val="0"/>
          <w:color w:val="auto"/>
          <w:sz w:val="32"/>
          <w:szCs w:val="32"/>
          <w:highlight w:val="none"/>
          <w:u w:val="none" w:color="auto"/>
          <w:lang w:val="en-US" w:eastAsia="zh-CN"/>
        </w:rPr>
        <w:t>各级能源主管部门</w:t>
      </w:r>
      <w:r>
        <w:rPr>
          <w:rFonts w:hint="eastAsia" w:ascii="仿宋_GB2312" w:hAnsi="仿宋_GB2312" w:eastAsia="仿宋_GB2312" w:cs="仿宋_GB2312"/>
          <w:b w:val="0"/>
          <w:bCs w:val="0"/>
          <w:color w:val="auto"/>
          <w:sz w:val="32"/>
          <w:szCs w:val="32"/>
          <w:highlight w:val="none"/>
          <w:u w:val="none" w:color="auto"/>
          <w:lang w:val="en-US" w:eastAsia="zh-CN"/>
        </w:rPr>
        <w:t>负责</w:t>
      </w:r>
      <w:r>
        <w:rPr>
          <w:rFonts w:hint="eastAsia" w:ascii="仿宋_GB2312" w:hAnsi="仿宋_GB2312" w:cs="仿宋_GB2312"/>
          <w:b w:val="0"/>
          <w:bCs w:val="0"/>
          <w:color w:val="auto"/>
          <w:sz w:val="32"/>
          <w:szCs w:val="32"/>
          <w:highlight w:val="none"/>
          <w:u w:val="none" w:color="auto"/>
          <w:lang w:val="en-US" w:eastAsia="zh-CN"/>
        </w:rPr>
        <w:t>辖区内</w:t>
      </w:r>
      <w:r>
        <w:rPr>
          <w:rFonts w:hint="eastAsia" w:ascii="仿宋_GB2312" w:hAnsi="仿宋_GB2312" w:eastAsia="仿宋_GB2312" w:cs="仿宋_GB2312"/>
          <w:b w:val="0"/>
          <w:bCs w:val="0"/>
          <w:color w:val="auto"/>
          <w:sz w:val="32"/>
          <w:szCs w:val="32"/>
          <w:highlight w:val="none"/>
          <w:u w:val="none" w:color="auto"/>
          <w:lang w:val="en-US" w:eastAsia="zh-CN"/>
        </w:rPr>
        <w:t>分布式光伏发电开发建设和运行的行业管理工作</w:t>
      </w:r>
      <w:r>
        <w:rPr>
          <w:rFonts w:hint="eastAsia" w:ascii="仿宋_GB2312" w:hAnsi="仿宋_GB2312" w:cs="仿宋_GB2312"/>
          <w:b w:val="0"/>
          <w:bCs w:val="0"/>
          <w:color w:val="auto"/>
          <w:sz w:val="32"/>
          <w:szCs w:val="32"/>
          <w:highlight w:val="none"/>
          <w:u w:val="none" w:color="auto"/>
          <w:lang w:val="en-US" w:eastAsia="zh-CN"/>
        </w:rPr>
        <w:t>，推动有关方面按照国家法律法规等规定做好分布式光伏发电的安全生产监督管理工作。</w:t>
      </w:r>
      <w:r>
        <w:rPr>
          <w:rFonts w:hint="eastAsia" w:ascii="仿宋_GB2312" w:hAnsi="仿宋_GB2312" w:eastAsia="仿宋_GB2312" w:cs="仿宋_GB2312"/>
          <w:b w:val="0"/>
          <w:bCs w:val="0"/>
          <w:color w:val="auto"/>
          <w:sz w:val="32"/>
          <w:szCs w:val="32"/>
          <w:highlight w:val="none"/>
          <w:u w:val="none" w:color="auto"/>
          <w:lang w:val="en-US" w:eastAsia="zh-CN"/>
        </w:rPr>
        <w:t>国家能源局山东监管办负责全省分布式光伏发电的国家政策执行、公平接网、电力消纳、市场交易、结算等方面的监管工作。电网企业承担分布式光伏发电并网条件的落实或者认定、电网接入与改造升级、调度能力优化、电量收购</w:t>
      </w:r>
      <w:r>
        <w:rPr>
          <w:rFonts w:hint="eastAsia" w:ascii="仿宋_GB2312" w:hAnsi="仿宋_GB2312" w:cs="仿宋_GB2312"/>
          <w:b w:val="0"/>
          <w:bCs w:val="0"/>
          <w:color w:val="auto"/>
          <w:sz w:val="32"/>
          <w:szCs w:val="32"/>
          <w:highlight w:val="none"/>
          <w:u w:val="none" w:color="auto"/>
          <w:lang w:val="en-US" w:eastAsia="zh-CN"/>
        </w:rPr>
        <w:t>、电能质量管理</w:t>
      </w:r>
      <w:r>
        <w:rPr>
          <w:rFonts w:hint="eastAsia" w:ascii="仿宋_GB2312" w:hAnsi="仿宋_GB2312" w:eastAsia="仿宋_GB2312" w:cs="仿宋_GB2312"/>
          <w:b w:val="0"/>
          <w:bCs w:val="0"/>
          <w:color w:val="auto"/>
          <w:sz w:val="32"/>
          <w:szCs w:val="32"/>
          <w:highlight w:val="none"/>
          <w:u w:val="none" w:color="auto"/>
          <w:lang w:val="en-US" w:eastAsia="zh-CN"/>
        </w:rPr>
        <w:t>等工作，配合各级能源主管部门开展分布式光伏发电接入电网承载力及提升措施评估。</w:t>
      </w:r>
    </w:p>
    <w:p w14:paraId="793493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p>
    <w:p w14:paraId="20F11E58">
      <w:pPr>
        <w:keepNext w:val="0"/>
        <w:keepLines w:val="0"/>
        <w:pageBreakBefore w:val="0"/>
        <w:widowControl w:val="0"/>
        <w:numPr>
          <w:ilvl w:val="0"/>
          <w:numId w:val="0"/>
        </w:numPr>
        <w:kinsoku/>
        <w:wordWrap/>
        <w:overflowPunct/>
        <w:topLinePunct w:val="0"/>
        <w:autoSpaceDE/>
        <w:autoSpaceDN/>
        <w:bidi w:val="0"/>
        <w:snapToGrid w:val="0"/>
        <w:spacing w:before="0" w:after="0" w:line="560" w:lineRule="exact"/>
        <w:ind w:left="0" w:leftChars="0" w:right="0" w:rightChars="0" w:firstLine="0" w:firstLineChars="0"/>
        <w:jc w:val="center"/>
        <w:textAlignment w:val="auto"/>
        <w:outlineLvl w:val="0"/>
        <w:rPr>
          <w:rFonts w:hint="eastAsia" w:ascii="黑体" w:hAnsi="黑体" w:eastAsia="黑体" w:cs="黑体"/>
          <w:b w:val="0"/>
          <w:bCs w:val="0"/>
          <w:color w:val="auto"/>
          <w:kern w:val="0"/>
          <w:sz w:val="32"/>
          <w:szCs w:val="32"/>
          <w:highlight w:val="none"/>
          <w:u w:val="none" w:color="auto"/>
          <w:lang w:val="en-US" w:eastAsia="zh-CN" w:bidi="ar-SA"/>
        </w:rPr>
      </w:pPr>
      <w:r>
        <w:rPr>
          <w:rFonts w:hint="eastAsia" w:ascii="黑体" w:hAnsi="黑体" w:eastAsia="黑体" w:cs="黑体"/>
          <w:b w:val="0"/>
          <w:bCs w:val="0"/>
          <w:color w:val="auto"/>
          <w:kern w:val="0"/>
          <w:sz w:val="32"/>
          <w:szCs w:val="32"/>
          <w:highlight w:val="none"/>
          <w:u w:val="none" w:color="auto"/>
          <w:lang w:val="en-US" w:eastAsia="zh-CN" w:bidi="ar-SA"/>
        </w:rPr>
        <w:t>第二章 投资开发</w:t>
      </w:r>
    </w:p>
    <w:p w14:paraId="53E745D6">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规模管理</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六</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市级能源主管部门</w:t>
      </w:r>
      <w:r>
        <w:rPr>
          <w:rFonts w:hint="eastAsia" w:ascii="仿宋_GB2312" w:hAnsi="仿宋_GB2312" w:cs="仿宋_GB2312"/>
          <w:b w:val="0"/>
          <w:bCs w:val="0"/>
          <w:color w:val="auto"/>
          <w:sz w:val="32"/>
          <w:szCs w:val="32"/>
          <w:highlight w:val="none"/>
          <w:u w:val="none" w:color="auto"/>
          <w:lang w:val="en-US" w:eastAsia="zh-CN"/>
        </w:rPr>
        <w:t>会同电网企业，</w:t>
      </w:r>
      <w:r>
        <w:rPr>
          <w:rFonts w:hint="eastAsia" w:ascii="仿宋_GB2312" w:hAnsi="仿宋_GB2312" w:eastAsia="仿宋_GB2312" w:cs="仿宋_GB2312"/>
          <w:b w:val="0"/>
          <w:bCs w:val="0"/>
          <w:color w:val="auto"/>
          <w:sz w:val="32"/>
          <w:szCs w:val="32"/>
          <w:highlight w:val="none"/>
          <w:u w:val="none" w:color="auto"/>
          <w:lang w:val="en-US" w:eastAsia="zh-CN"/>
        </w:rPr>
        <w:t>综合考虑电力供需形势、系统消纳条件、电网接入承载力、新能源利用率</w:t>
      </w:r>
      <w:r>
        <w:rPr>
          <w:rFonts w:hint="eastAsia" w:ascii="仿宋_GB2312" w:hAnsi="仿宋_GB2312" w:cs="仿宋_GB2312"/>
          <w:b w:val="0"/>
          <w:bCs w:val="0"/>
          <w:color w:val="auto"/>
          <w:sz w:val="32"/>
          <w:szCs w:val="32"/>
          <w:highlight w:val="none"/>
          <w:u w:val="none" w:color="auto"/>
          <w:lang w:val="en-US" w:eastAsia="zh-CN"/>
        </w:rPr>
        <w:t>等方面</w:t>
      </w:r>
      <w:r>
        <w:rPr>
          <w:rFonts w:hint="eastAsia" w:ascii="仿宋_GB2312" w:hAnsi="仿宋_GB2312" w:eastAsia="仿宋_GB2312" w:cs="仿宋_GB2312"/>
          <w:b w:val="0"/>
          <w:bCs w:val="0"/>
          <w:color w:val="auto"/>
          <w:sz w:val="32"/>
          <w:szCs w:val="32"/>
          <w:highlight w:val="none"/>
          <w:u w:val="none" w:color="auto"/>
          <w:lang w:val="en-US" w:eastAsia="zh-CN"/>
        </w:rPr>
        <w:t>，提出本地区分布式光伏发电年度建设规模，合理布局分布式光伏发电。</w:t>
      </w:r>
    </w:p>
    <w:p w14:paraId="0AC685F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投资主体</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七</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鼓励符合法律规定的各类电力用户、投资企业、专业化合同能源服务公司、自然人作为投资主体，依法依规开发建设和经营分布式光伏发电项目。各类投资主体要充分考虑电网承载力、消纳能力等因素，规范开发建设行为，保障分布式光伏发电健康有序发展。电网企业</w:t>
      </w:r>
      <w:r>
        <w:rPr>
          <w:rFonts w:hint="eastAsia" w:ascii="仿宋_GB2312" w:hAnsi="仿宋_GB2312" w:cs="仿宋_GB2312"/>
          <w:b w:val="0"/>
          <w:bCs w:val="0"/>
          <w:color w:val="auto"/>
          <w:sz w:val="32"/>
          <w:szCs w:val="32"/>
          <w:highlight w:val="none"/>
          <w:u w:val="none" w:color="auto"/>
          <w:lang w:val="en-US" w:eastAsia="zh-CN"/>
        </w:rPr>
        <w:t>要</w:t>
      </w:r>
      <w:r>
        <w:rPr>
          <w:rFonts w:hint="eastAsia" w:ascii="仿宋_GB2312" w:hAnsi="仿宋_GB2312" w:eastAsia="仿宋_GB2312" w:cs="仿宋_GB2312"/>
          <w:b w:val="0"/>
          <w:bCs w:val="0"/>
          <w:color w:val="auto"/>
          <w:sz w:val="32"/>
          <w:szCs w:val="32"/>
          <w:highlight w:val="none"/>
          <w:u w:val="none" w:color="auto"/>
          <w:lang w:val="en-US" w:eastAsia="zh-CN"/>
        </w:rPr>
        <w:t>做好</w:t>
      </w:r>
      <w:r>
        <w:rPr>
          <w:rFonts w:hint="eastAsia" w:ascii="仿宋_GB2312" w:hAnsi="仿宋_GB2312" w:cs="仿宋_GB2312"/>
          <w:b w:val="0"/>
          <w:bCs w:val="0"/>
          <w:color w:val="auto"/>
          <w:sz w:val="32"/>
          <w:szCs w:val="32"/>
          <w:highlight w:val="none"/>
          <w:u w:val="none" w:color="auto"/>
          <w:lang w:val="en-US" w:eastAsia="zh-CN"/>
        </w:rPr>
        <w:t>电网</w:t>
      </w:r>
      <w:r>
        <w:rPr>
          <w:rFonts w:hint="eastAsia" w:ascii="仿宋_GB2312" w:hAnsi="仿宋_GB2312" w:eastAsia="仿宋_GB2312" w:cs="仿宋_GB2312"/>
          <w:b w:val="0"/>
          <w:bCs w:val="0"/>
          <w:color w:val="auto"/>
          <w:sz w:val="32"/>
          <w:szCs w:val="32"/>
          <w:highlight w:val="none"/>
          <w:u w:val="none" w:color="auto"/>
          <w:lang w:val="en-US" w:eastAsia="zh-CN"/>
        </w:rPr>
        <w:t>配套的改造升级与投资计划</w:t>
      </w:r>
      <w:r>
        <w:rPr>
          <w:rFonts w:hint="eastAsia" w:ascii="仿宋_GB2312" w:hAnsi="仿宋_GB2312" w:cs="仿宋_GB2312"/>
          <w:b w:val="0"/>
          <w:bCs w:val="0"/>
          <w:color w:val="auto"/>
          <w:sz w:val="32"/>
          <w:szCs w:val="32"/>
          <w:highlight w:val="none"/>
          <w:u w:val="none" w:color="auto"/>
          <w:lang w:val="en-US" w:eastAsia="zh-CN"/>
        </w:rPr>
        <w:t>。</w:t>
      </w:r>
    </w:p>
    <w:p w14:paraId="7DE75C7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优化营商环境</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八</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各市</w:t>
      </w:r>
      <w:r>
        <w:rPr>
          <w:rFonts w:hint="eastAsia" w:ascii="仿宋_GB2312" w:hAnsi="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县</w:t>
      </w:r>
      <w:r>
        <w:rPr>
          <w:rFonts w:hint="eastAsia" w:ascii="仿宋_GB2312" w:hAnsi="仿宋_GB2312" w:cs="仿宋_GB2312"/>
          <w:b w:val="0"/>
          <w:bCs w:val="0"/>
          <w:color w:val="auto"/>
          <w:sz w:val="32"/>
          <w:szCs w:val="32"/>
          <w:highlight w:val="none"/>
          <w:u w:val="none" w:color="auto"/>
          <w:lang w:val="en-US" w:eastAsia="zh-CN"/>
        </w:rPr>
        <w:t>（市、区）</w:t>
      </w:r>
      <w:r>
        <w:rPr>
          <w:rFonts w:hint="eastAsia" w:ascii="仿宋_GB2312" w:hAnsi="仿宋_GB2312" w:eastAsia="仿宋_GB2312" w:cs="仿宋_GB2312"/>
          <w:b w:val="0"/>
          <w:bCs w:val="0"/>
          <w:color w:val="auto"/>
          <w:sz w:val="32"/>
          <w:szCs w:val="32"/>
          <w:highlight w:val="none"/>
          <w:u w:val="none" w:color="auto"/>
          <w:lang w:val="en-US" w:eastAsia="zh-CN"/>
        </w:rPr>
        <w:t>要优化营商环境，规范市场秩序，不得设置违反市场公平竞争的相关条件</w:t>
      </w:r>
      <w:r>
        <w:rPr>
          <w:rFonts w:hint="eastAsia" w:ascii="仿宋_GB2312" w:hAnsi="仿宋_GB2312" w:cs="仿宋_GB2312"/>
          <w:b w:val="0"/>
          <w:bCs w:val="0"/>
          <w:color w:val="auto"/>
          <w:sz w:val="32"/>
          <w:szCs w:val="32"/>
          <w:highlight w:val="none"/>
          <w:u w:val="none" w:color="auto"/>
          <w:lang w:val="en-US" w:eastAsia="zh-CN"/>
        </w:rPr>
        <w:t>，要</w:t>
      </w:r>
      <w:r>
        <w:rPr>
          <w:rFonts w:hint="eastAsia" w:ascii="仿宋_GB2312" w:hAnsi="仿宋_GB2312" w:eastAsia="仿宋_GB2312" w:cs="仿宋_GB2312"/>
          <w:b w:val="0"/>
          <w:bCs w:val="0"/>
          <w:color w:val="auto"/>
          <w:sz w:val="32"/>
          <w:szCs w:val="32"/>
          <w:highlight w:val="none"/>
          <w:u w:val="none" w:color="auto"/>
          <w:lang w:val="en-US" w:eastAsia="zh-CN"/>
        </w:rPr>
        <w:t>会同电网企业等对</w:t>
      </w:r>
      <w:r>
        <w:rPr>
          <w:rFonts w:hint="eastAsia" w:ascii="仿宋_GB2312" w:hAnsi="仿宋_GB2312" w:cs="仿宋_GB2312"/>
          <w:b w:val="0"/>
          <w:bCs w:val="0"/>
          <w:color w:val="auto"/>
          <w:sz w:val="32"/>
          <w:szCs w:val="32"/>
          <w:highlight w:val="none"/>
          <w:u w:val="none" w:color="auto"/>
          <w:lang w:val="en-US" w:eastAsia="zh-CN"/>
        </w:rPr>
        <w:t>有关方面反映</w:t>
      </w:r>
      <w:r>
        <w:rPr>
          <w:rFonts w:hint="eastAsia" w:ascii="仿宋_GB2312" w:hAnsi="仿宋_GB2312" w:eastAsia="仿宋_GB2312" w:cs="仿宋_GB2312"/>
          <w:b w:val="0"/>
          <w:bCs w:val="0"/>
          <w:color w:val="auto"/>
          <w:sz w:val="32"/>
          <w:szCs w:val="32"/>
          <w:highlight w:val="none"/>
          <w:u w:val="none" w:color="auto"/>
          <w:lang w:val="en-US" w:eastAsia="zh-CN"/>
        </w:rPr>
        <w:t>的问题及时协调、督导和纠正。应当尊重建筑产权人意愿，不得以特许权经营方式控制屋顶等分布式光伏发电开发资源，不得限制各类符合条件的投资主体平等参与分布式光伏发电开发建设，不得将强制配套产业或者投资、违规收取项目保证金等作为项目开发建设的门槛。利用农户住宅建设的，应当征得农户同意，切实维护农户合法权益，不得违背农户意愿、强制租赁使用农户住宅。</w:t>
      </w:r>
      <w:r>
        <w:rPr>
          <w:rFonts w:hint="eastAsia" w:ascii="仿宋_GB2312" w:hAnsi="仿宋_GB2312" w:cs="仿宋_GB2312"/>
          <w:b w:val="0"/>
          <w:bCs w:val="0"/>
          <w:color w:val="auto"/>
          <w:sz w:val="32"/>
          <w:szCs w:val="32"/>
          <w:highlight w:val="none"/>
          <w:u w:val="none" w:color="auto"/>
          <w:lang w:val="en-US" w:eastAsia="zh-CN"/>
        </w:rPr>
        <w:t>·</w:t>
      </w:r>
      <w:r>
        <w:rPr>
          <w:rFonts w:hint="eastAsia" w:ascii="仿宋_GB2312" w:hAnsi="仿宋_GB2312" w:cs="仿宋_GB2312"/>
          <w:b w:val="0"/>
          <w:bCs w:val="0"/>
          <w:color w:val="auto"/>
          <w:sz w:val="32"/>
          <w:szCs w:val="32"/>
          <w:highlight w:val="none"/>
          <w:u w:val="none" w:color="auto"/>
          <w:lang w:val="en-US" w:eastAsia="zh-CN"/>
        </w:rPr>
        <w:tab/>
      </w:r>
    </w:p>
    <w:p w14:paraId="0EBB5EA0">
      <w:pPr>
        <w:keepNext w:val="0"/>
        <w:keepLines w:val="0"/>
        <w:pageBreakBefore w:val="0"/>
        <w:widowControl w:val="0"/>
        <w:numPr>
          <w:ilvl w:val="0"/>
          <w:numId w:val="0"/>
        </w:numPr>
        <w:kinsoku/>
        <w:wordWrap/>
        <w:overflowPunct/>
        <w:topLinePunct w:val="0"/>
        <w:autoSpaceDE/>
        <w:autoSpaceDN/>
        <w:bidi w:val="0"/>
        <w:snapToGrid w:val="0"/>
        <w:spacing w:before="0" w:after="0" w:line="560" w:lineRule="exact"/>
        <w:ind w:left="0" w:leftChars="0" w:right="0" w:rightChars="0" w:firstLine="0" w:firstLineChars="0"/>
        <w:jc w:val="both"/>
        <w:textAlignment w:val="auto"/>
        <w:outlineLvl w:val="0"/>
        <w:rPr>
          <w:rFonts w:hint="eastAsia" w:ascii="黑体" w:hAnsi="黑体" w:eastAsia="黑体" w:cs="黑体"/>
          <w:b w:val="0"/>
          <w:bCs w:val="0"/>
          <w:color w:val="auto"/>
          <w:kern w:val="0"/>
          <w:sz w:val="32"/>
          <w:szCs w:val="32"/>
          <w:highlight w:val="none"/>
          <w:u w:val="none" w:color="auto"/>
          <w:lang w:val="en-US" w:eastAsia="zh-CN" w:bidi="ar-SA"/>
        </w:rPr>
      </w:pPr>
    </w:p>
    <w:p w14:paraId="4619980F">
      <w:pPr>
        <w:keepNext w:val="0"/>
        <w:keepLines w:val="0"/>
        <w:pageBreakBefore w:val="0"/>
        <w:widowControl w:val="0"/>
        <w:numPr>
          <w:ilvl w:val="0"/>
          <w:numId w:val="0"/>
        </w:numPr>
        <w:kinsoku/>
        <w:wordWrap/>
        <w:overflowPunct/>
        <w:topLinePunct w:val="0"/>
        <w:autoSpaceDE/>
        <w:autoSpaceDN/>
        <w:bidi w:val="0"/>
        <w:snapToGrid w:val="0"/>
        <w:spacing w:before="0" w:after="0" w:line="560" w:lineRule="exact"/>
        <w:ind w:left="0" w:leftChars="0" w:right="0" w:rightChars="0" w:firstLine="0" w:firstLineChars="0"/>
        <w:jc w:val="center"/>
        <w:textAlignment w:val="auto"/>
        <w:outlineLvl w:val="0"/>
        <w:rPr>
          <w:rFonts w:hint="eastAsia" w:ascii="黑体" w:hAnsi="黑体" w:eastAsia="黑体" w:cs="黑体"/>
          <w:b w:val="0"/>
          <w:bCs w:val="0"/>
          <w:color w:val="auto"/>
          <w:kern w:val="0"/>
          <w:sz w:val="32"/>
          <w:szCs w:val="32"/>
          <w:highlight w:val="none"/>
          <w:u w:val="none" w:color="auto"/>
          <w:lang w:val="en-US" w:eastAsia="zh-CN" w:bidi="ar-SA"/>
        </w:rPr>
      </w:pPr>
      <w:r>
        <w:rPr>
          <w:rFonts w:hint="eastAsia" w:ascii="黑体" w:hAnsi="黑体" w:eastAsia="黑体" w:cs="黑体"/>
          <w:b w:val="0"/>
          <w:bCs w:val="0"/>
          <w:color w:val="auto"/>
          <w:kern w:val="0"/>
          <w:sz w:val="32"/>
          <w:szCs w:val="32"/>
          <w:highlight w:val="none"/>
          <w:u w:val="none" w:color="auto"/>
          <w:lang w:val="en-US" w:eastAsia="zh-CN" w:bidi="ar-SA"/>
        </w:rPr>
        <w:t>第三章 备案管理</w:t>
      </w:r>
    </w:p>
    <w:p w14:paraId="410E83E9">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cs="仿宋_GB2312"/>
          <w:b w:val="0"/>
          <w:bCs w:val="0"/>
          <w:color w:val="auto"/>
          <w:sz w:val="32"/>
          <w:szCs w:val="32"/>
          <w:highlight w:val="none"/>
          <w:u w:val="none" w:color="auto"/>
          <w:lang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备案机关及工作要求</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九</w:t>
      </w:r>
      <w:r>
        <w:rPr>
          <w:rFonts w:hint="eastAsia" w:ascii="仿宋_GB2312" w:hAnsi="仿宋_GB2312" w:eastAsia="仿宋_GB2312" w:cs="仿宋_GB2312"/>
          <w:b w:val="0"/>
          <w:bCs w:val="0"/>
          <w:color w:val="auto"/>
          <w:kern w:val="2"/>
          <w:sz w:val="32"/>
          <w:szCs w:val="32"/>
          <w:highlight w:val="none"/>
          <w:u w:val="none" w:color="auto"/>
          <w:lang w:val="en-US" w:eastAsia="zh-CN" w:bidi="ar-SA"/>
        </w:rPr>
        <w:t>条</w:t>
      </w:r>
      <w:r>
        <w:rPr>
          <w:rFonts w:hint="eastAsia" w:ascii="仿宋_GB2312" w:hAnsi="仿宋_GB2312" w:eastAsia="仿宋_GB2312" w:cs="仿宋_GB2312"/>
          <w:b/>
          <w:bCs/>
          <w:color w:val="auto"/>
          <w:kern w:val="2"/>
          <w:sz w:val="32"/>
          <w:szCs w:val="32"/>
          <w:highlight w:val="none"/>
          <w:u w:val="none" w:color="auto"/>
          <w:lang w:val="en-US" w:eastAsia="zh-CN" w:bidi="ar-SA"/>
        </w:rPr>
        <w:t xml:space="preserve"> </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分布式光伏发电项目实行属地备案管理，</w:t>
      </w:r>
      <w:r>
        <w:rPr>
          <w:rFonts w:hint="eastAsia" w:ascii="仿宋_GB2312" w:hAnsi="仿宋_GB2312" w:cs="仿宋_GB2312"/>
          <w:b w:val="0"/>
          <w:bCs w:val="0"/>
          <w:color w:val="auto"/>
          <w:sz w:val="32"/>
          <w:szCs w:val="32"/>
          <w:highlight w:val="none"/>
          <w:u w:val="none" w:color="auto"/>
          <w:lang w:val="en-US" w:eastAsia="zh-CN"/>
        </w:rPr>
        <w:t>由</w:t>
      </w:r>
      <w:r>
        <w:rPr>
          <w:rFonts w:hint="eastAsia" w:ascii="仿宋_GB2312" w:hAnsi="仿宋_GB2312" w:eastAsia="仿宋_GB2312" w:cs="仿宋_GB2312"/>
          <w:b w:val="0"/>
          <w:bCs w:val="0"/>
          <w:color w:val="auto"/>
          <w:sz w:val="32"/>
          <w:szCs w:val="32"/>
          <w:highlight w:val="none"/>
          <w:u w:val="none" w:color="auto"/>
          <w:lang w:val="en-US" w:eastAsia="zh-CN"/>
        </w:rPr>
        <w:t>各地行政审批部门</w:t>
      </w:r>
      <w:r>
        <w:rPr>
          <w:rFonts w:hint="eastAsia" w:ascii="仿宋_GB2312" w:hAnsi="仿宋_GB2312" w:cs="仿宋_GB2312"/>
          <w:b w:val="0"/>
          <w:bCs w:val="0"/>
          <w:color w:val="auto"/>
          <w:sz w:val="32"/>
          <w:szCs w:val="32"/>
          <w:highlight w:val="none"/>
          <w:u w:val="none" w:color="auto"/>
          <w:lang w:val="en-US" w:eastAsia="zh-CN"/>
        </w:rPr>
        <w:t>或具备职能的能源主管部门进行备案</w:t>
      </w:r>
      <w:r>
        <w:rPr>
          <w:rFonts w:hint="eastAsia" w:ascii="仿宋_GB2312" w:hAnsi="仿宋_GB2312" w:eastAsia="仿宋_GB2312" w:cs="仿宋_GB2312"/>
          <w:b w:val="0"/>
          <w:bCs w:val="0"/>
          <w:color w:val="auto"/>
          <w:sz w:val="32"/>
          <w:szCs w:val="32"/>
          <w:highlight w:val="none"/>
          <w:u w:val="none" w:color="auto"/>
          <w:lang w:val="en-US" w:eastAsia="zh-CN"/>
        </w:rPr>
        <w:t>。备案机关应当</w:t>
      </w:r>
      <w:r>
        <w:rPr>
          <w:rFonts w:hint="eastAsia" w:ascii="仿宋_GB2312" w:hAnsi="仿宋_GB2312" w:eastAsia="仿宋_GB2312" w:cs="仿宋_GB2312"/>
          <w:b w:val="0"/>
          <w:bCs w:val="0"/>
          <w:color w:val="auto"/>
          <w:sz w:val="32"/>
          <w:szCs w:val="32"/>
          <w:highlight w:val="none"/>
          <w:u w:val="none" w:color="auto"/>
        </w:rPr>
        <w:t>结合实际</w:t>
      </w:r>
      <w:r>
        <w:rPr>
          <w:rFonts w:hint="eastAsia" w:ascii="仿宋_GB2312" w:hAnsi="仿宋_GB2312" w:eastAsia="仿宋_GB2312" w:cs="仿宋_GB2312"/>
          <w:b w:val="0"/>
          <w:bCs w:val="0"/>
          <w:color w:val="auto"/>
          <w:sz w:val="32"/>
          <w:szCs w:val="32"/>
          <w:highlight w:val="none"/>
          <w:u w:val="none" w:color="auto"/>
          <w:lang w:val="en-US" w:eastAsia="zh-CN"/>
        </w:rPr>
        <w:t>情况</w:t>
      </w:r>
      <w:r>
        <w:rPr>
          <w:rFonts w:hint="eastAsia" w:ascii="仿宋_GB2312" w:hAnsi="仿宋_GB2312" w:eastAsia="仿宋_GB2312" w:cs="仿宋_GB2312"/>
          <w:b w:val="0"/>
          <w:bCs w:val="0"/>
          <w:color w:val="auto"/>
          <w:sz w:val="32"/>
          <w:szCs w:val="32"/>
          <w:highlight w:val="none"/>
          <w:u w:val="none" w:color="auto"/>
          <w:lang w:eastAsia="zh-CN"/>
        </w:rPr>
        <w:t>，制定并公开分布式</w:t>
      </w:r>
      <w:r>
        <w:rPr>
          <w:rFonts w:hint="eastAsia" w:ascii="仿宋_GB2312" w:hAnsi="仿宋_GB2312" w:eastAsia="仿宋_GB2312" w:cs="仿宋_GB2312"/>
          <w:b w:val="0"/>
          <w:bCs w:val="0"/>
          <w:color w:val="auto"/>
          <w:sz w:val="32"/>
          <w:szCs w:val="32"/>
          <w:highlight w:val="none"/>
          <w:u w:val="none" w:color="auto"/>
          <w:lang w:val="en-US" w:eastAsia="zh-CN"/>
        </w:rPr>
        <w:t>光伏发电</w:t>
      </w:r>
      <w:r>
        <w:rPr>
          <w:rFonts w:hint="eastAsia" w:ascii="仿宋_GB2312" w:hAnsi="仿宋_GB2312" w:eastAsia="仿宋_GB2312" w:cs="仿宋_GB2312"/>
          <w:b w:val="0"/>
          <w:bCs w:val="0"/>
          <w:color w:val="auto"/>
          <w:sz w:val="32"/>
          <w:szCs w:val="32"/>
          <w:highlight w:val="none"/>
          <w:u w:val="none" w:color="auto"/>
          <w:lang w:eastAsia="zh-CN"/>
        </w:rPr>
        <w:t>项目备案</w:t>
      </w:r>
      <w:r>
        <w:rPr>
          <w:rFonts w:hint="eastAsia" w:ascii="仿宋_GB2312" w:hAnsi="仿宋_GB2312" w:cs="仿宋_GB2312"/>
          <w:b w:val="0"/>
          <w:bCs w:val="0"/>
          <w:color w:val="auto"/>
          <w:sz w:val="32"/>
          <w:szCs w:val="32"/>
          <w:highlight w:val="none"/>
          <w:u w:val="none" w:color="auto"/>
          <w:lang w:val="en-US" w:eastAsia="zh-CN"/>
        </w:rPr>
        <w:t>标准模板和</w:t>
      </w:r>
      <w:r>
        <w:rPr>
          <w:rFonts w:hint="eastAsia" w:ascii="仿宋_GB2312" w:hAnsi="仿宋_GB2312" w:eastAsia="仿宋_GB2312" w:cs="仿宋_GB2312"/>
          <w:b w:val="0"/>
          <w:bCs w:val="0"/>
          <w:color w:val="auto"/>
          <w:sz w:val="32"/>
          <w:szCs w:val="32"/>
          <w:highlight w:val="none"/>
          <w:u w:val="none" w:color="auto"/>
          <w:lang w:eastAsia="zh-CN"/>
        </w:rPr>
        <w:t>服务指南，列</w:t>
      </w:r>
      <w:r>
        <w:rPr>
          <w:rFonts w:hint="eastAsia" w:ascii="仿宋_GB2312" w:hAnsi="仿宋_GB2312" w:eastAsia="仿宋_GB2312" w:cs="仿宋_GB2312"/>
          <w:b w:val="0"/>
          <w:bCs w:val="0"/>
          <w:color w:val="auto"/>
          <w:sz w:val="32"/>
          <w:szCs w:val="32"/>
          <w:highlight w:val="none"/>
          <w:u w:val="none" w:color="auto"/>
        </w:rPr>
        <w:t>明</w:t>
      </w:r>
      <w:r>
        <w:rPr>
          <w:rFonts w:hint="eastAsia" w:ascii="仿宋_GB2312" w:hAnsi="仿宋_GB2312" w:eastAsia="仿宋_GB2312" w:cs="仿宋_GB2312"/>
          <w:b w:val="0"/>
          <w:bCs w:val="0"/>
          <w:color w:val="auto"/>
          <w:sz w:val="32"/>
          <w:szCs w:val="32"/>
          <w:highlight w:val="none"/>
          <w:u w:val="none" w:color="auto"/>
          <w:lang w:eastAsia="zh-CN"/>
        </w:rPr>
        <w:t>项目备案所需信息内容、办理流程等，</w:t>
      </w:r>
      <w:r>
        <w:rPr>
          <w:rFonts w:hint="eastAsia" w:ascii="仿宋_GB2312" w:hAnsi="仿宋_GB2312" w:eastAsia="仿宋_GB2312" w:cs="仿宋_GB2312"/>
          <w:b w:val="0"/>
          <w:bCs w:val="0"/>
          <w:color w:val="auto"/>
          <w:sz w:val="32"/>
          <w:szCs w:val="32"/>
          <w:highlight w:val="none"/>
          <w:u w:val="none" w:color="auto"/>
          <w:lang w:val="en-US" w:eastAsia="zh-CN"/>
        </w:rPr>
        <w:t>依法依规</w:t>
      </w:r>
      <w:r>
        <w:rPr>
          <w:rFonts w:hint="eastAsia" w:ascii="仿宋_GB2312" w:hAnsi="仿宋_GB2312" w:eastAsia="仿宋_GB2312" w:cs="仿宋_GB2312"/>
          <w:b w:val="0"/>
          <w:bCs w:val="0"/>
          <w:color w:val="auto"/>
          <w:sz w:val="32"/>
          <w:szCs w:val="32"/>
          <w:highlight w:val="none"/>
          <w:u w:val="none" w:color="auto"/>
          <w:lang w:eastAsia="zh-CN"/>
        </w:rPr>
        <w:t>为投资主体等提供指导和服务</w:t>
      </w:r>
      <w:r>
        <w:rPr>
          <w:rFonts w:hint="eastAsia" w:ascii="仿宋_GB2312" w:hAnsi="仿宋_GB2312" w:cs="仿宋_GB2312"/>
          <w:b w:val="0"/>
          <w:bCs w:val="0"/>
          <w:color w:val="auto"/>
          <w:sz w:val="32"/>
          <w:szCs w:val="32"/>
          <w:highlight w:val="none"/>
          <w:u w:val="none" w:color="auto"/>
          <w:lang w:eastAsia="zh-CN"/>
        </w:rPr>
        <w:t>。</w:t>
      </w:r>
    </w:p>
    <w:p w14:paraId="0F4A41AB">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eastAsia="zh-CN"/>
        </w:rPr>
      </w:pPr>
      <w:r>
        <w:rPr>
          <w:rFonts w:hint="eastAsia" w:ascii="仿宋_GB2312" w:hAnsi="仿宋_GB2312" w:eastAsia="仿宋_GB2312" w:cs="仿宋_GB2312"/>
          <w:b w:val="0"/>
          <w:bCs w:val="0"/>
          <w:color w:val="auto"/>
          <w:sz w:val="32"/>
          <w:szCs w:val="32"/>
          <w:highlight w:val="none"/>
          <w:u w:val="none" w:color="auto"/>
          <w:lang w:bidi="ar-SA"/>
        </w:rPr>
        <w:t>备案机关及其工作人员应当依法对项目进行备案，不得擅自增加备案文件要求，不得超出办理时限。除法律法规明确规定外，不得要求企业必须在某地登记注册，不得为企业跨区域经营或</w:t>
      </w:r>
      <w:r>
        <w:rPr>
          <w:rFonts w:hint="eastAsia" w:ascii="仿宋_GB2312" w:hAnsi="仿宋_GB2312" w:eastAsia="仿宋_GB2312" w:cs="仿宋_GB2312"/>
          <w:b w:val="0"/>
          <w:bCs w:val="0"/>
          <w:color w:val="auto"/>
          <w:kern w:val="0"/>
          <w:sz w:val="32"/>
          <w:szCs w:val="32"/>
          <w:highlight w:val="none"/>
          <w:u w:val="none" w:color="auto"/>
          <w:lang w:eastAsia="zh-CN" w:bidi="ar-SA"/>
        </w:rPr>
        <w:t>者</w:t>
      </w:r>
      <w:r>
        <w:rPr>
          <w:rFonts w:hint="eastAsia" w:ascii="仿宋_GB2312" w:hAnsi="仿宋_GB2312" w:eastAsia="仿宋_GB2312" w:cs="仿宋_GB2312"/>
          <w:b w:val="0"/>
          <w:bCs w:val="0"/>
          <w:color w:val="auto"/>
          <w:sz w:val="32"/>
          <w:szCs w:val="32"/>
          <w:highlight w:val="none"/>
          <w:u w:val="none" w:color="auto"/>
          <w:lang w:bidi="ar-SA"/>
        </w:rPr>
        <w:t>迁移设置障碍，不得以备案、认证、要求设立分公司等形式设定或者变相设定准入障碍。</w:t>
      </w:r>
    </w:p>
    <w:p w14:paraId="4F64CE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备案主体</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十</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按照“谁投资、谁备案”原则确定备案主体。自然人户用分布式光伏发电项目由自然人选择备案方式，可由电网企业集中代理备案，也可由自然人自行备案。电网企业应在供电营业场所公开集中代理备案的具体要求，</w:t>
      </w:r>
      <w:r>
        <w:rPr>
          <w:rFonts w:hint="eastAsia" w:ascii="仿宋_GB2312" w:hAnsi="仿宋_GB2312" w:cs="仿宋_GB2312"/>
          <w:b w:val="0"/>
          <w:bCs w:val="0"/>
          <w:color w:val="auto"/>
          <w:sz w:val="32"/>
          <w:szCs w:val="32"/>
          <w:highlight w:val="none"/>
          <w:u w:val="none" w:color="auto"/>
          <w:lang w:val="en-US" w:eastAsia="zh-CN"/>
        </w:rPr>
        <w:t>明确向备案机关集中提交备案信息的周期时限</w:t>
      </w:r>
      <w:r>
        <w:rPr>
          <w:rFonts w:hint="eastAsia" w:ascii="仿宋_GB2312" w:hAnsi="仿宋_GB2312" w:eastAsia="仿宋_GB2312" w:cs="仿宋_GB2312"/>
          <w:b w:val="0"/>
          <w:bCs w:val="0"/>
          <w:color w:val="auto"/>
          <w:sz w:val="32"/>
          <w:szCs w:val="32"/>
          <w:highlight w:val="none"/>
          <w:u w:val="none" w:color="auto"/>
          <w:lang w:val="en-US" w:eastAsia="zh-CN"/>
        </w:rPr>
        <w:t>，每月提供不低于2次的集中代理备案服务。非自然人户用、一般工商业、大型工商业分布式光伏发电项目由投资主体备案。</w:t>
      </w:r>
    </w:p>
    <w:p w14:paraId="69755A4C">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备案信息</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sz w:val="32"/>
          <w:szCs w:val="32"/>
          <w:highlight w:val="none"/>
          <w:u w:val="none" w:color="auto"/>
          <w:lang w:val="en-US" w:eastAsia="zh-CN"/>
        </w:rPr>
        <w:t>第十</w:t>
      </w:r>
      <w:r>
        <w:rPr>
          <w:rFonts w:hint="eastAsia" w:ascii="仿宋_GB2312" w:hAnsi="仿宋_GB2312" w:cs="仿宋_GB2312"/>
          <w:b w:val="0"/>
          <w:bCs w:val="0"/>
          <w:color w:val="auto"/>
          <w:sz w:val="32"/>
          <w:szCs w:val="32"/>
          <w:highlight w:val="none"/>
          <w:u w:val="none" w:color="auto"/>
          <w:lang w:val="en-US" w:eastAsia="zh-CN"/>
        </w:rPr>
        <w:t>一</w:t>
      </w:r>
      <w:r>
        <w:rPr>
          <w:rFonts w:hint="eastAsia" w:ascii="仿宋_GB2312" w:hAnsi="仿宋_GB2312" w:eastAsia="仿宋_GB2312" w:cs="仿宋_GB2312"/>
          <w:b w:val="0"/>
          <w:bCs w:val="0"/>
          <w:color w:val="auto"/>
          <w:sz w:val="32"/>
          <w:szCs w:val="32"/>
          <w:highlight w:val="none"/>
          <w:u w:val="none" w:color="auto"/>
          <w:lang w:val="en-US" w:eastAsia="zh-CN"/>
        </w:rPr>
        <w:t>条 分布式光伏发电项目的备案信息应当包括项目名称、投资主体、建设地点、项目类型、建设规模、上网模式等，明确直流侧和交流侧容量。</w:t>
      </w:r>
      <w:r>
        <w:rPr>
          <w:rFonts w:hint="eastAsia" w:ascii="仿宋_GB2312" w:hAnsi="仿宋_GB2312" w:cs="仿宋_GB2312"/>
          <w:b w:val="0"/>
          <w:bCs w:val="0"/>
          <w:color w:val="auto"/>
          <w:sz w:val="32"/>
          <w:szCs w:val="32"/>
          <w:highlight w:val="none"/>
          <w:u w:val="none" w:color="auto"/>
          <w:lang w:val="en-US" w:eastAsia="zh-CN"/>
        </w:rPr>
        <w:t>若备案信息不完整</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cs="仿宋_GB2312"/>
          <w:b w:val="0"/>
          <w:bCs w:val="0"/>
          <w:color w:val="auto"/>
          <w:sz w:val="32"/>
          <w:szCs w:val="32"/>
          <w:highlight w:val="none"/>
          <w:u w:val="none" w:color="auto"/>
          <w:lang w:val="en-US" w:eastAsia="zh-CN"/>
        </w:rPr>
        <w:t>备案机关应</w:t>
      </w:r>
      <w:r>
        <w:rPr>
          <w:rFonts w:hint="eastAsia" w:ascii="仿宋_GB2312" w:hAnsi="仿宋_GB2312" w:eastAsia="仿宋_GB2312" w:cs="仿宋_GB2312"/>
          <w:b w:val="0"/>
          <w:bCs w:val="0"/>
          <w:color w:val="auto"/>
          <w:sz w:val="32"/>
          <w:szCs w:val="32"/>
          <w:highlight w:val="none"/>
          <w:u w:val="none" w:color="auto"/>
          <w:lang w:eastAsia="zh-CN"/>
        </w:rPr>
        <w:t>一次性告知备案主体需补正的内容。</w:t>
      </w:r>
      <w:r>
        <w:rPr>
          <w:rFonts w:hint="eastAsia" w:ascii="仿宋_GB2312" w:hAnsi="仿宋_GB2312" w:cs="仿宋_GB2312"/>
          <w:b w:val="0"/>
          <w:bCs w:val="0"/>
          <w:color w:val="auto"/>
          <w:sz w:val="32"/>
          <w:szCs w:val="32"/>
          <w:highlight w:val="none"/>
          <w:u w:val="none" w:color="auto"/>
          <w:lang w:val="en-US" w:eastAsia="zh-CN"/>
        </w:rPr>
        <w:t>备案</w:t>
      </w:r>
      <w:r>
        <w:rPr>
          <w:rFonts w:hint="eastAsia" w:ascii="仿宋_GB2312" w:hAnsi="仿宋_GB2312" w:eastAsia="仿宋_GB2312" w:cs="仿宋_GB2312"/>
          <w:b w:val="0"/>
          <w:bCs w:val="0"/>
          <w:color w:val="auto"/>
          <w:sz w:val="32"/>
          <w:szCs w:val="32"/>
          <w:highlight w:val="none"/>
          <w:u w:val="none" w:color="auto"/>
          <w:lang w:val="en-US" w:eastAsia="zh-CN"/>
        </w:rPr>
        <w:t>主体对</w:t>
      </w:r>
      <w:r>
        <w:rPr>
          <w:rFonts w:hint="eastAsia" w:ascii="仿宋_GB2312" w:hAnsi="仿宋_GB2312" w:cs="仿宋_GB2312"/>
          <w:b w:val="0"/>
          <w:bCs w:val="0"/>
          <w:color w:val="auto"/>
          <w:sz w:val="32"/>
          <w:szCs w:val="32"/>
          <w:highlight w:val="none"/>
          <w:u w:val="none" w:color="auto"/>
          <w:lang w:val="en-US" w:eastAsia="zh-CN"/>
        </w:rPr>
        <w:t>提交备案</w:t>
      </w:r>
      <w:r>
        <w:rPr>
          <w:rFonts w:hint="eastAsia" w:ascii="仿宋_GB2312" w:hAnsi="仿宋_GB2312" w:eastAsia="仿宋_GB2312" w:cs="仿宋_GB2312"/>
          <w:b w:val="0"/>
          <w:bCs w:val="0"/>
          <w:color w:val="auto"/>
          <w:sz w:val="32"/>
          <w:szCs w:val="32"/>
          <w:highlight w:val="none"/>
          <w:u w:val="none" w:color="auto"/>
          <w:lang w:val="en-US" w:eastAsia="zh-CN"/>
        </w:rPr>
        <w:t>信息的真实性、合法性</w:t>
      </w:r>
      <w:r>
        <w:rPr>
          <w:rFonts w:hint="eastAsia" w:ascii="仿宋_GB2312" w:hAnsi="仿宋_GB2312" w:cs="仿宋_GB2312"/>
          <w:b w:val="0"/>
          <w:bCs w:val="0"/>
          <w:color w:val="auto"/>
          <w:sz w:val="32"/>
          <w:szCs w:val="32"/>
          <w:highlight w:val="none"/>
          <w:u w:val="none" w:color="auto"/>
          <w:lang w:val="en-US" w:eastAsia="zh-CN"/>
        </w:rPr>
        <w:t>和</w:t>
      </w:r>
      <w:r>
        <w:rPr>
          <w:rFonts w:hint="eastAsia" w:ascii="仿宋_GB2312" w:hAnsi="仿宋_GB2312" w:eastAsia="仿宋_GB2312" w:cs="仿宋_GB2312"/>
          <w:b w:val="0"/>
          <w:bCs w:val="0"/>
          <w:color w:val="auto"/>
          <w:sz w:val="32"/>
          <w:szCs w:val="32"/>
          <w:highlight w:val="none"/>
          <w:u w:val="none" w:color="auto"/>
          <w:lang w:val="en-US" w:eastAsia="zh-CN"/>
        </w:rPr>
        <w:t>完整性负责</w:t>
      </w:r>
      <w:r>
        <w:rPr>
          <w:rFonts w:hint="eastAsia" w:ascii="仿宋_GB2312" w:hAnsi="仿宋_GB2312" w:cs="仿宋_GB2312"/>
          <w:b w:val="0"/>
          <w:bCs w:val="0"/>
          <w:color w:val="auto"/>
          <w:sz w:val="32"/>
          <w:szCs w:val="32"/>
          <w:highlight w:val="none"/>
          <w:u w:val="none" w:color="auto"/>
          <w:lang w:val="en-US" w:eastAsia="zh-CN"/>
        </w:rPr>
        <w:t>。</w:t>
      </w:r>
    </w:p>
    <w:p w14:paraId="2D2AE9F4">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备案机关应及时向同级能源主管部门、电网企业共享分布式光伏发电项目备案信息等。</w:t>
      </w:r>
    </w:p>
    <w:p w14:paraId="641E57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合并备案</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第十</w:t>
      </w:r>
      <w:r>
        <w:rPr>
          <w:rFonts w:hint="eastAsia" w:ascii="仿宋_GB2312" w:hAnsi="仿宋_GB2312" w:cs="仿宋_GB2312"/>
          <w:b w:val="0"/>
          <w:bCs w:val="0"/>
          <w:color w:val="auto"/>
          <w:kern w:val="2"/>
          <w:sz w:val="32"/>
          <w:szCs w:val="32"/>
          <w:highlight w:val="none"/>
          <w:u w:val="none" w:color="auto"/>
          <w:lang w:val="en-US" w:eastAsia="zh-CN" w:bidi="ar-SA"/>
        </w:rPr>
        <w:t>二</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非自然人户用分布式光伏允许合并备案、分别接入电网。合并备案需满足以下条件：投资主体相同、备案机关相同</w:t>
      </w:r>
      <w:r>
        <w:rPr>
          <w:rFonts w:hint="eastAsia" w:ascii="仿宋_GB2312" w:hAnsi="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单个项目的建设场所、规模及内容明确。其余情况不得将分布式光伏发电项目合并备案。</w:t>
      </w:r>
    </w:p>
    <w:p w14:paraId="020DBD0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备案变更</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第十</w:t>
      </w:r>
      <w:r>
        <w:rPr>
          <w:rFonts w:hint="eastAsia" w:ascii="仿宋_GB2312" w:hAnsi="仿宋_GB2312" w:cs="仿宋_GB2312"/>
          <w:b w:val="0"/>
          <w:bCs w:val="0"/>
          <w:color w:val="auto"/>
          <w:kern w:val="2"/>
          <w:sz w:val="32"/>
          <w:szCs w:val="32"/>
          <w:highlight w:val="none"/>
          <w:u w:val="none" w:color="auto"/>
          <w:lang w:val="en-US" w:eastAsia="zh-CN" w:bidi="ar-SA"/>
        </w:rPr>
        <w:t>三</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投资主体应当按照备案信息进行建设，不得自行变更项目备案信息的重要事项。项目备案后，项目法人发生变化，项目建设地点、规模、内容发生重大变更，或者放弃项目建设的，项目投资主体应当及时告知备案机关</w:t>
      </w:r>
      <w:r>
        <w:rPr>
          <w:rFonts w:hint="eastAsia" w:ascii="仿宋_GB2312" w:hAnsi="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并</w:t>
      </w:r>
      <w:r>
        <w:rPr>
          <w:rFonts w:hint="eastAsia" w:ascii="仿宋_GB2312" w:hAnsi="仿宋_GB2312" w:cs="仿宋_GB2312"/>
          <w:b w:val="0"/>
          <w:bCs w:val="0"/>
          <w:color w:val="auto"/>
          <w:sz w:val="32"/>
          <w:szCs w:val="32"/>
          <w:highlight w:val="none"/>
          <w:u w:val="none" w:color="auto"/>
          <w:lang w:val="en-US" w:eastAsia="zh-CN"/>
        </w:rPr>
        <w:t>在备案机关指导下进行重新备案或修改备案</w:t>
      </w:r>
      <w:r>
        <w:rPr>
          <w:rFonts w:hint="eastAsia" w:ascii="仿宋_GB2312" w:hAnsi="仿宋_GB2312" w:eastAsia="仿宋_GB2312" w:cs="仿宋_GB2312"/>
          <w:b w:val="0"/>
          <w:bCs w:val="0"/>
          <w:color w:val="auto"/>
          <w:sz w:val="32"/>
          <w:szCs w:val="32"/>
          <w:highlight w:val="none"/>
          <w:u w:val="none" w:color="auto"/>
          <w:lang w:val="en-US" w:eastAsia="zh-CN"/>
        </w:rPr>
        <w:t>。项目建成并网后，项目投资主体或发电地址权属等发生变化，应向备案机关办理备案变更。</w:t>
      </w:r>
    </w:p>
    <w:p w14:paraId="5C1129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工商业分布式光伏的电力用户负荷发生较大变化时，可通过参加集中式光伏市场化项目申报等方式，申请将项目调整为集中式光伏电站，</w:t>
      </w:r>
      <w:r>
        <w:rPr>
          <w:rFonts w:hint="eastAsia" w:ascii="仿宋_GB2312" w:hAnsi="仿宋_GB2312" w:cs="仿宋_GB2312"/>
          <w:b w:val="0"/>
          <w:bCs w:val="0"/>
          <w:color w:val="auto"/>
          <w:sz w:val="32"/>
          <w:szCs w:val="32"/>
          <w:highlight w:val="none"/>
          <w:u w:val="none" w:color="auto"/>
          <w:lang w:val="en-US" w:eastAsia="zh-CN"/>
        </w:rPr>
        <w:t>并及时办理备案变更手续</w:t>
      </w:r>
      <w:r>
        <w:rPr>
          <w:rFonts w:hint="eastAsia" w:ascii="仿宋_GB2312" w:hAnsi="仿宋_GB2312" w:eastAsia="仿宋_GB2312" w:cs="仿宋_GB2312"/>
          <w:b w:val="0"/>
          <w:bCs w:val="0"/>
          <w:color w:val="auto"/>
          <w:sz w:val="32"/>
          <w:szCs w:val="32"/>
          <w:highlight w:val="none"/>
          <w:u w:val="none" w:color="auto"/>
          <w:lang w:val="en-US" w:eastAsia="zh-CN"/>
        </w:rPr>
        <w:t>。</w:t>
      </w:r>
    </w:p>
    <w:p w14:paraId="683AFA3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事中事后监管</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val="0"/>
          <w:bCs w:val="0"/>
          <w:color w:val="auto"/>
          <w:kern w:val="2"/>
          <w:sz w:val="32"/>
          <w:szCs w:val="32"/>
          <w:highlight w:val="none"/>
          <w:u w:val="none" w:color="auto"/>
          <w:lang w:val="en-US" w:eastAsia="zh-CN" w:bidi="ar-SA"/>
        </w:rPr>
        <w:t>第十四条</w:t>
      </w:r>
      <w:r>
        <w:rPr>
          <w:rFonts w:hint="eastAsia" w:ascii="仿宋_GB2312" w:hAnsi="仿宋_GB2312" w:cs="仿宋_GB2312"/>
          <w:b/>
          <w:bCs/>
          <w:color w:val="auto"/>
          <w:kern w:val="2"/>
          <w:sz w:val="32"/>
          <w:szCs w:val="32"/>
          <w:highlight w:val="none"/>
          <w:u w:val="none" w:color="auto"/>
          <w:lang w:val="en-US" w:eastAsia="zh-CN" w:bidi="ar-SA"/>
        </w:rPr>
        <w:t xml:space="preserve"> </w:t>
      </w:r>
      <w:r>
        <w:rPr>
          <w:rFonts w:hint="eastAsia" w:ascii="仿宋_GB2312" w:hAnsi="仿宋_GB2312" w:cs="仿宋_GB2312"/>
          <w:b w:val="0"/>
          <w:bCs w:val="0"/>
          <w:color w:val="auto"/>
          <w:sz w:val="32"/>
          <w:szCs w:val="32"/>
          <w:highlight w:val="none"/>
          <w:u w:val="none" w:color="auto"/>
          <w:lang w:val="en-US" w:eastAsia="zh-CN"/>
        </w:rPr>
        <w:t>各市、县（市、区）</w:t>
      </w:r>
      <w:r>
        <w:rPr>
          <w:rFonts w:hint="eastAsia" w:ascii="仿宋_GB2312" w:hAnsi="仿宋_GB2312" w:eastAsia="仿宋_GB2312" w:cs="仿宋_GB2312"/>
          <w:b w:val="0"/>
          <w:bCs w:val="0"/>
          <w:color w:val="auto"/>
          <w:sz w:val="32"/>
          <w:szCs w:val="32"/>
          <w:highlight w:val="none"/>
          <w:u w:val="none" w:color="auto"/>
          <w:lang w:val="en-US" w:eastAsia="zh-CN"/>
        </w:rPr>
        <w:t>能源主管部门</w:t>
      </w:r>
      <w:r>
        <w:rPr>
          <w:rFonts w:hint="eastAsia" w:ascii="仿宋_GB2312" w:hAnsi="仿宋_GB2312" w:cs="仿宋_GB2312"/>
          <w:b w:val="0"/>
          <w:bCs w:val="0"/>
          <w:color w:val="auto"/>
          <w:sz w:val="32"/>
          <w:szCs w:val="32"/>
          <w:highlight w:val="none"/>
          <w:u w:val="none" w:color="auto"/>
          <w:lang w:val="en-US" w:eastAsia="zh-CN"/>
        </w:rPr>
        <w:t>要加强对分布式光伏项目的事中事后监管，</w:t>
      </w:r>
      <w:r>
        <w:rPr>
          <w:rFonts w:hint="eastAsia" w:ascii="仿宋_GB2312" w:hAnsi="仿宋_GB2312" w:eastAsia="仿宋_GB2312" w:cs="仿宋_GB2312"/>
          <w:b w:val="0"/>
          <w:bCs w:val="0"/>
          <w:color w:val="auto"/>
          <w:sz w:val="32"/>
          <w:szCs w:val="32"/>
          <w:highlight w:val="none"/>
          <w:u w:val="none" w:color="auto"/>
          <w:lang w:val="en-US" w:eastAsia="zh-CN"/>
        </w:rPr>
        <w:t>可根据不同类型分布式光伏发电的正常建设周期组织核查，</w:t>
      </w:r>
      <w:r>
        <w:rPr>
          <w:rFonts w:hint="eastAsia" w:ascii="仿宋_GB2312" w:hAnsi="仿宋_GB2312" w:eastAsia="仿宋_GB2312" w:cs="仿宋_GB2312"/>
          <w:b w:val="0"/>
          <w:bCs w:val="0"/>
          <w:i w:val="0"/>
          <w:iCs w:val="0"/>
          <w:color w:val="auto"/>
          <w:sz w:val="32"/>
          <w:szCs w:val="32"/>
          <w:highlight w:val="none"/>
          <w:u w:val="none" w:color="auto"/>
          <w:lang w:val="en-US" w:eastAsia="zh-CN"/>
        </w:rPr>
        <w:t>确保建设地点、项目类型、建设规模、上网模式等与备案信息相符。</w:t>
      </w:r>
      <w:r>
        <w:rPr>
          <w:rFonts w:hint="eastAsia" w:ascii="仿宋_GB2312" w:hAnsi="仿宋_GB2312" w:eastAsia="仿宋_GB2312" w:cs="仿宋_GB2312"/>
          <w:b w:val="0"/>
          <w:bCs w:val="0"/>
          <w:color w:val="auto"/>
          <w:sz w:val="32"/>
          <w:szCs w:val="32"/>
          <w:highlight w:val="none"/>
          <w:u w:val="none" w:color="auto"/>
          <w:lang w:val="en-US" w:eastAsia="zh-CN"/>
        </w:rPr>
        <w:t>对于</w:t>
      </w:r>
      <w:r>
        <w:rPr>
          <w:rFonts w:hint="eastAsia" w:ascii="仿宋_GB2312" w:hAnsi="仿宋_GB2312" w:cs="仿宋_GB2312"/>
          <w:b w:val="0"/>
          <w:bCs w:val="0"/>
          <w:color w:val="auto"/>
          <w:sz w:val="32"/>
          <w:szCs w:val="32"/>
          <w:highlight w:val="none"/>
          <w:u w:val="none" w:color="auto"/>
          <w:lang w:val="en-US" w:eastAsia="zh-CN"/>
        </w:rPr>
        <w:t>已</w:t>
      </w:r>
      <w:r>
        <w:rPr>
          <w:rFonts w:hint="eastAsia" w:ascii="仿宋_GB2312" w:hAnsi="仿宋_GB2312" w:eastAsia="仿宋_GB2312" w:cs="仿宋_GB2312"/>
          <w:b w:val="0"/>
          <w:bCs w:val="0"/>
          <w:color w:val="auto"/>
          <w:sz w:val="32"/>
          <w:szCs w:val="32"/>
          <w:highlight w:val="none"/>
          <w:u w:val="none" w:color="auto"/>
          <w:lang w:val="en-US" w:eastAsia="zh-CN"/>
        </w:rPr>
        <w:t>备案</w:t>
      </w:r>
      <w:r>
        <w:rPr>
          <w:rFonts w:hint="eastAsia" w:ascii="仿宋_GB2312" w:hAnsi="仿宋_GB2312" w:cs="仿宋_GB2312"/>
          <w:b w:val="0"/>
          <w:bCs w:val="0"/>
          <w:color w:val="auto"/>
          <w:sz w:val="32"/>
          <w:szCs w:val="32"/>
          <w:highlight w:val="none"/>
          <w:u w:val="none" w:color="auto"/>
          <w:lang w:val="en-US" w:eastAsia="zh-CN"/>
        </w:rPr>
        <w:t>的</w:t>
      </w:r>
      <w:r>
        <w:rPr>
          <w:rFonts w:hint="eastAsia" w:ascii="仿宋_GB2312" w:hAnsi="仿宋_GB2312" w:eastAsia="仿宋_GB2312" w:cs="仿宋_GB2312"/>
          <w:b w:val="0"/>
          <w:bCs w:val="0"/>
          <w:color w:val="auto"/>
          <w:sz w:val="32"/>
          <w:szCs w:val="32"/>
          <w:highlight w:val="none"/>
          <w:u w:val="none" w:color="auto"/>
          <w:lang w:val="en-US" w:eastAsia="zh-CN"/>
        </w:rPr>
        <w:t>分布式光伏发电</w:t>
      </w:r>
      <w:r>
        <w:rPr>
          <w:rFonts w:hint="eastAsia" w:ascii="仿宋_GB2312" w:hAnsi="仿宋_GB2312" w:cs="仿宋_GB2312"/>
          <w:b w:val="0"/>
          <w:bCs w:val="0"/>
          <w:color w:val="auto"/>
          <w:sz w:val="32"/>
          <w:szCs w:val="32"/>
          <w:highlight w:val="none"/>
          <w:u w:val="none" w:color="auto"/>
          <w:lang w:val="en-US" w:eastAsia="zh-CN"/>
        </w:rPr>
        <w:t>项目，在</w:t>
      </w:r>
      <w:r>
        <w:rPr>
          <w:rFonts w:hint="eastAsia" w:ascii="仿宋_GB2312" w:hAnsi="仿宋_GB2312" w:eastAsia="仿宋_GB2312" w:cs="仿宋_GB2312"/>
          <w:b w:val="0"/>
          <w:bCs w:val="0"/>
          <w:color w:val="auto"/>
          <w:sz w:val="32"/>
          <w:szCs w:val="32"/>
          <w:highlight w:val="none"/>
          <w:u w:val="none" w:color="auto"/>
          <w:lang w:val="en-US" w:eastAsia="zh-CN"/>
        </w:rPr>
        <w:t>取得电网企业</w:t>
      </w:r>
      <w:r>
        <w:rPr>
          <w:rFonts w:hint="eastAsia" w:ascii="仿宋_GB2312" w:hAnsi="仿宋_GB2312" w:cs="仿宋_GB2312"/>
          <w:b w:val="0"/>
          <w:bCs w:val="0"/>
          <w:color w:val="auto"/>
          <w:sz w:val="32"/>
          <w:szCs w:val="32"/>
          <w:highlight w:val="none"/>
          <w:u w:val="none" w:color="auto"/>
          <w:lang w:val="en-US" w:eastAsia="zh-CN"/>
        </w:rPr>
        <w:t>并网意见后</w:t>
      </w:r>
      <w:r>
        <w:rPr>
          <w:rFonts w:hint="eastAsia" w:ascii="仿宋_GB2312" w:hAnsi="仿宋_GB2312" w:eastAsia="仿宋_GB2312" w:cs="仿宋_GB2312"/>
          <w:b w:val="0"/>
          <w:bCs w:val="0"/>
          <w:color w:val="auto"/>
          <w:sz w:val="32"/>
          <w:szCs w:val="32"/>
          <w:highlight w:val="none"/>
          <w:u w:val="none" w:color="auto"/>
          <w:lang w:val="en-US" w:eastAsia="zh-CN"/>
        </w:rPr>
        <w:t>一年内</w:t>
      </w:r>
      <w:r>
        <w:rPr>
          <w:rFonts w:hint="eastAsia" w:ascii="仿宋_GB2312" w:hAnsi="仿宋_GB2312" w:cs="仿宋_GB2312"/>
          <w:b w:val="0"/>
          <w:bCs w:val="0"/>
          <w:color w:val="auto"/>
          <w:sz w:val="32"/>
          <w:szCs w:val="32"/>
          <w:highlight w:val="none"/>
          <w:u w:val="none" w:color="auto"/>
          <w:lang w:val="en-US" w:eastAsia="zh-CN"/>
        </w:rPr>
        <w:t>仍</w:t>
      </w:r>
      <w:r>
        <w:rPr>
          <w:rFonts w:hint="eastAsia" w:ascii="仿宋_GB2312" w:hAnsi="仿宋_GB2312" w:eastAsia="仿宋_GB2312" w:cs="仿宋_GB2312"/>
          <w:b w:val="0"/>
          <w:bCs w:val="0"/>
          <w:color w:val="auto"/>
          <w:sz w:val="32"/>
          <w:szCs w:val="32"/>
          <w:highlight w:val="none"/>
          <w:u w:val="none" w:color="auto"/>
          <w:lang w:val="en-US" w:eastAsia="zh-CN"/>
        </w:rPr>
        <w:t>未建成并网的</w:t>
      </w:r>
      <w:r>
        <w:rPr>
          <w:rFonts w:hint="eastAsia" w:ascii="仿宋_GB2312" w:hAnsi="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能源主管部门组织电网企业</w:t>
      </w:r>
      <w:r>
        <w:rPr>
          <w:rFonts w:hint="eastAsia" w:ascii="仿宋_GB2312" w:hAnsi="仿宋_GB2312" w:cs="仿宋_GB2312"/>
          <w:b w:val="0"/>
          <w:bCs w:val="0"/>
          <w:color w:val="auto"/>
          <w:sz w:val="32"/>
          <w:szCs w:val="32"/>
          <w:highlight w:val="none"/>
          <w:u w:val="none" w:color="auto"/>
          <w:lang w:val="en-US" w:eastAsia="zh-CN"/>
        </w:rPr>
        <w:t>现场核查后，告知投资主体应主动撤销备案，</w:t>
      </w:r>
      <w:r>
        <w:rPr>
          <w:rFonts w:hint="eastAsia" w:ascii="仿宋_GB2312" w:hAnsi="仿宋_GB2312" w:eastAsia="仿宋_GB2312" w:cs="仿宋_GB2312"/>
          <w:b w:val="0"/>
          <w:bCs w:val="0"/>
          <w:color w:val="auto"/>
          <w:sz w:val="32"/>
          <w:szCs w:val="32"/>
          <w:highlight w:val="none"/>
          <w:u w:val="none" w:color="auto"/>
          <w:lang w:val="en-US" w:eastAsia="zh-CN"/>
        </w:rPr>
        <w:t>收回并网容量</w:t>
      </w:r>
      <w:r>
        <w:rPr>
          <w:rFonts w:hint="eastAsia" w:ascii="仿宋_GB2312" w:hAnsi="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b w:val="0"/>
          <w:bCs w:val="0"/>
          <w:color w:val="auto"/>
          <w:sz w:val="32"/>
          <w:szCs w:val="32"/>
          <w:highlight w:val="none"/>
          <w:u w:val="none" w:color="auto"/>
        </w:rPr>
        <w:t>已开工建设的可申请办理</w:t>
      </w:r>
      <w:r>
        <w:rPr>
          <w:rFonts w:hint="eastAsia" w:ascii="仿宋_GB2312" w:hAnsi="仿宋_GB2312" w:cs="仿宋_GB2312"/>
          <w:b w:val="0"/>
          <w:bCs w:val="0"/>
          <w:color w:val="auto"/>
          <w:sz w:val="32"/>
          <w:szCs w:val="32"/>
          <w:highlight w:val="none"/>
          <w:u w:val="none" w:color="auto"/>
          <w:lang w:val="en-US" w:eastAsia="zh-CN"/>
        </w:rPr>
        <w:t>并网意见</w:t>
      </w:r>
      <w:r>
        <w:rPr>
          <w:rFonts w:hint="eastAsia" w:ascii="仿宋_GB2312" w:hAnsi="仿宋_GB2312" w:eastAsia="仿宋_GB2312" w:cs="仿宋_GB2312"/>
          <w:b w:val="0"/>
          <w:bCs w:val="0"/>
          <w:color w:val="auto"/>
          <w:sz w:val="32"/>
          <w:szCs w:val="32"/>
          <w:highlight w:val="none"/>
          <w:u w:val="none" w:color="auto"/>
        </w:rPr>
        <w:t>延期一次，原则上延期不超过6个月</w:t>
      </w:r>
      <w:r>
        <w:rPr>
          <w:rFonts w:hint="eastAsia" w:ascii="仿宋_GB2312" w:hAnsi="仿宋_GB2312" w:cs="仿宋_GB2312"/>
          <w:b w:val="0"/>
          <w:bCs w:val="0"/>
          <w:color w:val="auto"/>
          <w:sz w:val="32"/>
          <w:szCs w:val="32"/>
          <w:highlight w:val="none"/>
          <w:u w:val="none" w:color="auto"/>
          <w:lang w:eastAsia="zh-CN"/>
        </w:rPr>
        <w:t>。</w:t>
      </w:r>
    </w:p>
    <w:p w14:paraId="7D9DC8F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p>
    <w:p w14:paraId="10FB293F">
      <w:pPr>
        <w:keepNext w:val="0"/>
        <w:keepLines w:val="0"/>
        <w:pageBreakBefore w:val="0"/>
        <w:widowControl w:val="0"/>
        <w:numPr>
          <w:ilvl w:val="0"/>
          <w:numId w:val="0"/>
        </w:numPr>
        <w:kinsoku/>
        <w:wordWrap/>
        <w:overflowPunct/>
        <w:topLinePunct w:val="0"/>
        <w:autoSpaceDE/>
        <w:autoSpaceDN/>
        <w:bidi w:val="0"/>
        <w:snapToGrid w:val="0"/>
        <w:spacing w:before="0" w:after="0" w:line="560" w:lineRule="exact"/>
        <w:ind w:left="0" w:leftChars="0" w:right="0" w:rightChars="0" w:firstLine="0" w:firstLineChars="0"/>
        <w:jc w:val="center"/>
        <w:textAlignment w:val="auto"/>
        <w:outlineLvl w:val="0"/>
        <w:rPr>
          <w:rFonts w:hint="eastAsia" w:ascii="黑体" w:hAnsi="黑体" w:eastAsia="黑体" w:cs="黑体"/>
          <w:b w:val="0"/>
          <w:bCs w:val="0"/>
          <w:color w:val="auto"/>
          <w:kern w:val="0"/>
          <w:sz w:val="32"/>
          <w:szCs w:val="32"/>
          <w:highlight w:val="none"/>
          <w:u w:val="none" w:color="auto"/>
          <w:lang w:val="en-US" w:eastAsia="zh-CN" w:bidi="ar-SA"/>
        </w:rPr>
      </w:pPr>
      <w:r>
        <w:rPr>
          <w:rFonts w:hint="eastAsia" w:ascii="黑体" w:hAnsi="黑体" w:eastAsia="黑体" w:cs="黑体"/>
          <w:b w:val="0"/>
          <w:bCs w:val="0"/>
          <w:color w:val="auto"/>
          <w:kern w:val="0"/>
          <w:sz w:val="32"/>
          <w:szCs w:val="32"/>
          <w:highlight w:val="none"/>
          <w:u w:val="none" w:color="auto"/>
          <w:lang w:val="en-US" w:eastAsia="zh-CN" w:bidi="ar-SA"/>
        </w:rPr>
        <w:t>第四章 建设管理</w:t>
      </w:r>
    </w:p>
    <w:p w14:paraId="4820BF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开工条件</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第十</w:t>
      </w:r>
      <w:r>
        <w:rPr>
          <w:rFonts w:hint="eastAsia" w:ascii="仿宋_GB2312" w:hAnsi="仿宋_GB2312" w:cs="仿宋_GB2312"/>
          <w:b w:val="0"/>
          <w:bCs w:val="0"/>
          <w:color w:val="auto"/>
          <w:kern w:val="2"/>
          <w:sz w:val="32"/>
          <w:szCs w:val="32"/>
          <w:highlight w:val="none"/>
          <w:u w:val="none" w:color="auto"/>
          <w:lang w:val="en-US" w:eastAsia="zh-CN" w:bidi="ar-SA"/>
        </w:rPr>
        <w:t>五</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分布式光伏发电项目投资主体应当做好选址工作，并及时向电网企业提交并网申请，取得电网企业并网意见后方可开工建设。建设场所必须合法合规，手续齐全，产权清晰。</w:t>
      </w:r>
    </w:p>
    <w:p w14:paraId="7379E2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开发合同与协议签订</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第十</w:t>
      </w:r>
      <w:r>
        <w:rPr>
          <w:rFonts w:hint="eastAsia" w:ascii="仿宋_GB2312" w:hAnsi="仿宋_GB2312" w:cs="仿宋_GB2312"/>
          <w:b w:val="0"/>
          <w:bCs w:val="0"/>
          <w:color w:val="auto"/>
          <w:kern w:val="2"/>
          <w:sz w:val="32"/>
          <w:szCs w:val="32"/>
          <w:highlight w:val="none"/>
          <w:u w:val="none" w:color="auto"/>
          <w:lang w:val="en-US" w:eastAsia="zh-CN" w:bidi="ar-SA"/>
        </w:rPr>
        <w:t>六</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投资主体利用非自有场所建设分布式光伏发电的，应当与建设场所所有权人签订使用或者租用协议，可视经营方式与位于建设场所内的电力用户签订合同能源管理服务协议。对于非自然人户用分布式光伏，分布式光伏发电项目投资主体参照标准合同范本，与自然人签订责、权、利对等的合同与协议，并明确告知对方需履行的权利义务，不得采用欺骗、诱导等方式侵害自然人合法权益，不得转嫁不合理的责任与义务。</w:t>
      </w:r>
    </w:p>
    <w:p w14:paraId="747FD3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建设规范</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0"/>
          <w:sz w:val="32"/>
          <w:szCs w:val="32"/>
          <w:highlight w:val="none"/>
          <w:u w:val="none" w:color="auto"/>
          <w:lang w:val="en-US" w:eastAsia="zh-CN" w:bidi="ar-SA"/>
        </w:rPr>
        <w:t>第十</w:t>
      </w:r>
      <w:r>
        <w:rPr>
          <w:rFonts w:hint="eastAsia" w:ascii="仿宋_GB2312" w:hAnsi="仿宋_GB2312" w:cs="仿宋_GB2312"/>
          <w:b w:val="0"/>
          <w:bCs w:val="0"/>
          <w:color w:val="auto"/>
          <w:kern w:val="0"/>
          <w:sz w:val="32"/>
          <w:szCs w:val="32"/>
          <w:highlight w:val="none"/>
          <w:u w:val="none" w:color="auto"/>
          <w:lang w:val="en-US" w:eastAsia="zh-CN" w:bidi="ar-SA"/>
        </w:rPr>
        <w:t>七</w:t>
      </w:r>
      <w:r>
        <w:rPr>
          <w:rFonts w:hint="eastAsia" w:ascii="仿宋_GB2312" w:hAnsi="仿宋_GB2312" w:eastAsia="仿宋_GB2312" w:cs="仿宋_GB2312"/>
          <w:b w:val="0"/>
          <w:bCs w:val="0"/>
          <w:color w:val="auto"/>
          <w:kern w:val="0"/>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应当符合国土空间规划，严格按照国家有关标准建设，合理布置光伏组件朝向、倾角与高度，光伏方阵连接、支撑系统应牢固，接地连接应可靠。使用的光伏组件、逆变器、支架等设备应符合相关技术标准。利用建筑物及其附属场所建设的，应当满足建筑物结构安全、消防、防水、防风、防冰雪、防雷等有关要求，预留运维空间。鼓励分布式光伏发电项目投资主体采用建筑光伏一体化的建设模式。</w:t>
      </w:r>
    </w:p>
    <w:p w14:paraId="182BAEE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多元化应用</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第十</w:t>
      </w:r>
      <w:r>
        <w:rPr>
          <w:rFonts w:hint="eastAsia" w:ascii="仿宋_GB2312" w:hAnsi="仿宋_GB2312" w:cs="仿宋_GB2312"/>
          <w:b w:val="0"/>
          <w:bCs w:val="0"/>
          <w:color w:val="auto"/>
          <w:kern w:val="2"/>
          <w:sz w:val="32"/>
          <w:szCs w:val="32"/>
          <w:highlight w:val="none"/>
          <w:u w:val="none" w:color="auto"/>
          <w:lang w:val="en-US" w:eastAsia="zh-CN" w:bidi="ar-SA"/>
        </w:rPr>
        <w:t>八</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鼓励投资主体在建筑、交通、工业等领域探索分布式光伏发电多元化应用场景</w:t>
      </w:r>
      <w:r>
        <w:rPr>
          <w:rFonts w:hint="eastAsia" w:ascii="仿宋_GB2312" w:hAnsi="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利用新建建筑物及其附属场所的，鼓励在建筑物规划设计、施工建设等阶段统筹考虑安装需求，一并办理规划许可等手续</w:t>
      </w:r>
      <w:r>
        <w:rPr>
          <w:rFonts w:hint="eastAsia" w:ascii="仿宋_GB2312" w:hAnsi="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利用既有建筑物及其附属场所的，可按照简约高效的原则，在符合建设要求的条件下免除用地预审与规划选址、规划许可、节能评估等手续。</w:t>
      </w:r>
    </w:p>
    <w:p w14:paraId="681396B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从业资格及建设开发等相关要求</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十九</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从事分布式光伏发电项目设计、施工、安装、调试等环节的主体应当满足相应资质要求，作业人员应具备相应从业资格。分布式光伏发电项目建设应当严格执行设备、建设工程、安全生产等相关管理规定和标准规范，确保项目建设质量与安全，并做好验收工作。</w:t>
      </w:r>
    </w:p>
    <w:p w14:paraId="6F474C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p>
    <w:p w14:paraId="7259E75C">
      <w:pPr>
        <w:keepNext w:val="0"/>
        <w:keepLines w:val="0"/>
        <w:pageBreakBefore w:val="0"/>
        <w:widowControl w:val="0"/>
        <w:numPr>
          <w:ilvl w:val="0"/>
          <w:numId w:val="0"/>
        </w:numPr>
        <w:kinsoku/>
        <w:wordWrap/>
        <w:overflowPunct/>
        <w:topLinePunct w:val="0"/>
        <w:autoSpaceDE/>
        <w:autoSpaceDN/>
        <w:bidi w:val="0"/>
        <w:snapToGrid w:val="0"/>
        <w:spacing w:before="0" w:after="0" w:line="560" w:lineRule="exact"/>
        <w:ind w:left="0" w:leftChars="0" w:right="0" w:rightChars="0" w:firstLine="0" w:firstLineChars="0"/>
        <w:jc w:val="center"/>
        <w:textAlignment w:val="auto"/>
        <w:outlineLvl w:val="0"/>
        <w:rPr>
          <w:rFonts w:hint="eastAsia" w:ascii="黑体" w:hAnsi="黑体" w:eastAsia="黑体" w:cs="黑体"/>
          <w:b w:val="0"/>
          <w:bCs w:val="0"/>
          <w:color w:val="auto"/>
          <w:kern w:val="0"/>
          <w:sz w:val="32"/>
          <w:szCs w:val="32"/>
          <w:highlight w:val="none"/>
          <w:u w:val="none" w:color="auto"/>
          <w:lang w:val="en-US" w:eastAsia="zh-CN" w:bidi="ar-SA"/>
        </w:rPr>
      </w:pPr>
      <w:r>
        <w:rPr>
          <w:rFonts w:hint="eastAsia" w:ascii="黑体" w:hAnsi="黑体" w:eastAsia="黑体" w:cs="黑体"/>
          <w:b w:val="0"/>
          <w:bCs w:val="0"/>
          <w:color w:val="auto"/>
          <w:kern w:val="0"/>
          <w:sz w:val="32"/>
          <w:szCs w:val="32"/>
          <w:highlight w:val="none"/>
          <w:u w:val="none" w:color="auto"/>
          <w:lang w:val="en-US" w:eastAsia="zh-CN" w:bidi="ar-SA"/>
        </w:rPr>
        <w:t>第五章 电网接入</w:t>
      </w:r>
    </w:p>
    <w:p w14:paraId="6F3B88B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电网接入工作要求</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第二十条 </w:t>
      </w:r>
      <w:r>
        <w:rPr>
          <w:rFonts w:hint="eastAsia" w:ascii="仿宋_GB2312" w:hAnsi="仿宋_GB2312" w:eastAsia="仿宋_GB2312" w:cs="仿宋_GB2312"/>
          <w:b w:val="0"/>
          <w:bCs w:val="0"/>
          <w:color w:val="auto"/>
          <w:sz w:val="32"/>
          <w:szCs w:val="32"/>
          <w:highlight w:val="none"/>
          <w:u w:val="none" w:color="auto"/>
          <w:lang w:val="en-US" w:eastAsia="zh-CN"/>
        </w:rPr>
        <w:t>电网企业应当公平无歧视</w:t>
      </w:r>
      <w:r>
        <w:rPr>
          <w:rFonts w:hint="eastAsia" w:ascii="仿宋_GB2312" w:hAnsi="仿宋_GB2312" w:cs="仿宋_GB2312"/>
          <w:b w:val="0"/>
          <w:bCs w:val="0"/>
          <w:color w:val="auto"/>
          <w:sz w:val="32"/>
          <w:szCs w:val="32"/>
          <w:highlight w:val="none"/>
          <w:u w:val="none" w:color="auto"/>
          <w:lang w:val="en-US" w:eastAsia="zh-CN"/>
        </w:rPr>
        <w:t>地向分布式光伏发电项目投资主体</w:t>
      </w:r>
      <w:r>
        <w:rPr>
          <w:rFonts w:hint="eastAsia" w:ascii="仿宋_GB2312" w:hAnsi="仿宋_GB2312" w:eastAsia="仿宋_GB2312" w:cs="仿宋_GB2312"/>
          <w:b w:val="0"/>
          <w:bCs w:val="0"/>
          <w:color w:val="auto"/>
          <w:sz w:val="32"/>
          <w:szCs w:val="32"/>
          <w:highlight w:val="none"/>
          <w:u w:val="none" w:color="auto"/>
          <w:lang w:val="en-US" w:eastAsia="zh-CN"/>
        </w:rPr>
        <w:t>提供电网接入服务</w:t>
      </w:r>
      <w:r>
        <w:rPr>
          <w:rFonts w:hint="eastAsia" w:ascii="仿宋_GB2312" w:hAnsi="仿宋_GB2312" w:cs="仿宋_GB2312"/>
          <w:b w:val="0"/>
          <w:bCs w:val="0"/>
          <w:color w:val="auto"/>
          <w:sz w:val="32"/>
          <w:szCs w:val="32"/>
          <w:highlight w:val="none"/>
          <w:u w:val="none" w:color="auto"/>
          <w:lang w:val="en-US" w:eastAsia="zh-CN"/>
        </w:rPr>
        <w:t>，并</w:t>
      </w:r>
      <w:r>
        <w:rPr>
          <w:rFonts w:hint="eastAsia" w:ascii="仿宋_GB2312" w:hAnsi="仿宋_GB2312" w:eastAsia="仿宋_GB2312" w:cs="仿宋_GB2312"/>
          <w:b w:val="0"/>
          <w:bCs w:val="0"/>
          <w:color w:val="auto"/>
          <w:sz w:val="32"/>
          <w:szCs w:val="32"/>
          <w:highlight w:val="none"/>
          <w:u w:val="none" w:color="auto"/>
          <w:lang w:val="en-US" w:eastAsia="zh-CN"/>
        </w:rPr>
        <w:t>针对不同类型的分布式光伏发电项目制定差异化接入电网工作制度，合理优化或者简化工作流程，及时公布可开放容量、技术标准规范等信息，提供“一站式”办理服务，落实接入服务责任，提升接入服务水平。电网企业应当公布并及时更新分布式光伏发电接入系统典型设计方案。</w:t>
      </w:r>
    </w:p>
    <w:p w14:paraId="352A550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bCs/>
          <w:color w:val="auto"/>
          <w:sz w:val="32"/>
          <w:szCs w:val="32"/>
          <w:highlight w:val="none"/>
          <w:u w:val="none" w:color="auto"/>
          <w:lang w:val="en-US" w:eastAsia="zh-CN"/>
        </w:rPr>
        <w:t>电网承载力及提升措施评估</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第二十</w:t>
      </w:r>
      <w:r>
        <w:rPr>
          <w:rFonts w:hint="eastAsia" w:ascii="仿宋_GB2312" w:hAnsi="仿宋_GB2312" w:cs="仿宋_GB2312"/>
          <w:b w:val="0"/>
          <w:bCs w:val="0"/>
          <w:color w:val="auto"/>
          <w:kern w:val="2"/>
          <w:sz w:val="32"/>
          <w:szCs w:val="32"/>
          <w:highlight w:val="none"/>
          <w:u w:val="none" w:color="auto"/>
          <w:lang w:val="en-US" w:eastAsia="zh-CN" w:bidi="ar-SA"/>
        </w:rPr>
        <w:t>一</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cs="仿宋_GB2312"/>
          <w:b w:val="0"/>
          <w:bCs w:val="0"/>
          <w:color w:val="auto"/>
          <w:sz w:val="32"/>
          <w:szCs w:val="32"/>
          <w:highlight w:val="none"/>
          <w:u w:val="none" w:color="auto"/>
          <w:lang w:val="en-US" w:eastAsia="zh-CN"/>
        </w:rPr>
        <w:t>各市、县（市、区）</w:t>
      </w:r>
      <w:r>
        <w:rPr>
          <w:rFonts w:hint="eastAsia" w:ascii="仿宋_GB2312" w:hAnsi="仿宋_GB2312" w:eastAsia="仿宋_GB2312" w:cs="仿宋_GB2312"/>
          <w:b w:val="0"/>
          <w:bCs w:val="0"/>
          <w:color w:val="auto"/>
          <w:sz w:val="32"/>
          <w:szCs w:val="32"/>
          <w:highlight w:val="none"/>
          <w:u w:val="none" w:color="auto"/>
          <w:lang w:val="en-US" w:eastAsia="zh-CN"/>
        </w:rPr>
        <w:t>能源主管部门会同电网企业及其调度机构等有关单位，开展分布式光伏发电接入电网承载力及提升措施评估，建立配电网可开放容量按</w:t>
      </w:r>
      <w:r>
        <w:rPr>
          <w:rFonts w:hint="eastAsia" w:ascii="仿宋_GB2312" w:hAnsi="仿宋_GB2312" w:cs="仿宋_GB2312"/>
          <w:b w:val="0"/>
          <w:bCs w:val="0"/>
          <w:color w:val="auto"/>
          <w:sz w:val="32"/>
          <w:szCs w:val="32"/>
          <w:highlight w:val="none"/>
          <w:u w:val="none" w:color="auto"/>
          <w:lang w:val="en-US" w:eastAsia="zh-CN"/>
        </w:rPr>
        <w:t>季度</w:t>
      </w:r>
      <w:r>
        <w:rPr>
          <w:rFonts w:hint="eastAsia" w:ascii="仿宋_GB2312" w:hAnsi="仿宋_GB2312" w:eastAsia="仿宋_GB2312" w:cs="仿宋_GB2312"/>
          <w:b w:val="0"/>
          <w:bCs w:val="0"/>
          <w:color w:val="auto"/>
          <w:sz w:val="32"/>
          <w:szCs w:val="32"/>
          <w:highlight w:val="none"/>
          <w:u w:val="none" w:color="auto"/>
          <w:lang w:val="en-US" w:eastAsia="zh-CN"/>
        </w:rPr>
        <w:t>发布和预警机制，引导分布式光伏发电科学合理布局。电网企业要及时开展分布式光伏可接网容量分析，</w:t>
      </w:r>
      <w:r>
        <w:rPr>
          <w:rFonts w:hint="eastAsia" w:ascii="仿宋_GB2312" w:hAnsi="仿宋_GB2312" w:cs="仿宋_GB2312"/>
          <w:b w:val="0"/>
          <w:bCs w:val="0"/>
          <w:color w:val="auto"/>
          <w:sz w:val="32"/>
          <w:szCs w:val="32"/>
          <w:highlight w:val="none"/>
          <w:u w:val="none" w:color="auto"/>
          <w:lang w:val="en-US" w:eastAsia="zh-CN"/>
        </w:rPr>
        <w:t>按季度</w:t>
      </w:r>
      <w:r>
        <w:rPr>
          <w:rFonts w:hint="eastAsia" w:ascii="仿宋_GB2312" w:hAnsi="仿宋_GB2312" w:eastAsia="仿宋_GB2312" w:cs="仿宋_GB2312"/>
          <w:b w:val="0"/>
          <w:bCs w:val="0"/>
          <w:color w:val="auto"/>
          <w:sz w:val="32"/>
          <w:szCs w:val="32"/>
          <w:highlight w:val="none"/>
          <w:u w:val="none" w:color="auto"/>
          <w:lang w:val="en-US" w:eastAsia="zh-CN"/>
        </w:rPr>
        <w:t>公开可开放容量，并向当地能源主管部门和备案机关报备。国家能源局山东监管办对电网企业开展上述工作情况进行监管。</w:t>
      </w:r>
    </w:p>
    <w:p w14:paraId="5C0ED65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对分布式光伏备案申请容量超过电网承载力的，电网企业及其调度机构要及时分析原因，通过加大电网升级改造力度、合理配置灵活调节能力等措施有效提升电网承载能力。</w:t>
      </w:r>
    </w:p>
    <w:p w14:paraId="1356DF1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并网申请材料要求</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第二十</w:t>
      </w:r>
      <w:r>
        <w:rPr>
          <w:rFonts w:hint="eastAsia" w:ascii="仿宋_GB2312" w:hAnsi="仿宋_GB2312" w:cs="仿宋_GB2312"/>
          <w:b w:val="0"/>
          <w:bCs w:val="0"/>
          <w:color w:val="auto"/>
          <w:kern w:val="2"/>
          <w:sz w:val="32"/>
          <w:szCs w:val="32"/>
          <w:highlight w:val="none"/>
          <w:u w:val="none" w:color="auto"/>
          <w:lang w:val="en-US" w:eastAsia="zh-CN" w:bidi="ar-SA"/>
        </w:rPr>
        <w:t>二</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向电网企业申请接入电网的分布式光伏发电项目</w:t>
      </w:r>
      <w:r>
        <w:rPr>
          <w:rFonts w:hint="eastAsia" w:ascii="仿宋_GB2312" w:hAnsi="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应当满足相关规划和政策规定，</w:t>
      </w:r>
      <w:r>
        <w:rPr>
          <w:rFonts w:hint="eastAsia" w:ascii="仿宋_GB2312" w:hAnsi="仿宋_GB2312" w:cs="仿宋_GB2312"/>
          <w:b w:val="0"/>
          <w:bCs w:val="0"/>
          <w:color w:val="auto"/>
          <w:sz w:val="32"/>
          <w:szCs w:val="32"/>
          <w:highlight w:val="none"/>
          <w:u w:val="none" w:color="auto"/>
          <w:lang w:val="en-US" w:eastAsia="zh-CN"/>
        </w:rPr>
        <w:t>并</w:t>
      </w:r>
      <w:r>
        <w:rPr>
          <w:rFonts w:hint="eastAsia" w:ascii="仿宋_GB2312" w:hAnsi="仿宋_GB2312" w:eastAsia="仿宋_GB2312" w:cs="仿宋_GB2312"/>
          <w:b w:val="0"/>
          <w:bCs w:val="0"/>
          <w:color w:val="auto"/>
          <w:sz w:val="32"/>
          <w:szCs w:val="32"/>
          <w:highlight w:val="none"/>
          <w:u w:val="none" w:color="auto"/>
          <w:lang w:val="en-US" w:eastAsia="zh-CN"/>
        </w:rPr>
        <w:t>提</w:t>
      </w:r>
      <w:r>
        <w:rPr>
          <w:rFonts w:hint="eastAsia" w:ascii="仿宋_GB2312" w:hAnsi="仿宋_GB2312" w:cs="仿宋_GB2312"/>
          <w:b w:val="0"/>
          <w:bCs w:val="0"/>
          <w:color w:val="auto"/>
          <w:sz w:val="32"/>
          <w:szCs w:val="32"/>
          <w:highlight w:val="none"/>
          <w:u w:val="none" w:color="auto"/>
          <w:lang w:val="en-US" w:eastAsia="zh-CN"/>
        </w:rPr>
        <w:t>供</w:t>
      </w:r>
      <w:r>
        <w:rPr>
          <w:rFonts w:hint="eastAsia" w:ascii="仿宋_GB2312" w:hAnsi="仿宋_GB2312" w:eastAsia="仿宋_GB2312" w:cs="仿宋_GB2312"/>
          <w:b w:val="0"/>
          <w:bCs w:val="0"/>
          <w:color w:val="auto"/>
          <w:sz w:val="32"/>
          <w:szCs w:val="32"/>
          <w:highlight w:val="none"/>
          <w:u w:val="none" w:color="auto"/>
          <w:lang w:val="en-US" w:eastAsia="zh-CN"/>
        </w:rPr>
        <w:t>相关材料</w:t>
      </w:r>
      <w:r>
        <w:rPr>
          <w:rFonts w:hint="eastAsia" w:ascii="仿宋_GB2312" w:hAnsi="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自然人户用光伏提供有效身份证明、发电地址权属</w:t>
      </w:r>
      <w:r>
        <w:rPr>
          <w:rFonts w:hint="eastAsia" w:ascii="仿宋_GB2312" w:hAnsi="仿宋_GB2312" w:cs="仿宋_GB2312"/>
          <w:b w:val="0"/>
          <w:bCs w:val="0"/>
          <w:color w:val="auto"/>
          <w:sz w:val="32"/>
          <w:szCs w:val="32"/>
          <w:highlight w:val="none"/>
          <w:u w:val="none" w:color="auto"/>
          <w:lang w:val="en-US" w:eastAsia="zh-CN"/>
        </w:rPr>
        <w:t>证明</w:t>
      </w:r>
      <w:r>
        <w:rPr>
          <w:rFonts w:hint="eastAsia" w:ascii="仿宋_GB2312" w:hAnsi="仿宋_GB2312" w:eastAsia="仿宋_GB2312" w:cs="仿宋_GB2312"/>
          <w:b w:val="0"/>
          <w:bCs w:val="0"/>
          <w:color w:val="auto"/>
          <w:sz w:val="32"/>
          <w:szCs w:val="32"/>
          <w:highlight w:val="none"/>
          <w:u w:val="none" w:color="auto"/>
          <w:lang w:val="en-US" w:eastAsia="zh-CN"/>
        </w:rPr>
        <w:t>、项目自投说明</w:t>
      </w:r>
      <w:r>
        <w:rPr>
          <w:rFonts w:hint="eastAsia" w:ascii="仿宋_GB2312" w:hAnsi="仿宋_GB2312" w:cs="仿宋_GB2312"/>
          <w:b w:val="0"/>
          <w:bCs w:val="0"/>
          <w:color w:val="auto"/>
          <w:sz w:val="32"/>
          <w:szCs w:val="32"/>
          <w:highlight w:val="none"/>
          <w:u w:val="none" w:color="auto"/>
          <w:lang w:val="en-US" w:eastAsia="zh-CN"/>
        </w:rPr>
        <w:t>、收款银行账户信息</w:t>
      </w:r>
      <w:r>
        <w:rPr>
          <w:rFonts w:hint="eastAsia" w:ascii="仿宋_GB2312" w:hAnsi="仿宋_GB2312" w:eastAsia="仿宋_GB2312" w:cs="仿宋_GB2312"/>
          <w:b w:val="0"/>
          <w:bCs w:val="0"/>
          <w:color w:val="auto"/>
          <w:sz w:val="32"/>
          <w:szCs w:val="32"/>
          <w:highlight w:val="none"/>
          <w:u w:val="none" w:color="auto"/>
          <w:lang w:val="en-US" w:eastAsia="zh-CN"/>
        </w:rPr>
        <w:t>等相关材料；非自然人</w:t>
      </w:r>
      <w:r>
        <w:rPr>
          <w:rFonts w:hint="eastAsia" w:ascii="仿宋_GB2312" w:hAnsi="仿宋_GB2312" w:cs="仿宋_GB2312"/>
          <w:b w:val="0"/>
          <w:bCs w:val="0"/>
          <w:color w:val="auto"/>
          <w:sz w:val="32"/>
          <w:szCs w:val="32"/>
          <w:highlight w:val="none"/>
          <w:u w:val="none" w:color="auto"/>
          <w:lang w:val="en-US" w:eastAsia="zh-CN"/>
        </w:rPr>
        <w:t>户用</w:t>
      </w:r>
      <w:r>
        <w:rPr>
          <w:rFonts w:hint="eastAsia" w:ascii="仿宋_GB2312" w:hAnsi="仿宋_GB2312" w:eastAsia="仿宋_GB2312" w:cs="仿宋_GB2312"/>
          <w:b w:val="0"/>
          <w:bCs w:val="0"/>
          <w:color w:val="auto"/>
          <w:sz w:val="32"/>
          <w:szCs w:val="32"/>
          <w:highlight w:val="none"/>
          <w:u w:val="none" w:color="auto"/>
          <w:lang w:val="en-US" w:eastAsia="zh-CN"/>
        </w:rPr>
        <w:t>分布式光伏由投资主体提供企业营业执照和法人有效身份证明、发电地址权属</w:t>
      </w:r>
      <w:r>
        <w:rPr>
          <w:rFonts w:hint="eastAsia" w:ascii="仿宋_GB2312" w:hAnsi="仿宋_GB2312" w:cs="仿宋_GB2312"/>
          <w:b w:val="0"/>
          <w:bCs w:val="0"/>
          <w:color w:val="auto"/>
          <w:sz w:val="32"/>
          <w:szCs w:val="32"/>
          <w:highlight w:val="none"/>
          <w:u w:val="none" w:color="auto"/>
          <w:lang w:val="en-US" w:eastAsia="zh-CN"/>
        </w:rPr>
        <w:t>证明、收款银行账户信息</w:t>
      </w:r>
      <w:r>
        <w:rPr>
          <w:rFonts w:hint="eastAsia" w:ascii="仿宋_GB2312" w:hAnsi="仿宋_GB2312" w:eastAsia="仿宋_GB2312" w:cs="仿宋_GB2312"/>
          <w:b w:val="0"/>
          <w:bCs w:val="0"/>
          <w:color w:val="auto"/>
          <w:sz w:val="32"/>
          <w:szCs w:val="32"/>
          <w:highlight w:val="none"/>
          <w:u w:val="none" w:color="auto"/>
          <w:lang w:val="en-US" w:eastAsia="zh-CN"/>
        </w:rPr>
        <w:t>等相关材料；一般工商业、大型工商业分布式光伏由投资主体提供企业营业执照、法人有效身份证明、发电地址权属</w:t>
      </w:r>
      <w:r>
        <w:rPr>
          <w:rFonts w:hint="eastAsia" w:ascii="仿宋_GB2312" w:hAnsi="仿宋_GB2312" w:cs="仿宋_GB2312"/>
          <w:b w:val="0"/>
          <w:bCs w:val="0"/>
          <w:color w:val="auto"/>
          <w:sz w:val="32"/>
          <w:szCs w:val="32"/>
          <w:highlight w:val="none"/>
          <w:u w:val="none" w:color="auto"/>
          <w:lang w:val="en-US" w:eastAsia="zh-CN"/>
        </w:rPr>
        <w:t>证明</w:t>
      </w:r>
      <w:r>
        <w:rPr>
          <w:rFonts w:hint="eastAsia" w:ascii="仿宋_GB2312" w:hAnsi="仿宋_GB2312" w:eastAsia="仿宋_GB2312" w:cs="仿宋_GB2312"/>
          <w:b w:val="0"/>
          <w:bCs w:val="0"/>
          <w:color w:val="auto"/>
          <w:sz w:val="32"/>
          <w:szCs w:val="32"/>
          <w:highlight w:val="none"/>
          <w:u w:val="none" w:color="auto"/>
          <w:lang w:val="en-US" w:eastAsia="zh-CN"/>
        </w:rPr>
        <w:t>、</w:t>
      </w:r>
      <w:r>
        <w:rPr>
          <w:rFonts w:hint="eastAsia" w:ascii="仿宋_GB2312" w:hAnsi="仿宋_GB2312" w:cs="仿宋_GB2312"/>
          <w:b w:val="0"/>
          <w:bCs w:val="0"/>
          <w:color w:val="auto"/>
          <w:sz w:val="32"/>
          <w:szCs w:val="32"/>
          <w:highlight w:val="none"/>
          <w:u w:val="none" w:color="auto"/>
          <w:lang w:val="en-US" w:eastAsia="zh-CN"/>
        </w:rPr>
        <w:t>收款银行账户信息、年自发自用电量比例</w:t>
      </w:r>
      <w:r>
        <w:rPr>
          <w:rFonts w:hint="eastAsia" w:ascii="仿宋_GB2312" w:hAnsi="仿宋_GB2312" w:eastAsia="仿宋_GB2312" w:cs="仿宋_GB2312"/>
          <w:b w:val="0"/>
          <w:bCs w:val="0"/>
          <w:color w:val="auto"/>
          <w:sz w:val="32"/>
          <w:szCs w:val="32"/>
          <w:highlight w:val="none"/>
          <w:u w:val="none" w:color="auto"/>
          <w:lang w:val="en-US" w:eastAsia="zh-CN"/>
        </w:rPr>
        <w:t>承诺书等相关材料。</w:t>
      </w:r>
      <w:r>
        <w:rPr>
          <w:rFonts w:hint="eastAsia" w:ascii="仿宋_GB2312" w:hAnsi="仿宋_GB2312" w:cs="仿宋_GB2312"/>
          <w:b w:val="0"/>
          <w:bCs w:val="0"/>
          <w:color w:val="auto"/>
          <w:sz w:val="32"/>
          <w:szCs w:val="32"/>
          <w:highlight w:val="none"/>
          <w:u w:val="none" w:color="auto"/>
          <w:lang w:val="en-US" w:eastAsia="zh-CN"/>
        </w:rPr>
        <w:t>利用非自有场所建设的项目，需提供发电地址租用协议。</w:t>
      </w:r>
    </w:p>
    <w:p w14:paraId="7563A99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投资主体对</w:t>
      </w:r>
      <w:r>
        <w:rPr>
          <w:rFonts w:hint="eastAsia" w:ascii="仿宋_GB2312" w:hAnsi="仿宋_GB2312" w:cs="仿宋_GB2312"/>
          <w:b w:val="0"/>
          <w:bCs w:val="0"/>
          <w:color w:val="auto"/>
          <w:sz w:val="32"/>
          <w:szCs w:val="32"/>
          <w:highlight w:val="none"/>
          <w:u w:val="none" w:color="auto"/>
          <w:lang w:val="en-US" w:eastAsia="zh-CN"/>
        </w:rPr>
        <w:t>提供</w:t>
      </w:r>
      <w:r>
        <w:rPr>
          <w:rFonts w:hint="eastAsia" w:ascii="仿宋_GB2312" w:hAnsi="仿宋_GB2312" w:eastAsia="仿宋_GB2312" w:cs="仿宋_GB2312"/>
          <w:b w:val="0"/>
          <w:bCs w:val="0"/>
          <w:color w:val="auto"/>
          <w:sz w:val="32"/>
          <w:szCs w:val="32"/>
          <w:highlight w:val="none"/>
          <w:u w:val="none" w:color="auto"/>
          <w:lang w:val="en-US" w:eastAsia="zh-CN"/>
        </w:rPr>
        <w:t>材料及信息的真实性、合法性、完整性负责，对于</w:t>
      </w:r>
      <w:r>
        <w:rPr>
          <w:rFonts w:hint="eastAsia" w:ascii="仿宋_GB2312" w:hAnsi="仿宋_GB2312" w:cs="仿宋_GB2312"/>
          <w:b w:val="0"/>
          <w:bCs w:val="0"/>
          <w:color w:val="auto"/>
          <w:sz w:val="32"/>
          <w:szCs w:val="32"/>
          <w:highlight w:val="none"/>
          <w:u w:val="none" w:color="auto"/>
          <w:lang w:val="en-US" w:eastAsia="zh-CN"/>
        </w:rPr>
        <w:t>提供</w:t>
      </w:r>
      <w:r>
        <w:rPr>
          <w:rFonts w:hint="eastAsia" w:ascii="仿宋_GB2312" w:hAnsi="仿宋_GB2312" w:eastAsia="仿宋_GB2312" w:cs="仿宋_GB2312"/>
          <w:b w:val="0"/>
          <w:bCs w:val="0"/>
          <w:color w:val="auto"/>
          <w:sz w:val="32"/>
          <w:szCs w:val="32"/>
          <w:highlight w:val="none"/>
          <w:u w:val="none" w:color="auto"/>
          <w:lang w:val="en-US" w:eastAsia="zh-CN"/>
        </w:rPr>
        <w:t>虚假材料及信息的，由</w:t>
      </w:r>
      <w:r>
        <w:rPr>
          <w:rFonts w:hint="eastAsia" w:ascii="仿宋_GB2312" w:hAnsi="仿宋_GB2312" w:cs="仿宋_GB2312"/>
          <w:b w:val="0"/>
          <w:bCs w:val="0"/>
          <w:color w:val="auto"/>
          <w:sz w:val="32"/>
          <w:szCs w:val="32"/>
          <w:highlight w:val="none"/>
          <w:u w:val="none" w:color="auto"/>
          <w:lang w:val="en-US" w:eastAsia="zh-CN"/>
        </w:rPr>
        <w:t>属地</w:t>
      </w:r>
      <w:r>
        <w:rPr>
          <w:rFonts w:hint="eastAsia" w:ascii="仿宋_GB2312" w:hAnsi="仿宋_GB2312" w:eastAsia="仿宋_GB2312" w:cs="仿宋_GB2312"/>
          <w:b w:val="0"/>
          <w:bCs w:val="0"/>
          <w:color w:val="auto"/>
          <w:sz w:val="32"/>
          <w:szCs w:val="32"/>
          <w:highlight w:val="none"/>
          <w:u w:val="none" w:color="auto"/>
          <w:lang w:val="en-US" w:eastAsia="zh-CN"/>
        </w:rPr>
        <w:t>能源主管部门</w:t>
      </w:r>
      <w:r>
        <w:rPr>
          <w:rFonts w:hint="eastAsia" w:ascii="仿宋_GB2312" w:hAnsi="仿宋_GB2312" w:cs="仿宋_GB2312"/>
          <w:b w:val="0"/>
          <w:bCs w:val="0"/>
          <w:color w:val="auto"/>
          <w:sz w:val="32"/>
          <w:szCs w:val="32"/>
          <w:highlight w:val="none"/>
          <w:u w:val="none" w:color="auto"/>
          <w:lang w:val="en-US" w:eastAsia="zh-CN"/>
        </w:rPr>
        <w:t>、电网企业</w:t>
      </w:r>
      <w:r>
        <w:rPr>
          <w:rFonts w:hint="eastAsia" w:ascii="仿宋_GB2312" w:hAnsi="仿宋_GB2312" w:eastAsia="仿宋_GB2312" w:cs="仿宋_GB2312"/>
          <w:b w:val="0"/>
          <w:bCs w:val="0"/>
          <w:color w:val="auto"/>
          <w:sz w:val="32"/>
          <w:szCs w:val="32"/>
          <w:highlight w:val="none"/>
          <w:u w:val="none" w:color="auto"/>
          <w:lang w:val="en-US" w:eastAsia="zh-CN"/>
        </w:rPr>
        <w:t>按照有关规定进行处理。</w:t>
      </w:r>
    </w:p>
    <w:p w14:paraId="7E6C98F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并网申请受理</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第二十</w:t>
      </w:r>
      <w:r>
        <w:rPr>
          <w:rFonts w:hint="eastAsia" w:ascii="仿宋_GB2312" w:hAnsi="仿宋_GB2312" w:cs="仿宋_GB2312"/>
          <w:b w:val="0"/>
          <w:bCs w:val="0"/>
          <w:color w:val="auto"/>
          <w:kern w:val="2"/>
          <w:sz w:val="32"/>
          <w:szCs w:val="32"/>
          <w:highlight w:val="none"/>
          <w:u w:val="none" w:color="auto"/>
          <w:lang w:val="en-US" w:eastAsia="zh-CN" w:bidi="ar-SA"/>
        </w:rPr>
        <w:t>三</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电网企业收到分布式光伏发电项目并网意向书及相关申请材料后，应于2个工作日内给予书面回复。并网意向书及相关申请材料的内容完整性和规范性符合要求的，应当出具受理通知书；不符合要求的，应当出具不予受理的书面凭证，并告知其原因；需要补充相关材料的，应当一次性书面告知。逾期不回复的，电网企业自收到项目并网意向书之日起视为已经受理。</w:t>
      </w:r>
    </w:p>
    <w:p w14:paraId="235B64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eastAsia="zh-CN"/>
        </w:rPr>
        <w:t>电网企业受理分布式光伏并网意向后，在现场勘查阶段应</w:t>
      </w:r>
      <w:r>
        <w:rPr>
          <w:rFonts w:hint="eastAsia" w:ascii="仿宋_GB2312" w:hAnsi="仿宋_GB2312" w:cs="仿宋_GB2312"/>
          <w:b w:val="0"/>
          <w:bCs w:val="0"/>
          <w:color w:val="auto"/>
          <w:sz w:val="32"/>
          <w:szCs w:val="32"/>
          <w:highlight w:val="none"/>
          <w:u w:val="none" w:color="auto"/>
          <w:lang w:val="en-US" w:eastAsia="zh-CN"/>
        </w:rPr>
        <w:t>核实</w:t>
      </w:r>
      <w:r>
        <w:rPr>
          <w:rFonts w:hint="eastAsia" w:ascii="仿宋_GB2312" w:hAnsi="仿宋_GB2312" w:eastAsia="仿宋_GB2312" w:cs="仿宋_GB2312"/>
          <w:b w:val="0"/>
          <w:bCs w:val="0"/>
          <w:color w:val="auto"/>
          <w:sz w:val="32"/>
          <w:szCs w:val="32"/>
          <w:highlight w:val="none"/>
          <w:u w:val="none" w:color="auto"/>
          <w:lang w:eastAsia="zh-CN"/>
        </w:rPr>
        <w:t>项目是否提前开工建设，若项目提前开工建设</w:t>
      </w:r>
      <w:r>
        <w:rPr>
          <w:rFonts w:hint="eastAsia" w:ascii="仿宋_GB2312" w:hAnsi="仿宋_GB2312" w:cs="仿宋_GB2312"/>
          <w:b w:val="0"/>
          <w:bCs w:val="0"/>
          <w:color w:val="auto"/>
          <w:sz w:val="32"/>
          <w:szCs w:val="32"/>
          <w:highlight w:val="none"/>
          <w:u w:val="none" w:color="auto"/>
          <w:lang w:val="en-US" w:eastAsia="zh-CN"/>
        </w:rPr>
        <w:t>则</w:t>
      </w:r>
      <w:r>
        <w:rPr>
          <w:rFonts w:hint="eastAsia" w:ascii="仿宋_GB2312" w:hAnsi="仿宋_GB2312" w:eastAsia="仿宋_GB2312" w:cs="仿宋_GB2312"/>
          <w:b w:val="0"/>
          <w:bCs w:val="0"/>
          <w:color w:val="auto"/>
          <w:sz w:val="32"/>
          <w:szCs w:val="32"/>
          <w:highlight w:val="none"/>
          <w:u w:val="none" w:color="auto"/>
          <w:lang w:eastAsia="zh-CN"/>
        </w:rPr>
        <w:t>暂停受理，并将相关情况报地方能源主管部门。</w:t>
      </w:r>
    </w:p>
    <w:p w14:paraId="0023F01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可开放容量不足的应对措施</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val="0"/>
          <w:bCs w:val="0"/>
          <w:color w:val="auto"/>
          <w:kern w:val="2"/>
          <w:sz w:val="32"/>
          <w:szCs w:val="32"/>
          <w:highlight w:val="none"/>
          <w:u w:val="none" w:color="auto"/>
          <w:lang w:val="en-US" w:eastAsia="zh-CN" w:bidi="ar-SA"/>
        </w:rPr>
        <w:t xml:space="preserve">第二十四条 </w:t>
      </w:r>
      <w:r>
        <w:rPr>
          <w:rFonts w:hint="eastAsia" w:ascii="仿宋_GB2312" w:hAnsi="仿宋_GB2312" w:eastAsia="仿宋_GB2312" w:cs="仿宋_GB2312"/>
          <w:b w:val="0"/>
          <w:bCs w:val="0"/>
          <w:color w:val="auto"/>
          <w:sz w:val="32"/>
          <w:szCs w:val="32"/>
          <w:highlight w:val="none"/>
          <w:u w:val="none" w:color="auto"/>
          <w:lang w:val="en-US" w:eastAsia="zh-CN"/>
        </w:rPr>
        <w:t>电网企业出具的并网意见应当以分布式光伏发电接入电网承载力及提升措施评估结果为依据，当可开放容量不足时，电网企业应当告知项目投资主体并按照申请接入电网顺序做好登记，具备条件后及时办理相关手续。</w:t>
      </w:r>
    </w:p>
    <w:p w14:paraId="287384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电网企业要及时</w:t>
      </w:r>
      <w:r>
        <w:rPr>
          <w:rFonts w:hint="eastAsia" w:ascii="仿宋_GB2312" w:hAnsi="仿宋_GB2312" w:cs="仿宋_GB2312"/>
          <w:b w:val="0"/>
          <w:bCs w:val="0"/>
          <w:color w:val="auto"/>
          <w:sz w:val="32"/>
          <w:szCs w:val="32"/>
          <w:highlight w:val="none"/>
          <w:u w:val="none" w:color="auto"/>
          <w:lang w:val="en-US" w:eastAsia="zh-CN"/>
        </w:rPr>
        <w:t>向同级能源主管部门报告</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分布式光伏发电项目并网</w:t>
      </w:r>
      <w:r>
        <w:rPr>
          <w:rFonts w:hint="eastAsia" w:ascii="仿宋_GB2312" w:hAnsi="仿宋_GB2312" w:cs="仿宋_GB2312"/>
          <w:b w:val="0"/>
          <w:bCs w:val="0"/>
          <w:color w:val="auto"/>
          <w:sz w:val="32"/>
          <w:szCs w:val="32"/>
          <w:highlight w:val="none"/>
          <w:u w:val="none" w:color="auto"/>
          <w:lang w:val="en-US" w:eastAsia="zh-CN"/>
        </w:rPr>
        <w:t>申请登记情况，对长时间无充足可开放容量的地区，</w:t>
      </w:r>
      <w:r>
        <w:rPr>
          <w:rFonts w:hint="eastAsia" w:ascii="仿宋_GB2312" w:hAnsi="仿宋_GB2312" w:eastAsia="仿宋_GB2312" w:cs="仿宋_GB2312"/>
          <w:b w:val="0"/>
          <w:bCs w:val="0"/>
          <w:color w:val="auto"/>
          <w:sz w:val="32"/>
          <w:szCs w:val="32"/>
          <w:highlight w:val="none"/>
          <w:u w:val="none" w:color="auto"/>
          <w:lang w:val="en-US" w:eastAsia="zh-CN"/>
        </w:rPr>
        <w:t>电网企业</w:t>
      </w:r>
      <w:r>
        <w:rPr>
          <w:rFonts w:hint="eastAsia" w:ascii="仿宋_GB2312" w:hAnsi="仿宋_GB2312" w:cs="仿宋_GB2312"/>
          <w:b w:val="0"/>
          <w:bCs w:val="0"/>
          <w:color w:val="auto"/>
          <w:sz w:val="32"/>
          <w:szCs w:val="32"/>
          <w:highlight w:val="none"/>
          <w:u w:val="none" w:color="auto"/>
          <w:lang w:val="en-US" w:eastAsia="zh-CN"/>
        </w:rPr>
        <w:t>及其调度机构应及时分析原因，</w:t>
      </w:r>
      <w:r>
        <w:rPr>
          <w:rFonts w:hint="eastAsia" w:ascii="仿宋_GB2312" w:hAnsi="仿宋_GB2312" w:cs="仿宋_GB2312"/>
          <w:b w:val="0"/>
          <w:bCs w:val="0"/>
          <w:color w:val="auto"/>
          <w:sz w:val="32"/>
          <w:szCs w:val="32"/>
          <w:highlight w:val="none"/>
          <w:u w:val="none" w:color="auto"/>
          <w:lang w:val="en-US" w:eastAsia="zh-CN" w:bidi="ar-SA"/>
        </w:rPr>
        <w:t>研究制定措施予以解决</w:t>
      </w:r>
      <w:r>
        <w:rPr>
          <w:rFonts w:hint="eastAsia" w:ascii="仿宋_GB2312" w:hAnsi="仿宋_GB2312" w:cs="仿宋_GB2312"/>
          <w:b w:val="0"/>
          <w:bCs w:val="0"/>
          <w:color w:val="auto"/>
          <w:sz w:val="32"/>
          <w:szCs w:val="32"/>
          <w:highlight w:val="none"/>
          <w:u w:val="none" w:color="auto"/>
          <w:lang w:val="en-US" w:eastAsia="zh-CN"/>
        </w:rPr>
        <w:t>，相关情况由各市能源主管部门汇总报省能源局</w:t>
      </w:r>
      <w:r>
        <w:rPr>
          <w:rFonts w:hint="eastAsia" w:ascii="仿宋_GB2312" w:hAnsi="仿宋_GB2312" w:eastAsia="仿宋_GB2312" w:cs="仿宋_GB2312"/>
          <w:b w:val="0"/>
          <w:bCs w:val="0"/>
          <w:color w:val="auto"/>
          <w:sz w:val="32"/>
          <w:szCs w:val="32"/>
          <w:highlight w:val="none"/>
          <w:u w:val="none" w:color="auto"/>
          <w:lang w:val="en-US" w:eastAsia="zh-CN"/>
        </w:rPr>
        <w:t>。</w:t>
      </w:r>
      <w:r>
        <w:rPr>
          <w:rFonts w:hint="eastAsia" w:ascii="仿宋_GB2312" w:hAnsi="仿宋_GB2312" w:cs="仿宋_GB2312"/>
          <w:b w:val="0"/>
          <w:bCs w:val="0"/>
          <w:color w:val="auto"/>
          <w:sz w:val="32"/>
          <w:szCs w:val="32"/>
          <w:highlight w:val="none"/>
          <w:u w:val="none" w:color="auto"/>
          <w:lang w:val="en-US" w:eastAsia="zh-CN"/>
        </w:rPr>
        <w:t>省能源局会同</w:t>
      </w:r>
      <w:r>
        <w:rPr>
          <w:rFonts w:hint="eastAsia" w:ascii="仿宋_GB2312" w:hAnsi="仿宋_GB2312" w:eastAsia="仿宋_GB2312" w:cs="仿宋_GB2312"/>
          <w:b w:val="0"/>
          <w:bCs w:val="0"/>
          <w:color w:val="auto"/>
          <w:sz w:val="32"/>
          <w:szCs w:val="32"/>
          <w:highlight w:val="none"/>
          <w:u w:val="none" w:color="auto"/>
          <w:lang w:val="en-US" w:eastAsia="zh-CN"/>
        </w:rPr>
        <w:t>国家能源局山东监管办对电网企业</w:t>
      </w:r>
      <w:r>
        <w:rPr>
          <w:rFonts w:hint="eastAsia" w:ascii="仿宋_GB2312" w:hAnsi="仿宋_GB2312" w:cs="仿宋_GB2312"/>
          <w:b w:val="0"/>
          <w:bCs w:val="0"/>
          <w:color w:val="auto"/>
          <w:sz w:val="32"/>
          <w:szCs w:val="32"/>
          <w:highlight w:val="none"/>
          <w:u w:val="none" w:color="auto"/>
          <w:lang w:val="en-US" w:eastAsia="zh-CN"/>
        </w:rPr>
        <w:t>相关工作加强指导和监管</w:t>
      </w:r>
      <w:r>
        <w:rPr>
          <w:rFonts w:hint="eastAsia" w:ascii="仿宋_GB2312" w:hAnsi="仿宋_GB2312" w:eastAsia="仿宋_GB2312" w:cs="仿宋_GB2312"/>
          <w:b w:val="0"/>
          <w:bCs w:val="0"/>
          <w:color w:val="auto"/>
          <w:sz w:val="32"/>
          <w:szCs w:val="32"/>
          <w:highlight w:val="none"/>
          <w:u w:val="none" w:color="auto"/>
          <w:lang w:val="en-US" w:eastAsia="zh-CN"/>
        </w:rPr>
        <w:t>。</w:t>
      </w:r>
    </w:p>
    <w:p w14:paraId="3337486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接入系统方案制定</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二十五</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分布式光伏发电项目投资主体应当在满足电网安全运行的前提下，统筹考虑建设条件、电网接入点等因素，结合实际合理选择接入系统设计方案。低压分布式光伏不得跨越电网公用配变台区并网。</w:t>
      </w:r>
    </w:p>
    <w:p w14:paraId="63C1C30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strike/>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自然人户用分布式光伏发电项目由电网企业免费提供接入系统相关方案，其他类型的分布式光伏发电项目应当开展接入系统设计工作，鼓励非自然人户用分布式光伏以集中汇流方式接入电网。电网企业应当按照相关行业标准，根据接入系统设计要求，及时一次性地提供开展接入系统设计所需的电网现状、电网规划、接入条件等基础资料。确实不能及时提供的，电网企业应当书面告知项目投资主体，并说明原因。各方应当按照国家有关信息安全与保密的要求，规范提供和使用有关资料。</w:t>
      </w:r>
    </w:p>
    <w:p w14:paraId="73DB74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接入系统方案审查</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第二十</w:t>
      </w:r>
      <w:r>
        <w:rPr>
          <w:rFonts w:hint="eastAsia" w:ascii="仿宋_GB2312" w:hAnsi="仿宋_GB2312" w:cs="仿宋_GB2312"/>
          <w:b w:val="0"/>
          <w:bCs w:val="0"/>
          <w:color w:val="auto"/>
          <w:kern w:val="2"/>
          <w:sz w:val="32"/>
          <w:szCs w:val="32"/>
          <w:highlight w:val="none"/>
          <w:u w:val="none" w:color="auto"/>
          <w:lang w:val="en-US" w:eastAsia="zh-CN" w:bidi="ar-SA"/>
        </w:rPr>
        <w:t>六</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在接入系统设计工作完成后，分布式光伏发电项目投资主体应当向电网企业提交接入系统设计方案报告。电网企业收到接入系统设计方案报告后，应于2个工作日内给予书面回复。接入系统设计方案报告的内容完整性和规范性符合相关要求的，出具受理通知书；不符合相关要求的，出具不予受理的书面凭证，并告知其原因；需要补充相关材料的，应当一次性书面告知。逾期不回复的，自电网企业收到接入系统设计方案报告之日起视为已经受理。</w:t>
      </w:r>
    </w:p>
    <w:p w14:paraId="30F3596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电网企业受理接入系统设计方案报告后，应当根据国家和行业技术标准、规范，及时会同项目投资主体组织对接入系统设计方案进行研究，并向项目投资主体出具书面回复意见。接入系统电压等级为110千伏的，应当于20个工作日内出具书面答复意见；接入系统电压等级为35千伏及以下的，应于10个工作日内出具答复意见。</w:t>
      </w:r>
    </w:p>
    <w:p w14:paraId="1CA1BB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接网工程投资主体划分</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二十七</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接入公共电网的分布式光伏发电项目，接入系统工程以及因接入引起的公共电网改造部分由电网企业投资建设。接入用户侧的分布式光伏发电项目，用户侧的配套工程由项目投资主体投资建设。因项目接入电网引起的公共电网改造部分由电网企业投资建设。新建的分布式光伏发电项目应当实现“可观、可测、可调、可控”，提升分布式光伏发电接入电网承载力和调控能力。电网企业应当对分布式光伏发电项目的全部发电量、上网电量分别计量，免费提供并安装计量表计。</w:t>
      </w:r>
    </w:p>
    <w:p w14:paraId="7EF3733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分布式光伏发电项目投资主体采用集中汇流方式接入电网时，电网企业负责提供分布式光伏发电项目与公共电网的连接点，相关汇流设施、接网配套设施原则上由发电项目投资主体投资建设与运维。</w:t>
      </w:r>
    </w:p>
    <w:p w14:paraId="12B85D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bCs/>
          <w:color w:val="auto"/>
          <w:kern w:val="2"/>
          <w:sz w:val="32"/>
          <w:szCs w:val="32"/>
          <w:highlight w:val="none"/>
          <w:u w:val="none" w:color="auto"/>
          <w:lang w:val="en-US" w:eastAsia="zh-CN" w:bidi="ar-SA"/>
        </w:rPr>
        <w:t>并网</w:t>
      </w:r>
      <w:r>
        <w:rPr>
          <w:rFonts w:hint="eastAsia" w:ascii="仿宋_GB2312" w:hAnsi="仿宋_GB2312" w:cs="仿宋_GB2312"/>
          <w:b/>
          <w:bCs/>
          <w:color w:val="auto"/>
          <w:kern w:val="2"/>
          <w:sz w:val="32"/>
          <w:szCs w:val="32"/>
          <w:highlight w:val="none"/>
          <w:u w:val="none" w:color="auto"/>
          <w:lang w:val="en-US" w:eastAsia="zh-CN" w:bidi="ar-SA"/>
        </w:rPr>
        <w:t>合同与协议签订</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二十八</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全额上网、自发自用余电上网的分布式光伏发电项目投资主体应当在并网投产前与电网企业签订购售电合同，各类分布式光伏发电项目还应当在并网投产前与电网企业及其调度机构签订《并网调度协议》，合同参照《新能源场站并网调度协议示范文本》《购售电合同示范文本》，双方协商一致后可简化相关条款内容。按照有关规定，分布式光伏发电豁免电力业务许可证。</w:t>
      </w:r>
    </w:p>
    <w:p w14:paraId="49AE40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bCs/>
          <w:color w:val="auto"/>
          <w:kern w:val="2"/>
          <w:sz w:val="32"/>
          <w:szCs w:val="32"/>
          <w:highlight w:val="none"/>
          <w:u w:val="none" w:color="auto"/>
          <w:lang w:val="en-US" w:eastAsia="zh-CN" w:bidi="ar-SA"/>
        </w:rPr>
        <w:t>容配比及</w:t>
      </w:r>
      <w:r>
        <w:rPr>
          <w:rFonts w:hint="eastAsia" w:ascii="仿宋_GB2312" w:hAnsi="仿宋_GB2312" w:cs="仿宋_GB2312"/>
          <w:b/>
          <w:bCs/>
          <w:color w:val="auto"/>
          <w:kern w:val="2"/>
          <w:sz w:val="32"/>
          <w:szCs w:val="32"/>
          <w:highlight w:val="none"/>
          <w:u w:val="none" w:color="auto"/>
          <w:lang w:val="en-US" w:eastAsia="zh-CN" w:bidi="ar-SA"/>
        </w:rPr>
        <w:t>涉网设备</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二十九</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分布式光伏发电项目应当</w:t>
      </w:r>
      <w:r>
        <w:rPr>
          <w:rFonts w:hint="eastAsia" w:ascii="仿宋_GB2312" w:hAnsi="仿宋_GB2312" w:cs="仿宋_GB2312"/>
          <w:b w:val="0"/>
          <w:bCs w:val="0"/>
          <w:color w:val="auto"/>
          <w:sz w:val="32"/>
          <w:szCs w:val="32"/>
          <w:highlight w:val="none"/>
          <w:u w:val="none" w:color="auto"/>
          <w:lang w:val="en-US" w:eastAsia="zh-CN"/>
        </w:rPr>
        <w:t>在电网企业指导下</w:t>
      </w:r>
      <w:r>
        <w:rPr>
          <w:rFonts w:hint="eastAsia" w:ascii="仿宋_GB2312" w:hAnsi="仿宋_GB2312" w:eastAsia="仿宋_GB2312" w:cs="仿宋_GB2312"/>
          <w:b w:val="0"/>
          <w:bCs w:val="0"/>
          <w:color w:val="auto"/>
          <w:sz w:val="32"/>
          <w:szCs w:val="32"/>
          <w:highlight w:val="none"/>
          <w:u w:val="none" w:color="auto"/>
          <w:lang w:val="en-US" w:eastAsia="zh-CN"/>
        </w:rPr>
        <w:t>科学合理确定容配比，涉网设备必须符合国家及行业有关涉网安全和技术标准规范等要求，通过国家认可的检测认证机构检测认证，经检测认证合格后，电网企业不得要求重复检测。</w:t>
      </w:r>
    </w:p>
    <w:p w14:paraId="2753D99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并网验收</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第三十条 </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分布式光伏发电项目竣工后，安装的逆变器、光伏组件容量</w:t>
      </w:r>
      <w:r>
        <w:rPr>
          <w:rFonts w:hint="eastAsia" w:ascii="仿宋_GB2312" w:hAnsi="仿宋_GB2312" w:cs="仿宋_GB2312"/>
          <w:b w:val="0"/>
          <w:bCs w:val="0"/>
          <w:color w:val="auto"/>
          <w:sz w:val="32"/>
          <w:szCs w:val="32"/>
          <w:highlight w:val="none"/>
          <w:u w:val="none" w:color="auto"/>
          <w:lang w:val="en-US" w:eastAsia="zh-CN"/>
        </w:rPr>
        <w:t>原则上</w:t>
      </w:r>
      <w:r>
        <w:rPr>
          <w:rFonts w:hint="eastAsia" w:ascii="仿宋_GB2312" w:hAnsi="仿宋_GB2312" w:eastAsia="仿宋_GB2312" w:cs="仿宋_GB2312"/>
          <w:b w:val="0"/>
          <w:bCs w:val="0"/>
          <w:color w:val="auto"/>
          <w:sz w:val="32"/>
          <w:szCs w:val="32"/>
          <w:highlight w:val="none"/>
          <w:u w:val="none" w:color="auto"/>
          <w:lang w:val="en-US" w:eastAsia="zh-CN"/>
        </w:rPr>
        <w:t>应与备案交流侧、直流侧容量一致</w:t>
      </w:r>
      <w:r>
        <w:rPr>
          <w:rFonts w:hint="eastAsia" w:ascii="仿宋_GB2312" w:hAnsi="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val="en-US" w:eastAsia="zh-CN"/>
        </w:rPr>
        <w:t>不得超备案容量加装</w:t>
      </w:r>
      <w:r>
        <w:rPr>
          <w:rFonts w:hint="eastAsia" w:ascii="仿宋_GB2312" w:hAnsi="仿宋_GB2312" w:eastAsia="仿宋_GB2312" w:cs="仿宋_GB2312"/>
          <w:b w:val="0"/>
          <w:bCs w:val="0"/>
          <w:color w:val="auto"/>
          <w:sz w:val="32"/>
          <w:szCs w:val="32"/>
          <w:highlight w:val="none"/>
          <w:u w:val="none" w:color="auto"/>
          <w:lang w:val="en-US" w:eastAsia="zh-CN"/>
        </w:rPr>
        <w:t>。电网企业应当按照有关规定复核逆变器等主要设备检测报告，复核光伏项目或设备（包括光伏组件、逆变器等）购置发票与备案主体的一致性，</w:t>
      </w:r>
      <w:r>
        <w:rPr>
          <w:rFonts w:hint="eastAsia" w:ascii="仿宋_GB2312" w:hAnsi="仿宋_GB2312" w:cs="仿宋_GB2312"/>
          <w:b w:val="0"/>
          <w:bCs w:val="0"/>
          <w:color w:val="auto"/>
          <w:sz w:val="32"/>
          <w:szCs w:val="32"/>
          <w:highlight w:val="none"/>
          <w:u w:val="none" w:color="auto"/>
          <w:lang w:val="en-US" w:eastAsia="zh-CN"/>
        </w:rPr>
        <w:t>以及</w:t>
      </w:r>
      <w:r>
        <w:rPr>
          <w:rFonts w:hint="eastAsia" w:ascii="仿宋_GB2312" w:hAnsi="仿宋_GB2312" w:eastAsia="仿宋_GB2312" w:cs="仿宋_GB2312"/>
          <w:b w:val="0"/>
          <w:bCs w:val="0"/>
          <w:color w:val="auto"/>
          <w:sz w:val="32"/>
          <w:szCs w:val="32"/>
          <w:highlight w:val="none"/>
          <w:u w:val="none" w:color="auto"/>
          <w:lang w:val="en-US" w:eastAsia="zh-CN"/>
        </w:rPr>
        <w:t>并网容量与备案容量的一致性，并按照相关标准开展并网检验，检验合格后予以并网投产。</w:t>
      </w:r>
    </w:p>
    <w:p w14:paraId="583F3E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p>
    <w:p w14:paraId="775BD760">
      <w:pPr>
        <w:keepNext w:val="0"/>
        <w:keepLines w:val="0"/>
        <w:pageBreakBefore w:val="0"/>
        <w:widowControl w:val="0"/>
        <w:numPr>
          <w:ilvl w:val="0"/>
          <w:numId w:val="0"/>
        </w:numPr>
        <w:kinsoku/>
        <w:wordWrap/>
        <w:overflowPunct/>
        <w:topLinePunct w:val="0"/>
        <w:autoSpaceDE/>
        <w:autoSpaceDN/>
        <w:bidi w:val="0"/>
        <w:snapToGrid w:val="0"/>
        <w:spacing w:before="0" w:after="0" w:line="560" w:lineRule="exact"/>
        <w:ind w:left="0" w:leftChars="0" w:right="0" w:rightChars="0" w:firstLine="0" w:firstLineChars="0"/>
        <w:jc w:val="center"/>
        <w:textAlignment w:val="auto"/>
        <w:outlineLvl w:val="0"/>
        <w:rPr>
          <w:rFonts w:hint="eastAsia" w:ascii="黑体" w:hAnsi="黑体" w:eastAsia="黑体" w:cs="黑体"/>
          <w:b w:val="0"/>
          <w:bCs w:val="0"/>
          <w:color w:val="auto"/>
          <w:kern w:val="0"/>
          <w:sz w:val="32"/>
          <w:szCs w:val="32"/>
          <w:highlight w:val="none"/>
          <w:u w:val="none" w:color="auto"/>
          <w:lang w:val="en-US" w:eastAsia="zh-CN" w:bidi="ar-SA"/>
        </w:rPr>
      </w:pPr>
      <w:r>
        <w:rPr>
          <w:rFonts w:hint="eastAsia" w:ascii="黑体" w:hAnsi="黑体" w:eastAsia="黑体" w:cs="黑体"/>
          <w:b w:val="0"/>
          <w:bCs w:val="0"/>
          <w:color w:val="auto"/>
          <w:kern w:val="0"/>
          <w:sz w:val="32"/>
          <w:szCs w:val="32"/>
          <w:highlight w:val="none"/>
          <w:u w:val="none" w:color="auto"/>
          <w:lang w:val="en-US" w:eastAsia="zh-CN" w:bidi="ar-SA"/>
        </w:rPr>
        <w:t>第六章 运行管理</w:t>
      </w:r>
    </w:p>
    <w:p w14:paraId="1C8B60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安全生产</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第三十</w:t>
      </w:r>
      <w:r>
        <w:rPr>
          <w:rFonts w:hint="eastAsia" w:ascii="仿宋_GB2312" w:hAnsi="仿宋_GB2312" w:cs="仿宋_GB2312"/>
          <w:b w:val="0"/>
          <w:bCs w:val="0"/>
          <w:color w:val="auto"/>
          <w:kern w:val="2"/>
          <w:sz w:val="32"/>
          <w:szCs w:val="32"/>
          <w:highlight w:val="none"/>
          <w:u w:val="none" w:color="auto"/>
          <w:lang w:val="en-US" w:eastAsia="zh-CN" w:bidi="ar-SA"/>
        </w:rPr>
        <w:t>一</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分布式光伏发电项目投资主体是项目的安全生产责任主体，必须贯彻执行国家及行业安全生产管理规定，依法加强项目建设运营全过程的安全生产管理</w:t>
      </w:r>
      <w:r>
        <w:rPr>
          <w:rFonts w:hint="eastAsia" w:ascii="仿宋_GB2312" w:hAnsi="仿宋_GB2312" w:cs="仿宋_GB2312"/>
          <w:b w:val="0"/>
          <w:bCs w:val="0"/>
          <w:color w:val="auto"/>
          <w:sz w:val="32"/>
          <w:szCs w:val="32"/>
          <w:highlight w:val="none"/>
          <w:u w:val="none" w:color="auto"/>
          <w:lang w:val="en-US" w:eastAsia="zh-CN"/>
        </w:rPr>
        <w:t>，开展电能质量评估、治理等工作。</w:t>
      </w:r>
      <w:r>
        <w:rPr>
          <w:rFonts w:hint="eastAsia" w:ascii="仿宋_GB2312" w:hAnsi="仿宋_GB2312" w:eastAsia="仿宋_GB2312" w:cs="仿宋_GB2312"/>
          <w:b w:val="0"/>
          <w:bCs w:val="0"/>
          <w:color w:val="auto"/>
          <w:sz w:val="32"/>
          <w:szCs w:val="32"/>
          <w:highlight w:val="none"/>
          <w:u w:val="none" w:color="auto"/>
          <w:lang w:val="en-US" w:eastAsia="zh-CN"/>
        </w:rPr>
        <w:t>承担分布式光伏发电安全生产监管职责的有关方面应当建立协同配合机制，依法依规依职责分工加强监管。</w:t>
      </w:r>
    </w:p>
    <w:p w14:paraId="11EC74B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调度运行</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第三十</w:t>
      </w:r>
      <w:r>
        <w:rPr>
          <w:rFonts w:hint="eastAsia" w:ascii="仿宋_GB2312" w:hAnsi="仿宋_GB2312" w:cs="仿宋_GB2312"/>
          <w:b w:val="0"/>
          <w:bCs w:val="0"/>
          <w:color w:val="auto"/>
          <w:kern w:val="2"/>
          <w:sz w:val="32"/>
          <w:szCs w:val="32"/>
          <w:highlight w:val="none"/>
          <w:u w:val="none" w:color="auto"/>
          <w:lang w:val="en-US" w:eastAsia="zh-CN" w:bidi="ar-SA"/>
        </w:rPr>
        <w:t>二条</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 </w:t>
      </w:r>
      <w:r>
        <w:rPr>
          <w:rFonts w:hint="eastAsia" w:ascii="仿宋_GB2312" w:hAnsi="仿宋_GB2312" w:eastAsia="仿宋_GB2312" w:cs="仿宋_GB2312"/>
          <w:b w:val="0"/>
          <w:bCs w:val="0"/>
          <w:color w:val="auto"/>
          <w:sz w:val="32"/>
          <w:szCs w:val="32"/>
          <w:highlight w:val="none"/>
          <w:u w:val="none" w:color="auto"/>
          <w:lang w:val="en-US" w:eastAsia="zh-CN"/>
        </w:rPr>
        <w:t>电网企业及其调度机构应当加强有源配电网（主动配电网）的规划、设计、运行方法研究，明确“可观、可测、可调、可控”技术要求，建立相应的调度运行机制，合理安排并主动优化电网运行方式。对于新增分布式光伏发电项目，应具备实时上传运行信息至电力调度机构和负荷管理中心功能，逆变器应提供一路通信接口，用于与电网信息交互、接收调度控制指令，项目投资主体应配合电网企业开展接入工作。对于存量具备条件的分布式光伏发电项目，电网企业、分布式光伏发电项目投资主体应当根据产权分界点，加大投资建设改造力度，保障分布式光伏发电高效可靠利用和电力系统安全稳定运行。</w:t>
      </w:r>
    </w:p>
    <w:p w14:paraId="05B046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灵活参与调度和专线供电</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第三十</w:t>
      </w:r>
      <w:r>
        <w:rPr>
          <w:rFonts w:hint="eastAsia" w:ascii="仿宋_GB2312" w:hAnsi="仿宋_GB2312" w:cs="仿宋_GB2312"/>
          <w:b w:val="0"/>
          <w:bCs w:val="0"/>
          <w:color w:val="auto"/>
          <w:kern w:val="2"/>
          <w:sz w:val="32"/>
          <w:szCs w:val="32"/>
          <w:highlight w:val="none"/>
          <w:u w:val="none" w:color="auto"/>
          <w:lang w:val="en-US" w:eastAsia="zh-CN" w:bidi="ar-SA"/>
        </w:rPr>
        <w:t>三</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分布式光伏发电可独立或者通过微电网、源网荷储一体化、虚拟电厂聚合等形式参与调度，电网企业及其调度机构进行调度应当做到公开、公平、公正，保障电网安全稳定运行。</w:t>
      </w:r>
    </w:p>
    <w:p w14:paraId="51F8BCD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分布式光伏发电项目与用户开展专线供电的，发电、用电双方应当按照有关规定承担输配电费、系统运行费用、政府性基金及附加等，公平承担相应的责任和义务。</w:t>
      </w:r>
    </w:p>
    <w:p w14:paraId="608448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运维管理</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第三十</w:t>
      </w:r>
      <w:r>
        <w:rPr>
          <w:rFonts w:hint="eastAsia" w:ascii="仿宋_GB2312" w:hAnsi="仿宋_GB2312" w:cs="仿宋_GB2312"/>
          <w:b w:val="0"/>
          <w:bCs w:val="0"/>
          <w:color w:val="auto"/>
          <w:kern w:val="2"/>
          <w:sz w:val="32"/>
          <w:szCs w:val="32"/>
          <w:highlight w:val="none"/>
          <w:u w:val="none" w:color="auto"/>
          <w:lang w:val="en-US" w:eastAsia="zh-CN" w:bidi="ar-SA"/>
        </w:rPr>
        <w:t>四</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投运后，分布式光伏发电项目投资主体可自行或者委托专业化运维公司等第三方作为运维管理责任单位。分布式光伏发电项目投资主体、有关设备制造供应商、运维管理责任单位应当严格执行调度运行、网络安全与数据安全等有关管理规定，</w:t>
      </w:r>
      <w:r>
        <w:rPr>
          <w:rFonts w:hint="eastAsia" w:ascii="仿宋_GB2312" w:hAnsi="仿宋_GB2312" w:eastAsia="仿宋_GB2312" w:cs="仿宋_GB2312"/>
          <w:b w:val="0"/>
          <w:bCs w:val="0"/>
          <w:color w:val="auto"/>
          <w:sz w:val="32"/>
          <w:szCs w:val="32"/>
          <w:highlight w:val="none"/>
          <w:u w:val="none" w:color="auto"/>
        </w:rPr>
        <w:t>并网的分布式光伏发电应当按照调管关系接受相应平台的远程调控，禁止擅自设置或者预留任何外部控制接口，</w:t>
      </w:r>
      <w:r>
        <w:rPr>
          <w:rFonts w:hint="eastAsia" w:ascii="仿宋_GB2312" w:hAnsi="仿宋_GB2312" w:eastAsia="仿宋_GB2312" w:cs="仿宋_GB2312"/>
          <w:b w:val="0"/>
          <w:bCs w:val="0"/>
          <w:color w:val="auto"/>
          <w:sz w:val="32"/>
          <w:szCs w:val="32"/>
          <w:highlight w:val="none"/>
          <w:u w:val="none" w:color="auto"/>
          <w:lang w:val="en-US" w:eastAsia="zh-CN"/>
        </w:rPr>
        <w:t>加强涉网设备管理，配合电网企业及其调度机构做好并网调度运行管理，不得擅自停运或者调整涉网参数。</w:t>
      </w:r>
    </w:p>
    <w:p w14:paraId="7036B67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上网模式变更</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sz w:val="32"/>
          <w:szCs w:val="32"/>
          <w:highlight w:val="none"/>
          <w:u w:val="none" w:color="auto"/>
          <w:lang w:val="en-US" w:eastAsia="zh-CN"/>
        </w:rPr>
        <w:t>第三十</w:t>
      </w:r>
      <w:r>
        <w:rPr>
          <w:rFonts w:hint="eastAsia" w:ascii="仿宋_GB2312" w:hAnsi="仿宋_GB2312" w:cs="仿宋_GB2312"/>
          <w:b w:val="0"/>
          <w:bCs w:val="0"/>
          <w:color w:val="auto"/>
          <w:sz w:val="32"/>
          <w:szCs w:val="32"/>
          <w:highlight w:val="none"/>
          <w:u w:val="none" w:color="auto"/>
          <w:lang w:val="en-US" w:eastAsia="zh-CN"/>
        </w:rPr>
        <w:t>五</w:t>
      </w:r>
      <w:r>
        <w:rPr>
          <w:rFonts w:hint="eastAsia" w:ascii="仿宋_GB2312" w:hAnsi="仿宋_GB2312" w:eastAsia="仿宋_GB2312" w:cs="仿宋_GB2312"/>
          <w:b w:val="0"/>
          <w:bCs w:val="0"/>
          <w:color w:val="auto"/>
          <w:sz w:val="32"/>
          <w:szCs w:val="32"/>
          <w:highlight w:val="none"/>
          <w:u w:val="none" w:color="auto"/>
          <w:lang w:val="en-US" w:eastAsia="zh-CN"/>
        </w:rPr>
        <w:t>条 分布式光伏发电项目投资主体可根据电力用户负荷、自身经营状况等情况，按照第</w:t>
      </w:r>
      <w:r>
        <w:rPr>
          <w:rFonts w:hint="eastAsia" w:ascii="仿宋_GB2312" w:hAnsi="仿宋_GB2312" w:cs="仿宋_GB2312"/>
          <w:b w:val="0"/>
          <w:bCs w:val="0"/>
          <w:color w:val="auto"/>
          <w:sz w:val="32"/>
          <w:szCs w:val="32"/>
          <w:highlight w:val="none"/>
          <w:u w:val="none" w:color="auto"/>
          <w:lang w:val="en-US" w:eastAsia="zh-CN"/>
        </w:rPr>
        <w:t>四</w:t>
      </w:r>
      <w:r>
        <w:rPr>
          <w:rFonts w:hint="eastAsia" w:ascii="仿宋_GB2312" w:hAnsi="仿宋_GB2312" w:eastAsia="仿宋_GB2312" w:cs="仿宋_GB2312"/>
          <w:b w:val="0"/>
          <w:bCs w:val="0"/>
          <w:color w:val="auto"/>
          <w:sz w:val="32"/>
          <w:szCs w:val="32"/>
          <w:highlight w:val="none"/>
          <w:u w:val="none" w:color="auto"/>
          <w:lang w:val="en-US" w:eastAsia="zh-CN"/>
        </w:rPr>
        <w:t>条规定变更上网模式一次，同时进行备案变更，按照第二十</w:t>
      </w:r>
      <w:r>
        <w:rPr>
          <w:rFonts w:hint="eastAsia" w:ascii="仿宋_GB2312" w:hAnsi="仿宋_GB2312" w:cs="仿宋_GB2312"/>
          <w:b w:val="0"/>
          <w:bCs w:val="0"/>
          <w:color w:val="auto"/>
          <w:sz w:val="32"/>
          <w:szCs w:val="32"/>
          <w:highlight w:val="none"/>
          <w:u w:val="none" w:color="auto"/>
          <w:lang w:val="en-US" w:eastAsia="zh-CN"/>
        </w:rPr>
        <w:t>五</w:t>
      </w:r>
      <w:r>
        <w:rPr>
          <w:rFonts w:hint="eastAsia" w:ascii="仿宋_GB2312" w:hAnsi="仿宋_GB2312" w:eastAsia="仿宋_GB2312" w:cs="仿宋_GB2312"/>
          <w:b w:val="0"/>
          <w:bCs w:val="0"/>
          <w:color w:val="auto"/>
          <w:sz w:val="32"/>
          <w:szCs w:val="32"/>
          <w:highlight w:val="none"/>
          <w:u w:val="none" w:color="auto"/>
          <w:lang w:val="en-US" w:eastAsia="zh-CN"/>
        </w:rPr>
        <w:t>条</w:t>
      </w:r>
      <w:r>
        <w:rPr>
          <w:rFonts w:hint="eastAsia" w:ascii="仿宋_GB2312" w:hAnsi="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第二十</w:t>
      </w:r>
      <w:r>
        <w:rPr>
          <w:rFonts w:hint="eastAsia" w:ascii="仿宋_GB2312" w:hAnsi="仿宋_GB2312" w:cs="仿宋_GB2312"/>
          <w:b w:val="0"/>
          <w:bCs w:val="0"/>
          <w:color w:val="auto"/>
          <w:sz w:val="32"/>
          <w:szCs w:val="32"/>
          <w:highlight w:val="none"/>
          <w:u w:val="none" w:color="auto"/>
          <w:lang w:val="en-US" w:eastAsia="zh-CN"/>
        </w:rPr>
        <w:t>六</w:t>
      </w:r>
      <w:r>
        <w:rPr>
          <w:rFonts w:hint="eastAsia" w:ascii="仿宋_GB2312" w:hAnsi="仿宋_GB2312" w:eastAsia="仿宋_GB2312" w:cs="仿宋_GB2312"/>
          <w:b w:val="0"/>
          <w:bCs w:val="0"/>
          <w:color w:val="auto"/>
          <w:sz w:val="32"/>
          <w:szCs w:val="32"/>
          <w:highlight w:val="none"/>
          <w:u w:val="none" w:color="auto"/>
          <w:lang w:val="en-US" w:eastAsia="zh-CN"/>
        </w:rPr>
        <w:t>条规定，办理项目接网调整。项目并网投产前，项目投资主体与电网企业及其调度机构应当重新签订并网调度协议和购售电合同。</w:t>
      </w:r>
    </w:p>
    <w:p w14:paraId="57AE0E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销户处理</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val="0"/>
          <w:bCs w:val="0"/>
          <w:color w:val="auto"/>
          <w:kern w:val="2"/>
          <w:sz w:val="32"/>
          <w:szCs w:val="32"/>
          <w:highlight w:val="none"/>
          <w:u w:val="none" w:color="auto"/>
          <w:lang w:val="en-US" w:eastAsia="zh-CN" w:bidi="ar-SA"/>
        </w:rPr>
        <w:t>第三十六条</w:t>
      </w:r>
      <w:r>
        <w:rPr>
          <w:rFonts w:hint="eastAsia" w:ascii="仿宋_GB2312" w:hAnsi="仿宋_GB2312" w:cs="仿宋_GB2312"/>
          <w:b/>
          <w:bCs/>
          <w:color w:val="auto"/>
          <w:kern w:val="2"/>
          <w:sz w:val="32"/>
          <w:szCs w:val="32"/>
          <w:highlight w:val="none"/>
          <w:u w:val="none" w:color="auto"/>
          <w:lang w:val="en-US" w:eastAsia="zh-CN" w:bidi="ar-SA"/>
        </w:rPr>
        <w:t xml:space="preserve"> </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分布式光伏发电项目连续六个月未发电且现场发电设备已拆除的，由电网企业告知项目投资主体或向社会公示后，进行销户处理。在已销户地址重新建设或迁移安装地址的，须重新办理备案、并网手续。</w:t>
      </w:r>
    </w:p>
    <w:p w14:paraId="3740E7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建档立卡及绿证</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三十七</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分布式光伏发电项目应当在建成并网一个月内，完成建档立卡填报工作。</w:t>
      </w:r>
      <w:r>
        <w:rPr>
          <w:rFonts w:hint="eastAsia" w:ascii="仿宋_GB2312" w:hAnsi="仿宋_GB2312" w:cs="仿宋_GB2312"/>
          <w:b w:val="0"/>
          <w:bCs w:val="0"/>
          <w:color w:val="auto"/>
          <w:sz w:val="32"/>
          <w:szCs w:val="32"/>
          <w:highlight w:val="none"/>
          <w:u w:val="none" w:color="auto"/>
          <w:lang w:val="en-US" w:eastAsia="zh-CN"/>
        </w:rPr>
        <w:t>各市、县（市、县）</w:t>
      </w:r>
      <w:r>
        <w:rPr>
          <w:rFonts w:hint="eastAsia" w:ascii="仿宋_GB2312" w:hAnsi="仿宋_GB2312" w:eastAsia="仿宋_GB2312" w:cs="仿宋_GB2312"/>
          <w:b w:val="0"/>
          <w:bCs w:val="0"/>
          <w:color w:val="auto"/>
          <w:kern w:val="2"/>
          <w:sz w:val="32"/>
          <w:szCs w:val="32"/>
          <w:highlight w:val="none"/>
          <w:u w:val="none" w:color="auto"/>
          <w:lang w:val="en-US" w:eastAsia="zh-CN" w:bidi="ar-SA"/>
        </w:rPr>
        <w:t>能源主管部门</w:t>
      </w:r>
      <w:r>
        <w:rPr>
          <w:rFonts w:hint="eastAsia" w:ascii="仿宋_GB2312" w:hAnsi="仿宋_GB2312" w:eastAsia="仿宋_GB2312" w:cs="仿宋_GB2312"/>
          <w:b w:val="0"/>
          <w:bCs w:val="0"/>
          <w:color w:val="auto"/>
          <w:sz w:val="32"/>
          <w:szCs w:val="32"/>
          <w:highlight w:val="none"/>
          <w:u w:val="none" w:color="auto"/>
          <w:lang w:val="en-US" w:eastAsia="zh-CN"/>
        </w:rPr>
        <w:t>依托国家可再生能源发电项目信息管理平台，组织开展分布式光伏发电项目的建档立卡工作。建档立卡的分布式光伏发电项目按全部发电量核发绿证，其中上网电量核发可交易绿证，项目投资主体持有绿证后可根据绿证相关管理规定自主参与绿证交易。</w:t>
      </w:r>
    </w:p>
    <w:p w14:paraId="0264D6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cs="仿宋_GB2312"/>
          <w:b/>
          <w:bCs/>
          <w:color w:val="auto"/>
          <w:kern w:val="2"/>
          <w:sz w:val="32"/>
          <w:szCs w:val="32"/>
          <w:highlight w:val="none"/>
          <w:u w:val="none" w:color="auto"/>
          <w:lang w:val="en-US" w:eastAsia="zh-CN" w:bidi="ar-SA"/>
        </w:rPr>
        <w:t>改造升级和设备回收利用</w:t>
      </w:r>
      <w:r>
        <w:rPr>
          <w:rFonts w:hint="eastAsia" w:ascii="微软雅黑" w:hAnsi="微软雅黑" w:eastAsia="微软雅黑" w:cs="微软雅黑"/>
          <w:b/>
          <w:bCs/>
          <w:color w:val="auto"/>
          <w:kern w:val="2"/>
          <w:sz w:val="32"/>
          <w:szCs w:val="32"/>
          <w:highlight w:val="none"/>
          <w:u w:val="none" w:color="auto"/>
          <w:lang w:val="en-US" w:eastAsia="zh-CN" w:bidi="ar-SA"/>
        </w:rPr>
        <w:t>】</w:t>
      </w:r>
      <w:r>
        <w:rPr>
          <w:rFonts w:hint="eastAsia" w:ascii="仿宋_GB2312" w:hAnsi="仿宋_GB2312" w:eastAsia="仿宋_GB2312" w:cs="仿宋_GB2312"/>
          <w:b w:val="0"/>
          <w:bCs w:val="0"/>
          <w:color w:val="auto"/>
          <w:kern w:val="2"/>
          <w:sz w:val="32"/>
          <w:szCs w:val="32"/>
          <w:highlight w:val="none"/>
          <w:u w:val="none" w:color="auto"/>
          <w:lang w:val="en-US" w:eastAsia="zh-CN" w:bidi="ar-SA"/>
        </w:rPr>
        <w:t>第</w:t>
      </w:r>
      <w:r>
        <w:rPr>
          <w:rFonts w:hint="eastAsia" w:ascii="仿宋_GB2312" w:hAnsi="仿宋_GB2312" w:cs="仿宋_GB2312"/>
          <w:b w:val="0"/>
          <w:bCs w:val="0"/>
          <w:color w:val="auto"/>
          <w:kern w:val="2"/>
          <w:sz w:val="32"/>
          <w:szCs w:val="32"/>
          <w:highlight w:val="none"/>
          <w:u w:val="none" w:color="auto"/>
          <w:lang w:val="en-US" w:eastAsia="zh-CN" w:bidi="ar-SA"/>
        </w:rPr>
        <w:t>三十八</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鼓励分布式光伏发电项目开展改造升级</w:t>
      </w:r>
      <w:r>
        <w:rPr>
          <w:rFonts w:hint="eastAsia" w:ascii="仿宋_GB2312" w:hAnsi="仿宋_GB2312" w:cs="仿宋_GB2312"/>
          <w:b w:val="0"/>
          <w:bCs w:val="0"/>
          <w:color w:val="auto"/>
          <w:sz w:val="32"/>
          <w:szCs w:val="32"/>
          <w:highlight w:val="none"/>
          <w:u w:val="none" w:color="auto"/>
          <w:lang w:val="en-US" w:eastAsia="zh-CN"/>
        </w:rPr>
        <w:t>工作</w:t>
      </w:r>
      <w:r>
        <w:rPr>
          <w:rFonts w:hint="eastAsia" w:ascii="仿宋_GB2312" w:hAnsi="仿宋_GB2312" w:eastAsia="仿宋_GB2312" w:cs="仿宋_GB2312"/>
          <w:b w:val="0"/>
          <w:bCs w:val="0"/>
          <w:color w:val="auto"/>
          <w:sz w:val="32"/>
          <w:szCs w:val="32"/>
          <w:highlight w:val="none"/>
          <w:u w:val="none" w:color="auto"/>
          <w:lang w:val="en-US" w:eastAsia="zh-CN"/>
        </w:rPr>
        <w:t>，应用先进、高效、安全的技术和设备</w:t>
      </w:r>
      <w:r>
        <w:rPr>
          <w:rFonts w:hint="eastAsia" w:ascii="仿宋_GB2312" w:hAnsi="仿宋_GB2312" w:cs="仿宋_GB2312"/>
          <w:b w:val="0"/>
          <w:bCs w:val="0"/>
          <w:color w:val="auto"/>
          <w:sz w:val="32"/>
          <w:szCs w:val="32"/>
          <w:highlight w:val="none"/>
          <w:u w:val="none" w:color="auto"/>
          <w:lang w:val="en-US" w:eastAsia="zh-CN"/>
        </w:rPr>
        <w:t>，投资主体应在相关项目改造升级实施前完成备案修改工作</w:t>
      </w:r>
      <w:r>
        <w:rPr>
          <w:rFonts w:hint="eastAsia" w:ascii="仿宋_GB2312" w:hAnsi="仿宋_GB2312" w:eastAsia="仿宋_GB2312" w:cs="仿宋_GB2312"/>
          <w:b w:val="0"/>
          <w:bCs w:val="0"/>
          <w:color w:val="auto"/>
          <w:sz w:val="32"/>
          <w:szCs w:val="32"/>
          <w:highlight w:val="none"/>
          <w:u w:val="none" w:color="auto"/>
          <w:lang w:val="en-US" w:eastAsia="zh-CN"/>
        </w:rPr>
        <w:t>。分布式光伏发电项目的拆除、设备回收与再利用，应当符合国家资源回收利用和生态环境、安全生产等相关法律法规与政策要求，不得造成环境污染破坏与安全事故事件，鼓励分布式发电项目投资主体为设备回收与再利用创造便利条件。</w:t>
      </w:r>
    </w:p>
    <w:p w14:paraId="6AD0A48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p>
    <w:p w14:paraId="5AB0F1D5">
      <w:pPr>
        <w:keepNext w:val="0"/>
        <w:keepLines w:val="0"/>
        <w:pageBreakBefore w:val="0"/>
        <w:widowControl w:val="0"/>
        <w:numPr>
          <w:ilvl w:val="0"/>
          <w:numId w:val="0"/>
        </w:numPr>
        <w:kinsoku/>
        <w:wordWrap/>
        <w:overflowPunct/>
        <w:topLinePunct w:val="0"/>
        <w:autoSpaceDE/>
        <w:autoSpaceDN/>
        <w:bidi w:val="0"/>
        <w:snapToGrid w:val="0"/>
        <w:spacing w:before="0" w:after="0" w:line="560" w:lineRule="exact"/>
        <w:ind w:left="0" w:leftChars="0" w:right="0" w:rightChars="0" w:firstLine="0" w:firstLineChars="0"/>
        <w:jc w:val="center"/>
        <w:textAlignment w:val="auto"/>
        <w:outlineLvl w:val="0"/>
        <w:rPr>
          <w:rFonts w:hint="eastAsia" w:ascii="黑体" w:hAnsi="黑体" w:eastAsia="黑体" w:cs="黑体"/>
          <w:b w:val="0"/>
          <w:bCs w:val="0"/>
          <w:color w:val="auto"/>
          <w:kern w:val="0"/>
          <w:sz w:val="32"/>
          <w:szCs w:val="32"/>
          <w:highlight w:val="none"/>
          <w:u w:val="none" w:color="auto"/>
          <w:lang w:val="en-US" w:eastAsia="zh-CN" w:bidi="ar-SA"/>
        </w:rPr>
      </w:pPr>
      <w:r>
        <w:rPr>
          <w:rFonts w:hint="eastAsia" w:ascii="黑体" w:hAnsi="黑体" w:eastAsia="黑体" w:cs="黑体"/>
          <w:b w:val="0"/>
          <w:bCs w:val="0"/>
          <w:color w:val="auto"/>
          <w:kern w:val="0"/>
          <w:sz w:val="32"/>
          <w:szCs w:val="32"/>
          <w:highlight w:val="none"/>
          <w:u w:val="none" w:color="auto"/>
          <w:lang w:val="en-US" w:eastAsia="zh-CN" w:bidi="ar-SA"/>
        </w:rPr>
        <w:t>第七章 附  则</w:t>
      </w:r>
    </w:p>
    <w:p w14:paraId="399DE0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第四十条 </w:t>
      </w:r>
      <w:r>
        <w:rPr>
          <w:rFonts w:hint="eastAsia" w:ascii="仿宋_GB2312" w:hAnsi="仿宋_GB2312" w:cs="仿宋_GB2312"/>
          <w:b w:val="0"/>
          <w:bCs w:val="0"/>
          <w:color w:val="auto"/>
          <w:sz w:val="32"/>
          <w:szCs w:val="32"/>
          <w:highlight w:val="none"/>
          <w:u w:val="none" w:color="auto"/>
          <w:lang w:val="en-US" w:eastAsia="zh-CN"/>
        </w:rPr>
        <w:t>各市、县（市、区）</w:t>
      </w:r>
      <w:r>
        <w:rPr>
          <w:rFonts w:hint="eastAsia" w:ascii="仿宋_GB2312" w:hAnsi="仿宋_GB2312" w:eastAsia="仿宋_GB2312" w:cs="仿宋_GB2312"/>
          <w:b w:val="0"/>
          <w:bCs w:val="0"/>
          <w:color w:val="auto"/>
          <w:sz w:val="32"/>
          <w:szCs w:val="32"/>
          <w:highlight w:val="none"/>
          <w:u w:val="none" w:color="auto"/>
          <w:lang w:val="en-US" w:eastAsia="zh-CN"/>
        </w:rPr>
        <w:t>能源主管部门可根据本细则，制定适应本区域实际的具体措施</w:t>
      </w:r>
      <w:r>
        <w:rPr>
          <w:rFonts w:hint="eastAsia" w:ascii="仿宋_GB2312" w:hAnsi="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参照</w:t>
      </w:r>
      <w:r>
        <w:rPr>
          <w:rFonts w:hint="eastAsia" w:ascii="仿宋_GB2312" w:hAnsi="仿宋_GB2312" w:cs="仿宋_GB2312"/>
          <w:b w:val="0"/>
          <w:bCs w:val="0"/>
          <w:color w:val="auto"/>
          <w:sz w:val="32"/>
          <w:szCs w:val="32"/>
          <w:highlight w:val="none"/>
          <w:u w:val="none" w:color="auto"/>
          <w:lang w:val="en-US" w:eastAsia="zh-CN"/>
        </w:rPr>
        <w:t>本</w:t>
      </w:r>
      <w:r>
        <w:rPr>
          <w:rFonts w:hint="eastAsia" w:ascii="仿宋_GB2312" w:hAnsi="仿宋_GB2312" w:eastAsia="仿宋_GB2312" w:cs="仿宋_GB2312"/>
          <w:b w:val="0"/>
          <w:bCs w:val="0"/>
          <w:color w:val="auto"/>
          <w:sz w:val="32"/>
          <w:szCs w:val="32"/>
          <w:highlight w:val="none"/>
          <w:u w:val="none" w:color="auto"/>
          <w:lang w:val="en-US" w:eastAsia="zh-CN"/>
        </w:rPr>
        <w:t>细则开展离网型分布式光伏发电的备案管理等工作。</w:t>
      </w:r>
    </w:p>
    <w:p w14:paraId="2F6BCE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cs="仿宋_GB2312"/>
          <w:b w:val="0"/>
          <w:bCs w:val="0"/>
          <w:color w:val="auto"/>
          <w:sz w:val="32"/>
          <w:szCs w:val="32"/>
          <w:highlight w:val="none"/>
          <w:u w:val="none" w:color="auto"/>
          <w:lang w:val="en-US" w:eastAsia="zh-CN"/>
        </w:rPr>
      </w:pPr>
      <w:r>
        <w:rPr>
          <w:rFonts w:hint="eastAsia" w:ascii="仿宋_GB2312" w:hAnsi="仿宋_GB2312" w:cs="仿宋_GB2312"/>
          <w:b w:val="0"/>
          <w:bCs w:val="0"/>
          <w:color w:val="auto"/>
          <w:kern w:val="2"/>
          <w:sz w:val="32"/>
          <w:szCs w:val="32"/>
          <w:highlight w:val="none"/>
          <w:u w:val="none" w:color="auto"/>
          <w:lang w:val="en-US" w:eastAsia="zh-CN" w:bidi="ar-SA"/>
        </w:rPr>
        <w:t>第四十一条 2025年1月23日</w:t>
      </w:r>
      <w:r>
        <w:rPr>
          <w:rStyle w:val="6"/>
          <w:rFonts w:hint="eastAsia" w:ascii="仿宋_GB2312" w:hAnsi="仿宋_GB2312" w:cs="仿宋_GB2312"/>
          <w:b w:val="0"/>
          <w:bCs w:val="0"/>
          <w:i w:val="0"/>
          <w:iCs w:val="0"/>
          <w:caps w:val="0"/>
          <w:color w:val="auto"/>
          <w:spacing w:val="0"/>
          <w:sz w:val="32"/>
          <w:szCs w:val="32"/>
          <w:highlight w:val="none"/>
          <w:u w:val="none" w:color="auto"/>
          <w:shd w:val="clear" w:fill="FFFFFF"/>
          <w:lang w:val="en-US" w:eastAsia="zh-CN"/>
        </w:rPr>
        <w:t>前</w:t>
      </w:r>
      <w:r>
        <w:rPr>
          <w:rFonts w:hint="eastAsia" w:ascii="仿宋_GB2312" w:hAnsi="仿宋_GB2312" w:eastAsia="仿宋_GB2312" w:cs="仿宋_GB2312"/>
          <w:b w:val="0"/>
          <w:bCs w:val="0"/>
          <w:color w:val="auto"/>
          <w:sz w:val="32"/>
          <w:szCs w:val="32"/>
          <w:highlight w:val="none"/>
          <w:u w:val="none" w:color="auto"/>
          <w:lang w:val="en-US" w:eastAsia="zh-CN"/>
        </w:rPr>
        <w:t>已备案且于2025年5月1日前并网投产的分布式光伏发电项目，仍按原有政策执行</w:t>
      </w:r>
      <w:r>
        <w:rPr>
          <w:rFonts w:hint="eastAsia" w:ascii="仿宋_GB2312" w:hAnsi="仿宋_GB2312" w:cs="仿宋_GB2312"/>
          <w:b w:val="0"/>
          <w:bCs w:val="0"/>
          <w:color w:val="auto"/>
          <w:sz w:val="32"/>
          <w:szCs w:val="32"/>
          <w:highlight w:val="none"/>
          <w:u w:val="none" w:color="auto"/>
          <w:lang w:val="en-US" w:eastAsia="zh-CN"/>
        </w:rPr>
        <w:t>。根据《</w:t>
      </w:r>
      <w:r>
        <w:rPr>
          <w:rFonts w:hint="eastAsia" w:ascii="仿宋_GB2312" w:hAnsi="仿宋_GB2312" w:eastAsia="仿宋_GB2312" w:cs="仿宋_GB2312"/>
          <w:i w:val="0"/>
          <w:iCs w:val="0"/>
          <w:caps w:val="0"/>
          <w:color w:val="auto"/>
          <w:spacing w:val="0"/>
          <w:sz w:val="32"/>
          <w:szCs w:val="32"/>
          <w:highlight w:val="none"/>
          <w:u w:val="none" w:color="auto"/>
          <w:shd w:val="clear" w:fill="FFFFFF"/>
        </w:rPr>
        <w:t>山东省2025年新能源高水平消纳行动方案</w:t>
      </w:r>
      <w:r>
        <w:rPr>
          <w:rFonts w:hint="eastAsia" w:ascii="仿宋_GB2312" w:hAnsi="仿宋_GB2312" w:cs="仿宋_GB2312"/>
          <w:b w:val="0"/>
          <w:bCs w:val="0"/>
          <w:color w:val="auto"/>
          <w:sz w:val="32"/>
          <w:szCs w:val="32"/>
          <w:highlight w:val="none"/>
          <w:u w:val="none" w:color="auto"/>
          <w:lang w:val="en-US" w:eastAsia="zh-CN"/>
        </w:rPr>
        <w:t>》文件精神，</w:t>
      </w:r>
      <w:r>
        <w:rPr>
          <w:rFonts w:hint="eastAsia" w:ascii="仿宋_GB2312" w:hAnsi="仿宋_GB2312" w:cs="仿宋_GB2312"/>
          <w:b w:val="0"/>
          <w:bCs w:val="0"/>
          <w:color w:val="auto"/>
          <w:kern w:val="2"/>
          <w:sz w:val="32"/>
          <w:szCs w:val="32"/>
          <w:highlight w:val="none"/>
          <w:u w:val="none" w:color="auto"/>
          <w:lang w:val="en-US" w:eastAsia="zh-CN" w:bidi="ar-SA"/>
        </w:rPr>
        <w:t>2025年4月21日前已经备案的工商业分布式光伏项目，年自发自用电量可不做比例要求，之后备案的项目按本细则执行。</w:t>
      </w:r>
    </w:p>
    <w:p w14:paraId="3B0F5AAA">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kern w:val="2"/>
          <w:sz w:val="32"/>
          <w:szCs w:val="32"/>
          <w:highlight w:val="none"/>
          <w:u w:val="none" w:color="auto"/>
          <w:lang w:val="en-US" w:eastAsia="zh-CN" w:bidi="ar-SA"/>
        </w:rPr>
        <w:t>第四十</w:t>
      </w:r>
      <w:r>
        <w:rPr>
          <w:rFonts w:hint="eastAsia" w:ascii="仿宋_GB2312" w:hAnsi="仿宋_GB2312" w:cs="仿宋_GB2312"/>
          <w:b w:val="0"/>
          <w:bCs w:val="0"/>
          <w:color w:val="auto"/>
          <w:kern w:val="2"/>
          <w:sz w:val="32"/>
          <w:szCs w:val="32"/>
          <w:highlight w:val="none"/>
          <w:u w:val="none" w:color="auto"/>
          <w:lang w:val="en-US" w:eastAsia="zh-CN" w:bidi="ar-SA"/>
        </w:rPr>
        <w:t>二</w:t>
      </w:r>
      <w:r>
        <w:rPr>
          <w:rFonts w:hint="eastAsia" w:ascii="仿宋_GB2312" w:hAnsi="仿宋_GB2312" w:eastAsia="仿宋_GB2312" w:cs="仿宋_GB2312"/>
          <w:b w:val="0"/>
          <w:bCs w:val="0"/>
          <w:color w:val="auto"/>
          <w:kern w:val="2"/>
          <w:sz w:val="32"/>
          <w:szCs w:val="32"/>
          <w:highlight w:val="none"/>
          <w:u w:val="none" w:color="auto"/>
          <w:lang w:val="en-US" w:eastAsia="zh-CN" w:bidi="ar-SA"/>
        </w:rPr>
        <w:t xml:space="preserve">条 </w:t>
      </w:r>
      <w:r>
        <w:rPr>
          <w:rFonts w:hint="eastAsia" w:ascii="仿宋_GB2312" w:hAnsi="仿宋_GB2312" w:eastAsia="仿宋_GB2312" w:cs="仿宋_GB2312"/>
          <w:b w:val="0"/>
          <w:bCs w:val="0"/>
          <w:color w:val="auto"/>
          <w:sz w:val="32"/>
          <w:szCs w:val="32"/>
          <w:highlight w:val="none"/>
          <w:u w:val="none" w:color="auto"/>
          <w:lang w:val="en-US" w:eastAsia="zh-CN"/>
        </w:rPr>
        <w:t>本细则自发布之日起施行，有效期五年。</w:t>
      </w:r>
      <w:r>
        <w:rPr>
          <w:rFonts w:hint="eastAsia" w:ascii="仿宋_GB2312" w:hAnsi="仿宋_GB2312" w:eastAsia="仿宋_GB2312" w:cs="仿宋_GB2312"/>
          <w:b w:val="0"/>
          <w:bCs w:val="0"/>
          <w:i w:val="0"/>
          <w:iCs w:val="0"/>
          <w:caps w:val="0"/>
          <w:color w:val="auto"/>
          <w:spacing w:val="0"/>
          <w:sz w:val="32"/>
          <w:szCs w:val="32"/>
          <w:highlight w:val="none"/>
          <w:u w:val="none" w:color="auto"/>
          <w:shd w:val="clear" w:fill="auto"/>
        </w:rPr>
        <w:t>本细则施行前制定的</w:t>
      </w:r>
      <w:r>
        <w:rPr>
          <w:rStyle w:val="5"/>
          <w:rFonts w:hint="eastAsia" w:ascii="仿宋_GB2312" w:hAnsi="仿宋_GB2312" w:eastAsia="仿宋_GB2312" w:cs="仿宋_GB2312"/>
          <w:b w:val="0"/>
          <w:bCs w:val="0"/>
          <w:i w:val="0"/>
          <w:iCs w:val="0"/>
          <w:caps w:val="0"/>
          <w:color w:val="auto"/>
          <w:spacing w:val="0"/>
          <w:sz w:val="32"/>
          <w:szCs w:val="32"/>
          <w:highlight w:val="none"/>
          <w:u w:val="none" w:color="auto"/>
          <w:shd w:val="clear" w:fill="FFFFFF"/>
        </w:rPr>
        <w:t>相关规定与本细则</w:t>
      </w:r>
      <w:r>
        <w:rPr>
          <w:rStyle w:val="5"/>
          <w:rFonts w:hint="eastAsia" w:ascii="仿宋_GB2312" w:hAnsi="仿宋_GB2312" w:cs="仿宋_GB2312"/>
          <w:b w:val="0"/>
          <w:bCs w:val="0"/>
          <w:i w:val="0"/>
          <w:iCs w:val="0"/>
          <w:caps w:val="0"/>
          <w:color w:val="auto"/>
          <w:spacing w:val="0"/>
          <w:sz w:val="32"/>
          <w:szCs w:val="32"/>
          <w:highlight w:val="none"/>
          <w:u w:val="none" w:color="auto"/>
          <w:shd w:val="clear" w:fill="FFFFFF"/>
          <w:lang w:val="en-US" w:eastAsia="zh-CN"/>
        </w:rPr>
        <w:t>不符的</w:t>
      </w:r>
      <w:r>
        <w:rPr>
          <w:rStyle w:val="5"/>
          <w:rFonts w:hint="eastAsia" w:ascii="仿宋_GB2312" w:hAnsi="仿宋_GB2312" w:cs="仿宋_GB2312"/>
          <w:b w:val="0"/>
          <w:bCs w:val="0"/>
          <w:i w:val="0"/>
          <w:iCs w:val="0"/>
          <w:caps w:val="0"/>
          <w:color w:val="auto"/>
          <w:spacing w:val="0"/>
          <w:sz w:val="32"/>
          <w:szCs w:val="32"/>
          <w:highlight w:val="none"/>
          <w:u w:val="none" w:color="auto"/>
          <w:shd w:val="clear"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u w:val="none" w:color="auto"/>
          <w:shd w:val="clear"/>
        </w:rPr>
        <w:t>以本细则为准</w:t>
      </w:r>
      <w:r>
        <w:rPr>
          <w:rFonts w:hint="eastAsia" w:ascii="仿宋_GB2312" w:hAnsi="仿宋_GB2312" w:eastAsia="仿宋_GB2312" w:cs="仿宋_GB2312"/>
          <w:b w:val="0"/>
          <w:bCs w:val="0"/>
          <w:i w:val="0"/>
          <w:iCs w:val="0"/>
          <w:caps w:val="0"/>
          <w:color w:val="auto"/>
          <w:spacing w:val="0"/>
          <w:sz w:val="32"/>
          <w:szCs w:val="32"/>
          <w:highlight w:val="none"/>
          <w:u w:val="none" w:color="auto"/>
          <w:shd w:val="clear"/>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实施期间国家另有规定的，从其规定。</w:t>
      </w:r>
    </w:p>
    <w:sectPr>
      <w:footerReference r:id="rId5" w:type="default"/>
      <w:pgSz w:w="11906" w:h="16838"/>
      <w:pgMar w:top="1984" w:right="1474" w:bottom="181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0F4299-9C56-4457-A3B7-965FB7EBDC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58DFD65-2C25-4C2F-85F9-188C51B2A781}"/>
  </w:font>
  <w:font w:name="方正小标宋_GBK">
    <w:panose1 w:val="02000000000000000000"/>
    <w:charset w:val="86"/>
    <w:family w:val="auto"/>
    <w:pitch w:val="default"/>
    <w:sig w:usb0="A00002BF" w:usb1="38CF7CFA" w:usb2="00082016" w:usb3="00000000" w:csb0="00040001" w:csb1="00000000"/>
    <w:embedRegular r:id="rId3" w:fontKey="{A70F1E82-E3DB-4544-B3D1-4DF4E565C050}"/>
  </w:font>
  <w:font w:name="方正仿宋_GBK">
    <w:panose1 w:val="02000000000000000000"/>
    <w:charset w:val="86"/>
    <w:family w:val="auto"/>
    <w:pitch w:val="default"/>
    <w:sig w:usb0="A00002BF" w:usb1="38CF7CFA" w:usb2="00082016" w:usb3="00000000" w:csb0="00040001" w:csb1="00000000"/>
    <w:embedRegular r:id="rId4" w:fontKey="{AB607A54-0D1F-4789-AB73-D9BFFDDAEDF2}"/>
  </w:font>
  <w:font w:name="微软雅黑">
    <w:panose1 w:val="020B0503020204020204"/>
    <w:charset w:val="86"/>
    <w:family w:val="auto"/>
    <w:pitch w:val="default"/>
    <w:sig w:usb0="80000287" w:usb1="2ACF3C50" w:usb2="00000016" w:usb3="00000000" w:csb0="0004001F" w:csb1="00000000"/>
    <w:embedRegular r:id="rId5" w:fontKey="{38437657-C0F4-4F9E-924E-C484BE606D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C28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E938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9E938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46" w:lineRule="auto"/>
      </w:pPr>
      <w:r>
        <w:separator/>
      </w:r>
    </w:p>
  </w:footnote>
  <w:footnote w:type="continuationSeparator" w:id="1">
    <w:p>
      <w:pPr>
        <w:spacing w:before="0" w:after="0" w:line="34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85FA4"/>
    <w:rsid w:val="001D31A1"/>
    <w:rsid w:val="003A75F7"/>
    <w:rsid w:val="007754AC"/>
    <w:rsid w:val="00CA0063"/>
    <w:rsid w:val="00F54082"/>
    <w:rsid w:val="015C3EF3"/>
    <w:rsid w:val="0173513E"/>
    <w:rsid w:val="017C407C"/>
    <w:rsid w:val="019E0A3D"/>
    <w:rsid w:val="01C155EB"/>
    <w:rsid w:val="01CE15B8"/>
    <w:rsid w:val="01D85E54"/>
    <w:rsid w:val="01DF79C5"/>
    <w:rsid w:val="01EC6885"/>
    <w:rsid w:val="02444E5B"/>
    <w:rsid w:val="02613492"/>
    <w:rsid w:val="02950803"/>
    <w:rsid w:val="02C5041F"/>
    <w:rsid w:val="034444FC"/>
    <w:rsid w:val="03510DCB"/>
    <w:rsid w:val="03E434C4"/>
    <w:rsid w:val="03F7425A"/>
    <w:rsid w:val="043861C1"/>
    <w:rsid w:val="043C2262"/>
    <w:rsid w:val="04FF155B"/>
    <w:rsid w:val="05166D9C"/>
    <w:rsid w:val="0531676A"/>
    <w:rsid w:val="05346B88"/>
    <w:rsid w:val="0547740B"/>
    <w:rsid w:val="055C0717"/>
    <w:rsid w:val="056B3F5A"/>
    <w:rsid w:val="05DC533B"/>
    <w:rsid w:val="064A398F"/>
    <w:rsid w:val="0653389D"/>
    <w:rsid w:val="065C0CD4"/>
    <w:rsid w:val="067E18A8"/>
    <w:rsid w:val="06F37774"/>
    <w:rsid w:val="073F168A"/>
    <w:rsid w:val="0743417A"/>
    <w:rsid w:val="07E87D62"/>
    <w:rsid w:val="08E4364D"/>
    <w:rsid w:val="08EE476D"/>
    <w:rsid w:val="08FB6EC3"/>
    <w:rsid w:val="09BF1E8A"/>
    <w:rsid w:val="09EF09C1"/>
    <w:rsid w:val="0A5E77CF"/>
    <w:rsid w:val="0AA76787"/>
    <w:rsid w:val="0AF67B2D"/>
    <w:rsid w:val="0C8C76D1"/>
    <w:rsid w:val="0CF16DCC"/>
    <w:rsid w:val="0D314E4D"/>
    <w:rsid w:val="0D6503BE"/>
    <w:rsid w:val="0DB547D8"/>
    <w:rsid w:val="0DC77A11"/>
    <w:rsid w:val="0E2E2D2B"/>
    <w:rsid w:val="0E8C301D"/>
    <w:rsid w:val="0EF75B1D"/>
    <w:rsid w:val="0F3E3717"/>
    <w:rsid w:val="0FEC04FD"/>
    <w:rsid w:val="0FF60029"/>
    <w:rsid w:val="1027392C"/>
    <w:rsid w:val="10942434"/>
    <w:rsid w:val="10BD35C7"/>
    <w:rsid w:val="10D033AB"/>
    <w:rsid w:val="10D80471"/>
    <w:rsid w:val="11345598"/>
    <w:rsid w:val="11621A79"/>
    <w:rsid w:val="11E526AB"/>
    <w:rsid w:val="128E1E47"/>
    <w:rsid w:val="1296520C"/>
    <w:rsid w:val="12F451B6"/>
    <w:rsid w:val="13244AB4"/>
    <w:rsid w:val="13823A25"/>
    <w:rsid w:val="13997CBC"/>
    <w:rsid w:val="13AA1F39"/>
    <w:rsid w:val="13C90D0D"/>
    <w:rsid w:val="13F744BE"/>
    <w:rsid w:val="143412FD"/>
    <w:rsid w:val="14B606D5"/>
    <w:rsid w:val="14B938FB"/>
    <w:rsid w:val="15BC20B1"/>
    <w:rsid w:val="15E36356"/>
    <w:rsid w:val="15F718AE"/>
    <w:rsid w:val="161363F3"/>
    <w:rsid w:val="16A859BF"/>
    <w:rsid w:val="16DB428B"/>
    <w:rsid w:val="175C1A38"/>
    <w:rsid w:val="17954177"/>
    <w:rsid w:val="18526CE1"/>
    <w:rsid w:val="18DF5AB3"/>
    <w:rsid w:val="18E417AF"/>
    <w:rsid w:val="190E0FA0"/>
    <w:rsid w:val="194D7AF3"/>
    <w:rsid w:val="199F178B"/>
    <w:rsid w:val="19A7355E"/>
    <w:rsid w:val="1A483031"/>
    <w:rsid w:val="1A97354C"/>
    <w:rsid w:val="1AAC67D4"/>
    <w:rsid w:val="1ABB1D5F"/>
    <w:rsid w:val="1AF31622"/>
    <w:rsid w:val="1B005373"/>
    <w:rsid w:val="1B1B3171"/>
    <w:rsid w:val="1B7C03EE"/>
    <w:rsid w:val="1BAA168E"/>
    <w:rsid w:val="1C497057"/>
    <w:rsid w:val="1C7F3206"/>
    <w:rsid w:val="1CC45026"/>
    <w:rsid w:val="1CF74D05"/>
    <w:rsid w:val="1DA150DC"/>
    <w:rsid w:val="1E493260"/>
    <w:rsid w:val="1E871A3D"/>
    <w:rsid w:val="1E891988"/>
    <w:rsid w:val="1E9E6AF9"/>
    <w:rsid w:val="1ED20B28"/>
    <w:rsid w:val="1EF7622E"/>
    <w:rsid w:val="1F060878"/>
    <w:rsid w:val="1F52137F"/>
    <w:rsid w:val="1F947A8E"/>
    <w:rsid w:val="1FB568E1"/>
    <w:rsid w:val="1FCD7A7B"/>
    <w:rsid w:val="1FFA478B"/>
    <w:rsid w:val="20161B98"/>
    <w:rsid w:val="20327257"/>
    <w:rsid w:val="20631347"/>
    <w:rsid w:val="20766B09"/>
    <w:rsid w:val="211B2E91"/>
    <w:rsid w:val="2190359D"/>
    <w:rsid w:val="21B63DAD"/>
    <w:rsid w:val="21CB6CA6"/>
    <w:rsid w:val="22466B66"/>
    <w:rsid w:val="22513130"/>
    <w:rsid w:val="227E248B"/>
    <w:rsid w:val="22850432"/>
    <w:rsid w:val="22B97967"/>
    <w:rsid w:val="22DA1B09"/>
    <w:rsid w:val="23471CCD"/>
    <w:rsid w:val="23B03AA1"/>
    <w:rsid w:val="23F11C82"/>
    <w:rsid w:val="24D34D10"/>
    <w:rsid w:val="24F61541"/>
    <w:rsid w:val="25177951"/>
    <w:rsid w:val="25313A14"/>
    <w:rsid w:val="25C251BD"/>
    <w:rsid w:val="25F91BD5"/>
    <w:rsid w:val="261B1D6A"/>
    <w:rsid w:val="26AA7C49"/>
    <w:rsid w:val="27276EF8"/>
    <w:rsid w:val="273B509D"/>
    <w:rsid w:val="27F73402"/>
    <w:rsid w:val="28374C8E"/>
    <w:rsid w:val="28421789"/>
    <w:rsid w:val="285E5DBF"/>
    <w:rsid w:val="28792149"/>
    <w:rsid w:val="291D5A2A"/>
    <w:rsid w:val="29DA7E6D"/>
    <w:rsid w:val="2A0D4033"/>
    <w:rsid w:val="2A4C44D8"/>
    <w:rsid w:val="2A750111"/>
    <w:rsid w:val="2A963CBA"/>
    <w:rsid w:val="2AAA1539"/>
    <w:rsid w:val="2ADF5D52"/>
    <w:rsid w:val="2B1320FA"/>
    <w:rsid w:val="2B52655B"/>
    <w:rsid w:val="2B995497"/>
    <w:rsid w:val="2BAF763B"/>
    <w:rsid w:val="2BD94BFC"/>
    <w:rsid w:val="2BDB43A8"/>
    <w:rsid w:val="2C0B3F5F"/>
    <w:rsid w:val="2C1370A2"/>
    <w:rsid w:val="2C16092D"/>
    <w:rsid w:val="2C530CDE"/>
    <w:rsid w:val="2C7E6E50"/>
    <w:rsid w:val="2CA007BE"/>
    <w:rsid w:val="2CFB3810"/>
    <w:rsid w:val="2D8F2877"/>
    <w:rsid w:val="2D991C0E"/>
    <w:rsid w:val="2DB62853"/>
    <w:rsid w:val="2E2129E2"/>
    <w:rsid w:val="2E40582D"/>
    <w:rsid w:val="2E5C32A6"/>
    <w:rsid w:val="2ED6267A"/>
    <w:rsid w:val="2F2967C5"/>
    <w:rsid w:val="2F482C26"/>
    <w:rsid w:val="2F655CC9"/>
    <w:rsid w:val="2F8606FA"/>
    <w:rsid w:val="2FD812B6"/>
    <w:rsid w:val="2FE312EB"/>
    <w:rsid w:val="3013786F"/>
    <w:rsid w:val="309C489F"/>
    <w:rsid w:val="31B25CAD"/>
    <w:rsid w:val="31D23AA7"/>
    <w:rsid w:val="31EC631D"/>
    <w:rsid w:val="31F84705"/>
    <w:rsid w:val="320D7387"/>
    <w:rsid w:val="3260395B"/>
    <w:rsid w:val="326940B5"/>
    <w:rsid w:val="326E584C"/>
    <w:rsid w:val="32885D3F"/>
    <w:rsid w:val="3291636C"/>
    <w:rsid w:val="32BC2B3A"/>
    <w:rsid w:val="32C37025"/>
    <w:rsid w:val="331B1629"/>
    <w:rsid w:val="33F70320"/>
    <w:rsid w:val="33FB6545"/>
    <w:rsid w:val="341757F2"/>
    <w:rsid w:val="34EA0006"/>
    <w:rsid w:val="357716E7"/>
    <w:rsid w:val="364005E1"/>
    <w:rsid w:val="36792954"/>
    <w:rsid w:val="36811AF2"/>
    <w:rsid w:val="36D47D63"/>
    <w:rsid w:val="36F647DF"/>
    <w:rsid w:val="37814322"/>
    <w:rsid w:val="37DB0F6E"/>
    <w:rsid w:val="37E50B76"/>
    <w:rsid w:val="37FF695B"/>
    <w:rsid w:val="38753553"/>
    <w:rsid w:val="388F2604"/>
    <w:rsid w:val="38A26B1B"/>
    <w:rsid w:val="390E2D83"/>
    <w:rsid w:val="392C0A3B"/>
    <w:rsid w:val="397D12B3"/>
    <w:rsid w:val="39824D40"/>
    <w:rsid w:val="39F31738"/>
    <w:rsid w:val="39F82B7E"/>
    <w:rsid w:val="3A0625E6"/>
    <w:rsid w:val="3A650AB0"/>
    <w:rsid w:val="3B52368C"/>
    <w:rsid w:val="3B77232F"/>
    <w:rsid w:val="3B9A372A"/>
    <w:rsid w:val="3BF014E4"/>
    <w:rsid w:val="3D401A04"/>
    <w:rsid w:val="3D8D368D"/>
    <w:rsid w:val="3DB33E6B"/>
    <w:rsid w:val="3DF573B6"/>
    <w:rsid w:val="3E454587"/>
    <w:rsid w:val="3E4E183A"/>
    <w:rsid w:val="3EE020C0"/>
    <w:rsid w:val="3FE419CF"/>
    <w:rsid w:val="3FEA3532"/>
    <w:rsid w:val="3FED0788"/>
    <w:rsid w:val="402266F3"/>
    <w:rsid w:val="4099561C"/>
    <w:rsid w:val="40CE7A60"/>
    <w:rsid w:val="41015A59"/>
    <w:rsid w:val="41383D14"/>
    <w:rsid w:val="41684C23"/>
    <w:rsid w:val="41C1531E"/>
    <w:rsid w:val="420F51ED"/>
    <w:rsid w:val="421F54FD"/>
    <w:rsid w:val="424312DC"/>
    <w:rsid w:val="42AC7942"/>
    <w:rsid w:val="42B23D1E"/>
    <w:rsid w:val="42C94736"/>
    <w:rsid w:val="43B54E8A"/>
    <w:rsid w:val="44954951"/>
    <w:rsid w:val="455562CA"/>
    <w:rsid w:val="45A203B1"/>
    <w:rsid w:val="45BF1D3F"/>
    <w:rsid w:val="45DA5B6B"/>
    <w:rsid w:val="461C5469"/>
    <w:rsid w:val="46414C6D"/>
    <w:rsid w:val="46C16187"/>
    <w:rsid w:val="47645163"/>
    <w:rsid w:val="47AE178F"/>
    <w:rsid w:val="47B73BC5"/>
    <w:rsid w:val="47C55741"/>
    <w:rsid w:val="47FD3CA8"/>
    <w:rsid w:val="48283EE8"/>
    <w:rsid w:val="48353275"/>
    <w:rsid w:val="483E09A0"/>
    <w:rsid w:val="485437F9"/>
    <w:rsid w:val="48B80871"/>
    <w:rsid w:val="49E62E99"/>
    <w:rsid w:val="4A387C62"/>
    <w:rsid w:val="4A756F38"/>
    <w:rsid w:val="4A8B21F5"/>
    <w:rsid w:val="4AE80553"/>
    <w:rsid w:val="4B303B6B"/>
    <w:rsid w:val="4BA245A6"/>
    <w:rsid w:val="4BB76425"/>
    <w:rsid w:val="4BF6200A"/>
    <w:rsid w:val="4C2A1ABD"/>
    <w:rsid w:val="4C79773C"/>
    <w:rsid w:val="4D5E751B"/>
    <w:rsid w:val="4D8417B3"/>
    <w:rsid w:val="4F0D3835"/>
    <w:rsid w:val="4F373C63"/>
    <w:rsid w:val="4F686792"/>
    <w:rsid w:val="4FFF44BE"/>
    <w:rsid w:val="50601B7A"/>
    <w:rsid w:val="50863773"/>
    <w:rsid w:val="50924F42"/>
    <w:rsid w:val="50B61EF7"/>
    <w:rsid w:val="51455D1B"/>
    <w:rsid w:val="524129E9"/>
    <w:rsid w:val="5241575B"/>
    <w:rsid w:val="537C445B"/>
    <w:rsid w:val="53967F7C"/>
    <w:rsid w:val="53C6628E"/>
    <w:rsid w:val="53C755EA"/>
    <w:rsid w:val="542A55B9"/>
    <w:rsid w:val="54573BF8"/>
    <w:rsid w:val="54931956"/>
    <w:rsid w:val="54D05A81"/>
    <w:rsid w:val="54D632F9"/>
    <w:rsid w:val="55165B6C"/>
    <w:rsid w:val="55732AE9"/>
    <w:rsid w:val="55C81A64"/>
    <w:rsid w:val="55EC3505"/>
    <w:rsid w:val="565161C2"/>
    <w:rsid w:val="566A5726"/>
    <w:rsid w:val="579205D8"/>
    <w:rsid w:val="57934251"/>
    <w:rsid w:val="57D16299"/>
    <w:rsid w:val="586C344D"/>
    <w:rsid w:val="58BC0FE7"/>
    <w:rsid w:val="59153B16"/>
    <w:rsid w:val="592E1D75"/>
    <w:rsid w:val="594F24F7"/>
    <w:rsid w:val="596534A3"/>
    <w:rsid w:val="59D75C73"/>
    <w:rsid w:val="5A5354EC"/>
    <w:rsid w:val="5AD93007"/>
    <w:rsid w:val="5AF22B1F"/>
    <w:rsid w:val="5B9D622C"/>
    <w:rsid w:val="5BAD2BCD"/>
    <w:rsid w:val="5BBE18DC"/>
    <w:rsid w:val="5BED1F21"/>
    <w:rsid w:val="5CF51BD9"/>
    <w:rsid w:val="5CF535CE"/>
    <w:rsid w:val="5CF87FB4"/>
    <w:rsid w:val="5D1443E0"/>
    <w:rsid w:val="5D2D7057"/>
    <w:rsid w:val="5D3D7133"/>
    <w:rsid w:val="5D5C1420"/>
    <w:rsid w:val="5DDA7F64"/>
    <w:rsid w:val="5E460463"/>
    <w:rsid w:val="5E7F6CA5"/>
    <w:rsid w:val="5EBD1B36"/>
    <w:rsid w:val="5EE85FA4"/>
    <w:rsid w:val="5FE813E6"/>
    <w:rsid w:val="5FE95F67"/>
    <w:rsid w:val="5FFA7B23"/>
    <w:rsid w:val="60CD3C94"/>
    <w:rsid w:val="61000E2A"/>
    <w:rsid w:val="6122165A"/>
    <w:rsid w:val="61665DD5"/>
    <w:rsid w:val="616C6FE3"/>
    <w:rsid w:val="61991618"/>
    <w:rsid w:val="620667D3"/>
    <w:rsid w:val="62C63D9D"/>
    <w:rsid w:val="62F979D6"/>
    <w:rsid w:val="63AB0A2F"/>
    <w:rsid w:val="645C5AC9"/>
    <w:rsid w:val="64897A38"/>
    <w:rsid w:val="658729D1"/>
    <w:rsid w:val="65E86709"/>
    <w:rsid w:val="660556E8"/>
    <w:rsid w:val="671464E6"/>
    <w:rsid w:val="671C4D52"/>
    <w:rsid w:val="68177A6C"/>
    <w:rsid w:val="682A486E"/>
    <w:rsid w:val="6847581B"/>
    <w:rsid w:val="684E77D6"/>
    <w:rsid w:val="69467238"/>
    <w:rsid w:val="696638FC"/>
    <w:rsid w:val="69A52C90"/>
    <w:rsid w:val="69DA16C4"/>
    <w:rsid w:val="6A3D10FD"/>
    <w:rsid w:val="6A6E5C9D"/>
    <w:rsid w:val="6AF92F6F"/>
    <w:rsid w:val="6B723CBB"/>
    <w:rsid w:val="6C0F4CBF"/>
    <w:rsid w:val="6C1117A9"/>
    <w:rsid w:val="6C2F050B"/>
    <w:rsid w:val="6CA845FF"/>
    <w:rsid w:val="6CDA1C7E"/>
    <w:rsid w:val="6CFE0E77"/>
    <w:rsid w:val="6D576963"/>
    <w:rsid w:val="6D5F202C"/>
    <w:rsid w:val="6D941BC2"/>
    <w:rsid w:val="6DD30891"/>
    <w:rsid w:val="6DE22E9A"/>
    <w:rsid w:val="6DEF7CE6"/>
    <w:rsid w:val="6E635EE4"/>
    <w:rsid w:val="6E946A7C"/>
    <w:rsid w:val="6EA603A2"/>
    <w:rsid w:val="6EBD5293"/>
    <w:rsid w:val="6F0B5A2C"/>
    <w:rsid w:val="6F0F138D"/>
    <w:rsid w:val="70136489"/>
    <w:rsid w:val="705047D3"/>
    <w:rsid w:val="70C31E99"/>
    <w:rsid w:val="71025253"/>
    <w:rsid w:val="71CC7A71"/>
    <w:rsid w:val="72142C20"/>
    <w:rsid w:val="72200655"/>
    <w:rsid w:val="73125E35"/>
    <w:rsid w:val="73671199"/>
    <w:rsid w:val="73AA556D"/>
    <w:rsid w:val="73C34247"/>
    <w:rsid w:val="741C150E"/>
    <w:rsid w:val="746A313B"/>
    <w:rsid w:val="74A130FD"/>
    <w:rsid w:val="74A62E2A"/>
    <w:rsid w:val="74C26C2B"/>
    <w:rsid w:val="74E57BE6"/>
    <w:rsid w:val="75355FA6"/>
    <w:rsid w:val="75EA7003"/>
    <w:rsid w:val="763D419E"/>
    <w:rsid w:val="766E784B"/>
    <w:rsid w:val="76A651B8"/>
    <w:rsid w:val="76BA6056"/>
    <w:rsid w:val="76DD123C"/>
    <w:rsid w:val="77350184"/>
    <w:rsid w:val="774402C1"/>
    <w:rsid w:val="77BB4972"/>
    <w:rsid w:val="77C32351"/>
    <w:rsid w:val="77DB555F"/>
    <w:rsid w:val="784A2489"/>
    <w:rsid w:val="78A00DE0"/>
    <w:rsid w:val="78C3385E"/>
    <w:rsid w:val="78C64448"/>
    <w:rsid w:val="793C5FEA"/>
    <w:rsid w:val="79F245E2"/>
    <w:rsid w:val="7A7B26AD"/>
    <w:rsid w:val="7A8B129B"/>
    <w:rsid w:val="7AA47760"/>
    <w:rsid w:val="7AB749D1"/>
    <w:rsid w:val="7AB94464"/>
    <w:rsid w:val="7ABB72F3"/>
    <w:rsid w:val="7B1011E1"/>
    <w:rsid w:val="7B234CEF"/>
    <w:rsid w:val="7B4D15F4"/>
    <w:rsid w:val="7BE91B6C"/>
    <w:rsid w:val="7BFE48C0"/>
    <w:rsid w:val="7C6E426F"/>
    <w:rsid w:val="7D062CCB"/>
    <w:rsid w:val="7D1E4059"/>
    <w:rsid w:val="7D5D47F0"/>
    <w:rsid w:val="7DB92C47"/>
    <w:rsid w:val="7E0B154A"/>
    <w:rsid w:val="7E280A81"/>
    <w:rsid w:val="7E53034C"/>
    <w:rsid w:val="7E6B0FDB"/>
    <w:rsid w:val="7E7267E3"/>
    <w:rsid w:val="7E781DC0"/>
    <w:rsid w:val="7E881082"/>
    <w:rsid w:val="7E9F6D1C"/>
    <w:rsid w:val="7F1F5729"/>
    <w:rsid w:val="7F2108D9"/>
    <w:rsid w:val="7F4B6A45"/>
    <w:rsid w:val="7F695428"/>
    <w:rsid w:val="7F991109"/>
    <w:rsid w:val="7FA75BC9"/>
    <w:rsid w:val="7FAB67DA"/>
    <w:rsid w:val="7FF43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Lines="0" w:after="0" w:afterLines="0" w:line="346" w:lineRule="auto"/>
      <w:ind w:left="1" w:right="0" w:firstLine="419" w:firstLineChars="0"/>
      <w:jc w:val="both"/>
      <w:textAlignment w:val="bottom"/>
    </w:pPr>
    <w:rPr>
      <w:rFonts w:ascii="Times New Roman" w:hAnsi="Times New Roman" w:eastAsia="仿宋_GB2312" w:cs="Times New Roman"/>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8168</Words>
  <Characters>8200</Characters>
  <Lines>0</Lines>
  <Paragraphs>0</Paragraphs>
  <TotalTime>49</TotalTime>
  <ScaleCrop>false</ScaleCrop>
  <LinksUpToDate>false</LinksUpToDate>
  <CharactersWithSpaces>8301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2025-02-16T07:50:00Z</dcterms:created>
  <dc:creator>admin</dc:creator>
  <cp:lastModifiedBy>书剑</cp:lastModifiedBy>
  <cp:lastPrinted>2025-04-23T07:20:00Z</cp:lastPrinted>
  <dcterms:modified xsi:type="dcterms:W3CDTF">2025-04-23T09:24:58Z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5D18469B8E6D408B97934B5CC8DB4D4C_13</vt:lpwstr>
  </property>
  <property fmtid="{D5CDD505-2E9C-101B-9397-08002B2CF9AE}" pid="4" name="KSOTemplateDocerSaveRecord">
    <vt:lpwstr>eyJoZGlkIjoiMzEwNTM5NzYwMDRjMzkwZTVkZjY2ODkwMGIxNGU0OTUiLCJ1c2VySWQiOiI0MDkzODQ4MzEifQ==</vt:lpwstr>
  </property>
</Properties>
</file>