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F597AA">
      <w:pPr>
        <w:keepNext w:val="0"/>
        <w:keepLines w:val="0"/>
        <w:pageBreakBefore w:val="0"/>
        <w:widowControl w:val="0"/>
        <w:tabs>
          <w:tab w:val="left" w:pos="8100"/>
          <w:tab w:val="left" w:pos="8400"/>
        </w:tabs>
        <w:kinsoku/>
        <w:wordWrap/>
        <w:overflowPunct/>
        <w:topLinePunct w:val="0"/>
        <w:autoSpaceDE/>
        <w:autoSpaceDN/>
        <w:bidi w:val="0"/>
        <w:adjustRightInd/>
        <w:snapToGrid w:val="0"/>
        <w:spacing w:line="400" w:lineRule="exact"/>
        <w:ind w:right="315" w:rightChars="150"/>
        <w:jc w:val="left"/>
        <w:textAlignment w:val="auto"/>
        <w:outlineLvl w:val="9"/>
        <w:rPr>
          <w:ins w:id="21" w:author="LV" w:date="2026-07-13T09:55:08Z"/>
          <w:rFonts w:hint="eastAsia" w:ascii="黑体" w:hAnsi="黑体" w:eastAsia="黑体" w:cs="黑体"/>
          <w:sz w:val="32"/>
          <w:szCs w:val="32"/>
        </w:rPr>
      </w:pPr>
    </w:p>
    <w:p w14:paraId="6C4D7F53">
      <w:pPr>
        <w:keepNext w:val="0"/>
        <w:keepLines w:val="0"/>
        <w:pageBreakBefore w:val="0"/>
        <w:widowControl w:val="0"/>
        <w:tabs>
          <w:tab w:val="left" w:pos="8100"/>
          <w:tab w:val="left" w:pos="8400"/>
        </w:tabs>
        <w:kinsoku/>
        <w:wordWrap/>
        <w:overflowPunct/>
        <w:topLinePunct w:val="0"/>
        <w:autoSpaceDE/>
        <w:autoSpaceDN/>
        <w:bidi w:val="0"/>
        <w:adjustRightInd/>
        <w:snapToGrid w:val="0"/>
        <w:spacing w:line="400" w:lineRule="exact"/>
        <w:ind w:right="315" w:rightChars="150"/>
        <w:jc w:val="left"/>
        <w:textAlignment w:val="auto"/>
        <w:outlineLvl w:val="9"/>
        <w:rPr>
          <w:ins w:id="22" w:author="LV" w:date="2026-07-13T09:55:09Z"/>
          <w:rFonts w:hint="eastAsia" w:ascii="黑体" w:hAnsi="黑体" w:eastAsia="黑体" w:cs="黑体"/>
          <w:sz w:val="32"/>
          <w:szCs w:val="32"/>
        </w:rPr>
      </w:pPr>
    </w:p>
    <w:p w14:paraId="5BBA0179">
      <w:pPr>
        <w:keepNext w:val="0"/>
        <w:keepLines w:val="0"/>
        <w:pageBreakBefore w:val="0"/>
        <w:widowControl w:val="0"/>
        <w:tabs>
          <w:tab w:val="left" w:pos="8100"/>
          <w:tab w:val="left" w:pos="8400"/>
        </w:tabs>
        <w:kinsoku/>
        <w:wordWrap/>
        <w:overflowPunct/>
        <w:topLinePunct w:val="0"/>
        <w:autoSpaceDE/>
        <w:autoSpaceDN/>
        <w:bidi w:val="0"/>
        <w:adjustRightInd/>
        <w:snapToGrid w:val="0"/>
        <w:spacing w:line="400" w:lineRule="exact"/>
        <w:ind w:right="315" w:rightChars="150"/>
        <w:jc w:val="left"/>
        <w:textAlignment w:val="auto"/>
        <w:outlineLvl w:val="9"/>
        <w:rPr>
          <w:del w:id="23" w:author="LV" w:date="2026-07-13T09:55:08Z"/>
          <w:rFonts w:hint="eastAsia" w:ascii="黑体" w:hAnsi="黑体" w:eastAsia="黑体" w:cs="黑体"/>
          <w:sz w:val="32"/>
          <w:szCs w:val="32"/>
        </w:rPr>
      </w:pPr>
    </w:p>
    <w:p w14:paraId="14F910ED">
      <w:pPr>
        <w:keepNext w:val="0"/>
        <w:keepLines w:val="0"/>
        <w:pageBreakBefore w:val="0"/>
        <w:widowControl w:val="0"/>
        <w:tabs>
          <w:tab w:val="left" w:pos="8100"/>
          <w:tab w:val="left" w:pos="8400"/>
        </w:tabs>
        <w:kinsoku/>
        <w:wordWrap/>
        <w:overflowPunct/>
        <w:topLinePunct w:val="0"/>
        <w:autoSpaceDE/>
        <w:autoSpaceDN/>
        <w:bidi w:val="0"/>
        <w:adjustRightInd/>
        <w:snapToGrid w:val="0"/>
        <w:spacing w:line="400" w:lineRule="exact"/>
        <w:ind w:right="315" w:rightChars="150"/>
        <w:jc w:val="left"/>
        <w:textAlignment w:val="auto"/>
        <w:outlineLvl w:val="9"/>
        <w:rPr>
          <w:del w:id="24" w:author="LV" w:date="2026-07-13T09:55:07Z"/>
          <w:rFonts w:hint="eastAsia" w:ascii="黑体" w:hAnsi="黑体" w:eastAsia="黑体" w:cs="黑体"/>
          <w:sz w:val="32"/>
          <w:szCs w:val="32"/>
        </w:rPr>
      </w:pPr>
    </w:p>
    <w:p w14:paraId="70849734">
      <w:pPr>
        <w:keepNext w:val="0"/>
        <w:keepLines w:val="0"/>
        <w:pageBreakBefore w:val="0"/>
        <w:widowControl w:val="0"/>
        <w:kinsoku/>
        <w:wordWrap/>
        <w:overflowPunct w:val="0"/>
        <w:topLinePunct w:val="0"/>
        <w:autoSpaceDE/>
        <w:autoSpaceDN/>
        <w:bidi w:val="0"/>
        <w:adjustRightInd w:val="0"/>
        <w:snapToGrid w:val="0"/>
        <w:spacing w:line="578" w:lineRule="exact"/>
        <w:jc w:val="both"/>
        <w:textAlignment w:val="auto"/>
        <w:rPr>
          <w:del w:id="25" w:author="LV" w:date="2026-07-13T09:55:07Z"/>
          <w:rFonts w:hint="eastAsia" w:ascii="方正小标宋_GBK" w:eastAsia="方正小标宋_GBK"/>
          <w:kern w:val="0"/>
          <w:sz w:val="44"/>
          <w:szCs w:val="44"/>
          <w:lang w:eastAsia="zh-Hans"/>
        </w:rPr>
      </w:pPr>
    </w:p>
    <w:p w14:paraId="52148FD4">
      <w:pPr>
        <w:keepNext w:val="0"/>
        <w:keepLines w:val="0"/>
        <w:pageBreakBefore w:val="0"/>
        <w:widowControl w:val="0"/>
        <w:kinsoku/>
        <w:wordWrap/>
        <w:overflowPunct w:val="0"/>
        <w:topLinePunct w:val="0"/>
        <w:autoSpaceDE/>
        <w:autoSpaceDN/>
        <w:bidi w:val="0"/>
        <w:adjustRightInd w:val="0"/>
        <w:snapToGrid w:val="0"/>
        <w:spacing w:line="578" w:lineRule="exact"/>
        <w:jc w:val="center"/>
        <w:textAlignment w:val="auto"/>
        <w:rPr>
          <w:rFonts w:hint="eastAsia" w:ascii="方正小标宋_GBK" w:eastAsia="方正小标宋_GBK"/>
          <w:color w:val="auto"/>
          <w:kern w:val="0"/>
          <w:sz w:val="44"/>
          <w:szCs w:val="44"/>
          <w:rPrChange w:id="27" w:author="LV" w:date="2026-07-22T20:40:36Z">
            <w:rPr>
              <w:rFonts w:hint="eastAsia" w:ascii="方正小标宋_GBK" w:eastAsia="方正小标宋_GBK"/>
              <w:kern w:val="0"/>
              <w:sz w:val="44"/>
              <w:szCs w:val="44"/>
            </w:rPr>
          </w:rPrChange>
        </w:rPr>
        <w:pPrChange w:id="26" w:author="LV" w:date="2026-07-13T09:55:21Z">
          <w:pPr>
            <w:keepNext w:val="0"/>
            <w:keepLines w:val="0"/>
            <w:pageBreakBefore w:val="0"/>
            <w:widowControl w:val="0"/>
            <w:kinsoku/>
            <w:wordWrap/>
            <w:overflowPunct w:val="0"/>
            <w:topLinePunct w:val="0"/>
            <w:autoSpaceDE/>
            <w:autoSpaceDN/>
            <w:bidi w:val="0"/>
            <w:adjustRightInd w:val="0"/>
            <w:snapToGrid w:val="0"/>
            <w:spacing w:line="578" w:lineRule="exact"/>
            <w:jc w:val="center"/>
            <w:textAlignment w:val="auto"/>
          </w:pPr>
        </w:pPrChange>
      </w:pPr>
      <w:r>
        <w:rPr>
          <w:rFonts w:hint="eastAsia" w:ascii="方正小标宋_GBK" w:eastAsia="方正小标宋_GBK"/>
          <w:color w:val="auto"/>
          <w:kern w:val="0"/>
          <w:sz w:val="44"/>
          <w:szCs w:val="44"/>
          <w:lang w:eastAsia="zh-Hans"/>
          <w:rPrChange w:id="28" w:author="LV" w:date="2026-07-22T20:40:36Z">
            <w:rPr>
              <w:rFonts w:hint="eastAsia" w:ascii="方正小标宋_GBK" w:eastAsia="方正小标宋_GBK"/>
              <w:kern w:val="0"/>
              <w:sz w:val="44"/>
              <w:szCs w:val="44"/>
              <w:lang w:eastAsia="zh-Hans"/>
            </w:rPr>
          </w:rPrChange>
        </w:rPr>
        <w:t>山东省能源</w:t>
      </w:r>
      <w:r>
        <w:rPr>
          <w:rFonts w:hint="eastAsia" w:ascii="方正小标宋_GBK" w:eastAsia="方正小标宋_GBK"/>
          <w:color w:val="auto"/>
          <w:kern w:val="0"/>
          <w:sz w:val="44"/>
          <w:szCs w:val="44"/>
          <w:rPrChange w:id="29" w:author="LV" w:date="2026-07-22T20:40:36Z">
            <w:rPr>
              <w:rFonts w:hint="eastAsia" w:ascii="方正小标宋_GBK" w:eastAsia="方正小标宋_GBK"/>
              <w:kern w:val="0"/>
              <w:sz w:val="44"/>
              <w:szCs w:val="44"/>
            </w:rPr>
          </w:rPrChange>
        </w:rPr>
        <w:t>行政处罚裁量权基准</w:t>
      </w:r>
    </w:p>
    <w:p w14:paraId="043A8F1C">
      <w:pPr>
        <w:keepNext w:val="0"/>
        <w:keepLines w:val="0"/>
        <w:pageBreakBefore w:val="0"/>
        <w:widowControl w:val="0"/>
        <w:kinsoku/>
        <w:wordWrap/>
        <w:overflowPunct w:val="0"/>
        <w:topLinePunct w:val="0"/>
        <w:autoSpaceDE/>
        <w:autoSpaceDN/>
        <w:bidi w:val="0"/>
        <w:adjustRightInd w:val="0"/>
        <w:snapToGrid w:val="0"/>
        <w:spacing w:line="578" w:lineRule="exact"/>
        <w:jc w:val="center"/>
        <w:textAlignment w:val="auto"/>
        <w:rPr>
          <w:ins w:id="30" w:author="LV" w:date="2026-07-13T09:55:12Z"/>
          <w:rFonts w:hint="eastAsia" w:ascii="方正小标宋_GBK" w:eastAsia="方正小标宋_GBK"/>
          <w:color w:val="auto"/>
          <w:kern w:val="0"/>
          <w:sz w:val="44"/>
          <w:szCs w:val="44"/>
          <w:lang w:eastAsia="zh-CN"/>
          <w:rPrChange w:id="31" w:author="LV" w:date="2026-07-22T20:40:36Z">
            <w:rPr>
              <w:ins w:id="32" w:author="LV" w:date="2026-07-13T09:55:12Z"/>
              <w:rFonts w:hint="eastAsia" w:ascii="方正小标宋_GBK" w:eastAsia="方正小标宋_GBK"/>
              <w:kern w:val="0"/>
              <w:sz w:val="44"/>
              <w:szCs w:val="44"/>
              <w:lang w:eastAsia="zh-CN"/>
            </w:rPr>
          </w:rPrChange>
        </w:rPr>
      </w:pPr>
      <w:r>
        <w:rPr>
          <w:rFonts w:hint="eastAsia" w:ascii="楷体_GB2312" w:hAnsi="楷体_GB2312" w:eastAsia="楷体_GB2312" w:cs="楷体_GB2312"/>
          <w:color w:val="auto"/>
          <w:kern w:val="0"/>
          <w:sz w:val="44"/>
          <w:szCs w:val="44"/>
          <w:lang w:eastAsia="zh-CN"/>
          <w:rPrChange w:id="33" w:author="LV" w:date="2026-07-22T20:40:36Z">
            <w:rPr>
              <w:rFonts w:hint="eastAsia" w:ascii="方正小标宋_GBK" w:eastAsia="方正小标宋_GBK"/>
              <w:kern w:val="0"/>
              <w:sz w:val="44"/>
              <w:szCs w:val="44"/>
              <w:lang w:eastAsia="zh-CN"/>
            </w:rPr>
          </w:rPrChange>
        </w:rPr>
        <w:t>（</w:t>
      </w:r>
      <w:del w:id="34" w:author="LV" w:date="2026-07-14T15:49:27Z">
        <w:r>
          <w:rPr>
            <w:rFonts w:hint="default" w:ascii="楷体_GB2312" w:hAnsi="楷体_GB2312" w:eastAsia="楷体_GB2312" w:cs="楷体_GB2312"/>
            <w:color w:val="auto"/>
            <w:kern w:val="0"/>
            <w:sz w:val="44"/>
            <w:szCs w:val="44"/>
            <w:lang w:val="en-US" w:eastAsia="zh-CN"/>
            <w:rPrChange w:id="35" w:author="LV" w:date="2026-07-22T20:40:36Z">
              <w:rPr>
                <w:rFonts w:hint="default" w:ascii="方正小标宋_GBK" w:eastAsia="方正小标宋_GBK"/>
                <w:kern w:val="0"/>
                <w:sz w:val="44"/>
                <w:szCs w:val="44"/>
                <w:lang w:val="en-US" w:eastAsia="zh-CN"/>
              </w:rPr>
            </w:rPrChange>
          </w:rPr>
          <w:delText>修改花脸稿</w:delText>
        </w:r>
      </w:del>
      <w:ins w:id="36" w:author="LV" w:date="2026-07-14T15:49:28Z">
        <w:r>
          <w:rPr>
            <w:rFonts w:hint="eastAsia" w:ascii="楷体_GB2312" w:hAnsi="楷体_GB2312" w:eastAsia="楷体_GB2312" w:cs="楷体_GB2312"/>
            <w:color w:val="auto"/>
            <w:kern w:val="0"/>
            <w:sz w:val="44"/>
            <w:szCs w:val="44"/>
            <w:lang w:val="en-US" w:eastAsia="zh-CN"/>
            <w:rPrChange w:id="37" w:author="LV" w:date="2026-07-22T20:40:36Z">
              <w:rPr>
                <w:rFonts w:hint="eastAsia" w:ascii="楷体_GB2312" w:hAnsi="楷体_GB2312" w:eastAsia="楷体_GB2312" w:cs="楷体_GB2312"/>
                <w:kern w:val="0"/>
                <w:sz w:val="44"/>
                <w:szCs w:val="44"/>
                <w:lang w:val="en-US" w:eastAsia="zh-CN"/>
              </w:rPr>
            </w:rPrChange>
          </w:rPr>
          <w:t>征求</w:t>
        </w:r>
      </w:ins>
      <w:ins w:id="38" w:author="LV" w:date="2026-07-14T15:49:30Z">
        <w:r>
          <w:rPr>
            <w:rFonts w:hint="eastAsia" w:ascii="楷体_GB2312" w:hAnsi="楷体_GB2312" w:eastAsia="楷体_GB2312" w:cs="楷体_GB2312"/>
            <w:color w:val="auto"/>
            <w:kern w:val="0"/>
            <w:sz w:val="44"/>
            <w:szCs w:val="44"/>
            <w:lang w:val="en-US" w:eastAsia="zh-CN"/>
            <w:rPrChange w:id="39" w:author="LV" w:date="2026-07-22T20:40:36Z">
              <w:rPr>
                <w:rFonts w:hint="eastAsia" w:ascii="楷体_GB2312" w:hAnsi="楷体_GB2312" w:eastAsia="楷体_GB2312" w:cs="楷体_GB2312"/>
                <w:kern w:val="0"/>
                <w:sz w:val="44"/>
                <w:szCs w:val="44"/>
                <w:lang w:val="en-US" w:eastAsia="zh-CN"/>
              </w:rPr>
            </w:rPrChange>
          </w:rPr>
          <w:t>意见</w:t>
        </w:r>
      </w:ins>
      <w:ins w:id="40" w:author="LV" w:date="2026-07-14T15:49:31Z">
        <w:r>
          <w:rPr>
            <w:rFonts w:hint="eastAsia" w:ascii="楷体_GB2312" w:hAnsi="楷体_GB2312" w:eastAsia="楷体_GB2312" w:cs="楷体_GB2312"/>
            <w:color w:val="auto"/>
            <w:kern w:val="0"/>
            <w:sz w:val="44"/>
            <w:szCs w:val="44"/>
            <w:lang w:val="en-US" w:eastAsia="zh-CN"/>
            <w:rPrChange w:id="41" w:author="LV" w:date="2026-07-22T20:40:36Z">
              <w:rPr>
                <w:rFonts w:hint="eastAsia" w:ascii="楷体_GB2312" w:hAnsi="楷体_GB2312" w:eastAsia="楷体_GB2312" w:cs="楷体_GB2312"/>
                <w:kern w:val="0"/>
                <w:sz w:val="44"/>
                <w:szCs w:val="44"/>
                <w:lang w:val="en-US" w:eastAsia="zh-CN"/>
              </w:rPr>
            </w:rPrChange>
          </w:rPr>
          <w:t>稿</w:t>
        </w:r>
      </w:ins>
      <w:r>
        <w:rPr>
          <w:rFonts w:hint="eastAsia" w:ascii="楷体_GB2312" w:hAnsi="楷体_GB2312" w:eastAsia="楷体_GB2312" w:cs="楷体_GB2312"/>
          <w:color w:val="auto"/>
          <w:kern w:val="0"/>
          <w:sz w:val="44"/>
          <w:szCs w:val="44"/>
          <w:lang w:eastAsia="zh-CN"/>
          <w:rPrChange w:id="42" w:author="LV" w:date="2026-07-22T20:40:36Z">
            <w:rPr>
              <w:rFonts w:hint="eastAsia" w:ascii="方正小标宋_GBK" w:eastAsia="方正小标宋_GBK"/>
              <w:kern w:val="0"/>
              <w:sz w:val="44"/>
              <w:szCs w:val="44"/>
              <w:lang w:eastAsia="zh-CN"/>
            </w:rPr>
          </w:rPrChange>
        </w:rPr>
        <w:t>）</w:t>
      </w:r>
    </w:p>
    <w:p w14:paraId="6F00A382">
      <w:pPr>
        <w:keepNext w:val="0"/>
        <w:keepLines w:val="0"/>
        <w:pageBreakBefore w:val="0"/>
        <w:widowControl w:val="0"/>
        <w:kinsoku/>
        <w:wordWrap/>
        <w:overflowPunct w:val="0"/>
        <w:topLinePunct w:val="0"/>
        <w:autoSpaceDE/>
        <w:autoSpaceDN/>
        <w:bidi w:val="0"/>
        <w:adjustRightInd w:val="0"/>
        <w:snapToGrid w:val="0"/>
        <w:spacing w:line="578" w:lineRule="exact"/>
        <w:jc w:val="center"/>
        <w:textAlignment w:val="auto"/>
        <w:rPr>
          <w:del w:id="43" w:author="LV" w:date="2026-07-13T09:55:12Z"/>
          <w:rFonts w:hint="eastAsia" w:ascii="方正小标宋_GBK" w:eastAsia="方正小标宋_GBK"/>
          <w:color w:val="auto"/>
          <w:kern w:val="0"/>
          <w:sz w:val="44"/>
          <w:szCs w:val="44"/>
          <w:lang w:eastAsia="zh-CN"/>
          <w:rPrChange w:id="44" w:author="LV" w:date="2026-07-22T20:40:36Z">
            <w:rPr>
              <w:del w:id="45" w:author="LV" w:date="2026-07-13T09:55:12Z"/>
              <w:rFonts w:hint="eastAsia" w:ascii="方正小标宋_GBK" w:eastAsia="方正小标宋_GBK"/>
              <w:kern w:val="0"/>
              <w:sz w:val="44"/>
              <w:szCs w:val="44"/>
              <w:lang w:eastAsia="zh-CN"/>
            </w:rPr>
          </w:rPrChange>
        </w:rPr>
      </w:pPr>
    </w:p>
    <w:p w14:paraId="7BBC514E">
      <w:pPr>
        <w:keepNext w:val="0"/>
        <w:keepLines w:val="0"/>
        <w:widowControl w:val="0"/>
        <w:suppressLineNumbers w:val="0"/>
        <w:pBdr>
          <w:top w:val="none" w:color="auto" w:sz="0" w:space="0"/>
          <w:left w:val="none" w:color="auto" w:sz="0" w:space="0"/>
          <w:bottom w:val="none" w:color="auto" w:sz="0" w:space="0"/>
          <w:right w:val="none" w:color="auto" w:sz="0" w:space="0"/>
        </w:pBdr>
        <w:shd w:val="clear" w:fill="auto"/>
        <w:overflowPunct w:val="0"/>
        <w:adjustRightInd w:val="0"/>
        <w:snapToGrid w:val="0"/>
        <w:spacing w:before="0" w:beforeAutospacing="0" w:after="0" w:afterAutospacing="0" w:line="578" w:lineRule="exact"/>
        <w:ind w:left="0" w:right="0" w:firstLine="0" w:firstLineChars="0"/>
        <w:jc w:val="center"/>
        <w:rPr>
          <w:del w:id="47" w:author="LV" w:date="2026-07-13T09:55:11Z"/>
          <w:rFonts w:hint="eastAsia" w:ascii="仿宋_GB2312" w:hAnsi="仿宋_GB2312" w:eastAsia="仿宋_GB2312" w:cs="仿宋_GB2312"/>
          <w:b w:val="0"/>
          <w:bCs w:val="0"/>
          <w:i w:val="0"/>
          <w:iCs w:val="0"/>
          <w:caps w:val="0"/>
          <w:color w:val="auto"/>
          <w:spacing w:val="0"/>
          <w:kern w:val="0"/>
          <w:sz w:val="32"/>
          <w:szCs w:val="32"/>
          <w:rPrChange w:id="48" w:author="LV" w:date="2026-07-22T20:40:36Z">
            <w:rPr>
              <w:del w:id="49" w:author="LV" w:date="2026-07-13T09:55:11Z"/>
              <w:rFonts w:hint="eastAsia" w:ascii="仿宋_GB2312" w:hAnsi="仿宋_GB2312" w:eastAsia="仿宋_GB2312" w:cs="仿宋_GB2312"/>
              <w:b w:val="0"/>
              <w:bCs w:val="0"/>
              <w:i w:val="0"/>
              <w:iCs w:val="0"/>
              <w:caps w:val="0"/>
              <w:color w:val="333333"/>
              <w:spacing w:val="0"/>
              <w:kern w:val="0"/>
              <w:sz w:val="32"/>
              <w:szCs w:val="32"/>
            </w:rPr>
          </w:rPrChange>
        </w:rPr>
        <w:pPrChange w:id="46" w:author="LV" w:date="2026-07-13T09:55:12Z">
          <w:pPr>
            <w:keepNext w:val="0"/>
            <w:keepLines w:val="0"/>
            <w:widowControl w:val="0"/>
            <w:suppressLineNumbers w:val="0"/>
            <w:pBdr>
              <w:top w:val="none" w:color="auto" w:sz="0" w:space="0"/>
              <w:left w:val="none" w:color="auto" w:sz="0" w:space="0"/>
              <w:bottom w:val="none" w:color="auto" w:sz="0" w:space="0"/>
              <w:right w:val="none" w:color="auto" w:sz="0" w:space="0"/>
            </w:pBdr>
            <w:shd w:val="clear" w:fill="FFFFFF"/>
            <w:overflowPunct w:val="0"/>
            <w:adjustRightInd w:val="0"/>
            <w:snapToGrid w:val="0"/>
            <w:spacing w:before="0" w:beforeAutospacing="0" w:after="0" w:afterAutospacing="0" w:line="578" w:lineRule="exact"/>
            <w:ind w:left="0" w:right="0" w:firstLine="640" w:firstLineChars="200"/>
            <w:jc w:val="both"/>
          </w:pPr>
        </w:pPrChange>
      </w:pPr>
    </w:p>
    <w:p w14:paraId="19A463A6">
      <w:pPr>
        <w:keepNext w:val="0"/>
        <w:keepLines w:val="0"/>
        <w:pageBreakBefore w:val="0"/>
        <w:widowControl w:val="0"/>
        <w:kinsoku/>
        <w:wordWrap/>
        <w:overflowPunct w:val="0"/>
        <w:topLinePunct w:val="0"/>
        <w:autoSpaceDE/>
        <w:autoSpaceDN/>
        <w:bidi w:val="0"/>
        <w:adjustRightInd w:val="0"/>
        <w:snapToGrid w:val="0"/>
        <w:spacing w:line="578" w:lineRule="exact"/>
        <w:ind w:firstLine="0" w:firstLineChars="0"/>
        <w:jc w:val="center"/>
        <w:textAlignment w:val="auto"/>
        <w:rPr>
          <w:ins w:id="51" w:author="LV" w:date="2026-07-27T15:33:52Z"/>
          <w:rFonts w:ascii="楷体_GB2312" w:hAnsi="楷体_GB2312" w:eastAsia="楷体_GB2312" w:cs="楷体_GB2312"/>
          <w:bCs/>
          <w:color w:val="auto"/>
          <w:kern w:val="0"/>
          <w:sz w:val="32"/>
          <w:szCs w:val="32"/>
        </w:rPr>
        <w:pPrChange w:id="50" w:author="LV" w:date="2026-07-13T09:55:12Z">
          <w:pPr>
            <w:keepNext w:val="0"/>
            <w:keepLines w:val="0"/>
            <w:pageBreakBefore w:val="0"/>
            <w:widowControl w:val="0"/>
            <w:kinsoku/>
            <w:wordWrap/>
            <w:overflowPunct w:val="0"/>
            <w:topLinePunct w:val="0"/>
            <w:autoSpaceDE/>
            <w:autoSpaceDN/>
            <w:bidi w:val="0"/>
            <w:adjustRightInd w:val="0"/>
            <w:snapToGrid w:val="0"/>
            <w:spacing w:line="578" w:lineRule="exact"/>
            <w:ind w:firstLine="640" w:firstLineChars="200"/>
            <w:textAlignment w:val="auto"/>
          </w:pPr>
        </w:pPrChange>
      </w:pPr>
    </w:p>
    <w:p w14:paraId="35D153EF">
      <w:pPr>
        <w:pStyle w:val="11"/>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60" w:lineRule="exact"/>
        <w:ind w:left="0" w:right="0" w:firstLine="640" w:firstLineChars="200"/>
        <w:jc w:val="both"/>
        <w:rPr>
          <w:ins w:id="52" w:author="LV" w:date="2026-07-27T15:33:54Z"/>
          <w:rFonts w:hint="eastAsia" w:ascii="仿宋_GB2312" w:hAnsi="仿宋_GB2312" w:eastAsia="仿宋_GB2312" w:cs="仿宋_GB2312"/>
          <w:color w:val="auto"/>
          <w:kern w:val="0"/>
          <w:sz w:val="32"/>
          <w:szCs w:val="32"/>
          <w:lang w:eastAsia="zh-Hans"/>
        </w:rPr>
      </w:pPr>
      <w:ins w:id="53" w:author="LV" w:date="2026-07-27T15:33:54Z">
        <w:r>
          <w:rPr>
            <w:rFonts w:hint="eastAsia" w:ascii="黑体" w:hAnsi="黑体" w:eastAsia="黑体" w:cs="黑体"/>
            <w:color w:val="auto"/>
            <w:kern w:val="0"/>
            <w:sz w:val="32"/>
            <w:szCs w:val="32"/>
            <w:lang w:val="en-US" w:eastAsia="zh-Hans" w:bidi="ar-SA"/>
          </w:rPr>
          <w:t>第一条</w:t>
        </w:r>
      </w:ins>
      <w:ins w:id="54" w:author="LV" w:date="2026-07-27T15:33:54Z">
        <w:r>
          <w:rPr>
            <w:rFonts w:hint="eastAsia" w:ascii="黑体" w:hAnsi="黑体" w:eastAsia="黑体" w:cs="黑体"/>
            <w:color w:val="auto"/>
            <w:kern w:val="0"/>
            <w:sz w:val="32"/>
            <w:szCs w:val="32"/>
            <w:lang w:val="en-US" w:eastAsia="zh-CN" w:bidi="ar-SA"/>
          </w:rPr>
          <w:t xml:space="preserve">  </w:t>
        </w:r>
      </w:ins>
      <w:ins w:id="55" w:author="LV" w:date="2026-07-27T15:33:54Z">
        <w:r>
          <w:rPr>
            <w:rFonts w:hint="eastAsia" w:ascii="仿宋_GB2312" w:hAnsi="仿宋_GB2312" w:eastAsia="仿宋_GB2312" w:cs="仿宋_GB2312"/>
            <w:color w:val="auto"/>
            <w:sz w:val="32"/>
            <w:szCs w:val="32"/>
            <w:lang w:eastAsia="zh-Hans"/>
          </w:rPr>
          <w:t>为规范</w:t>
        </w:r>
      </w:ins>
      <w:ins w:id="56" w:author="LV" w:date="2026-07-27T15:33:54Z">
        <w:r>
          <w:rPr>
            <w:rFonts w:hint="eastAsia" w:ascii="仿宋_GB2312" w:hAnsi="仿宋_GB2312" w:eastAsia="仿宋_GB2312" w:cs="仿宋_GB2312"/>
            <w:color w:val="auto"/>
            <w:sz w:val="32"/>
            <w:szCs w:val="32"/>
            <w:lang w:eastAsia="zh-CN"/>
          </w:rPr>
          <w:t>能源</w:t>
        </w:r>
      </w:ins>
      <w:ins w:id="57" w:author="LV" w:date="2026-07-27T15:33:54Z">
        <w:r>
          <w:rPr>
            <w:rFonts w:hint="eastAsia" w:ascii="仿宋_GB2312" w:hAnsi="仿宋_GB2312" w:eastAsia="仿宋_GB2312" w:cs="仿宋_GB2312"/>
            <w:color w:val="auto"/>
            <w:sz w:val="32"/>
            <w:szCs w:val="32"/>
            <w:lang w:eastAsia="zh-Hans"/>
          </w:rPr>
          <w:t>行政处罚裁量权</w:t>
        </w:r>
      </w:ins>
      <w:ins w:id="58" w:author="LV" w:date="2026-07-27T15:33:54Z">
        <w:r>
          <w:rPr>
            <w:rFonts w:hint="eastAsia" w:ascii="仿宋_GB2312" w:hAnsi="仿宋_GB2312" w:eastAsia="仿宋_GB2312" w:cs="仿宋_GB2312"/>
            <w:color w:val="auto"/>
            <w:sz w:val="32"/>
            <w:szCs w:val="32"/>
            <w:lang w:eastAsia="zh-CN"/>
          </w:rPr>
          <w:t>的</w:t>
        </w:r>
      </w:ins>
      <w:ins w:id="59" w:author="LV" w:date="2026-07-27T15:33:54Z">
        <w:r>
          <w:rPr>
            <w:rFonts w:hint="eastAsia" w:ascii="仿宋_GB2312" w:hAnsi="仿宋_GB2312" w:eastAsia="仿宋_GB2312" w:cs="仿宋_GB2312"/>
            <w:color w:val="auto"/>
            <w:sz w:val="32"/>
            <w:szCs w:val="32"/>
            <w:lang w:eastAsia="zh-Hans"/>
          </w:rPr>
          <w:t>行使，</w:t>
        </w:r>
      </w:ins>
      <w:ins w:id="60" w:author="LV" w:date="2026-07-27T15:33:54Z">
        <w:r>
          <w:rPr>
            <w:rFonts w:hint="eastAsia" w:ascii="仿宋_GB2312" w:hAnsi="仿宋_GB2312" w:eastAsia="仿宋_GB2312" w:cs="仿宋_GB2312"/>
            <w:color w:val="auto"/>
            <w:sz w:val="32"/>
            <w:szCs w:val="32"/>
            <w:lang w:eastAsia="zh-CN"/>
          </w:rPr>
          <w:t>确保</w:t>
        </w:r>
      </w:ins>
      <w:ins w:id="61" w:author="LV" w:date="2026-07-27T15:33:54Z">
        <w:r>
          <w:rPr>
            <w:rFonts w:hint="eastAsia" w:ascii="仿宋_GB2312" w:hAnsi="仿宋_GB2312" w:eastAsia="仿宋_GB2312" w:cs="仿宋_GB2312"/>
            <w:color w:val="auto"/>
            <w:sz w:val="32"/>
            <w:szCs w:val="32"/>
            <w:lang w:eastAsia="zh-Hans"/>
          </w:rPr>
          <w:t>依法行政、合理行政，</w:t>
        </w:r>
      </w:ins>
      <w:ins w:id="62" w:author="LV" w:date="2026-07-27T15:33:54Z">
        <w:r>
          <w:rPr>
            <w:rFonts w:hint="eastAsia" w:ascii="仿宋_GB2312" w:hAnsi="仿宋_GB2312" w:eastAsia="仿宋_GB2312" w:cs="仿宋_GB2312"/>
            <w:color w:val="auto"/>
            <w:sz w:val="32"/>
            <w:szCs w:val="32"/>
            <w:lang w:eastAsia="zh-CN"/>
          </w:rPr>
          <w:t>切实</w:t>
        </w:r>
      </w:ins>
      <w:ins w:id="63" w:author="LV" w:date="2026-07-27T15:33:54Z">
        <w:r>
          <w:rPr>
            <w:rFonts w:hint="eastAsia" w:ascii="仿宋_GB2312" w:hAnsi="仿宋_GB2312" w:eastAsia="仿宋_GB2312" w:cs="仿宋_GB2312"/>
            <w:color w:val="auto"/>
            <w:sz w:val="32"/>
            <w:szCs w:val="32"/>
            <w:lang w:eastAsia="zh-Hans"/>
          </w:rPr>
          <w:t>维护社会公共利益</w:t>
        </w:r>
      </w:ins>
      <w:ins w:id="64" w:author="LV" w:date="2026-07-27T15:33:54Z">
        <w:r>
          <w:rPr>
            <w:rFonts w:hint="eastAsia" w:ascii="仿宋_GB2312" w:hAnsi="仿宋_GB2312" w:eastAsia="仿宋_GB2312" w:cs="仿宋_GB2312"/>
            <w:color w:val="auto"/>
            <w:sz w:val="32"/>
            <w:szCs w:val="32"/>
            <w:lang w:eastAsia="zh-CN"/>
          </w:rPr>
          <w:t>，保障</w:t>
        </w:r>
      </w:ins>
      <w:ins w:id="65" w:author="LV" w:date="2026-07-27T15:33:54Z">
        <w:r>
          <w:rPr>
            <w:rFonts w:hint="eastAsia" w:ascii="仿宋_GB2312" w:hAnsi="仿宋_GB2312" w:eastAsia="仿宋_GB2312" w:cs="仿宋_GB2312"/>
            <w:color w:val="auto"/>
            <w:sz w:val="32"/>
            <w:szCs w:val="32"/>
            <w:lang w:eastAsia="zh-Hans"/>
          </w:rPr>
          <w:t>能源投资者、经营者、使用者的合法权益，</w:t>
        </w:r>
      </w:ins>
      <w:ins w:id="66" w:author="LV" w:date="2026-07-27T15:33:54Z">
        <w:r>
          <w:rPr>
            <w:rFonts w:hint="eastAsia" w:ascii="仿宋_GB2312" w:hAnsi="仿宋_GB2312" w:eastAsia="仿宋_GB2312" w:cs="仿宋_GB2312"/>
            <w:color w:val="auto"/>
            <w:sz w:val="32"/>
            <w:szCs w:val="32"/>
            <w:lang w:eastAsia="zh-CN"/>
          </w:rPr>
          <w:t>根</w:t>
        </w:r>
      </w:ins>
      <w:ins w:id="67" w:author="LV" w:date="2026-07-27T15:33:54Z">
        <w:r>
          <w:rPr>
            <w:rFonts w:hint="eastAsia" w:ascii="仿宋_GB2312" w:hAnsi="仿宋_GB2312" w:eastAsia="仿宋_GB2312" w:cs="仿宋_GB2312"/>
            <w:color w:val="auto"/>
            <w:sz w:val="32"/>
            <w:szCs w:val="32"/>
            <w:lang w:eastAsia="zh-Hans"/>
          </w:rPr>
          <w:t>据《中华人民共和国行政处罚法》《国务院办公厅关于进一步规范行政裁量权基准制定和管理工作的意见》《山东省人民政府办公厅印发〈关于规范行政裁量权基准制定和管理工作的若干措施〉</w:t>
        </w:r>
      </w:ins>
      <w:ins w:id="68" w:author="LV" w:date="2026-07-27T15:33:54Z">
        <w:r>
          <w:rPr>
            <w:rFonts w:hint="eastAsia" w:ascii="仿宋_GB2312" w:hAnsi="仿宋_GB2312" w:eastAsia="仿宋_GB2312" w:cs="仿宋_GB2312"/>
            <w:color w:val="auto"/>
            <w:sz w:val="32"/>
            <w:szCs w:val="32"/>
            <w:lang w:eastAsia="zh-CN"/>
          </w:rPr>
          <w:t>的</w:t>
        </w:r>
      </w:ins>
      <w:ins w:id="69" w:author="LV" w:date="2026-07-27T15:33:54Z">
        <w:r>
          <w:rPr>
            <w:rFonts w:hint="eastAsia" w:ascii="仿宋_GB2312" w:hAnsi="仿宋_GB2312" w:eastAsia="仿宋_GB2312" w:cs="仿宋_GB2312"/>
            <w:color w:val="auto"/>
            <w:sz w:val="32"/>
            <w:szCs w:val="32"/>
            <w:lang w:eastAsia="zh-Hans"/>
          </w:rPr>
          <w:t>通知》</w:t>
        </w:r>
      </w:ins>
      <w:ins w:id="70" w:author="LV" w:date="2026-07-27T15:33:54Z">
        <w:r>
          <w:rPr>
            <w:rFonts w:hint="eastAsia" w:ascii="仿宋_GB2312" w:hAnsi="仿宋_GB2312" w:eastAsia="仿宋_GB2312" w:cs="仿宋_GB2312"/>
            <w:color w:val="auto"/>
            <w:sz w:val="32"/>
            <w:szCs w:val="32"/>
            <w:lang w:eastAsia="zh-CN"/>
          </w:rPr>
          <w:t>等有</w:t>
        </w:r>
      </w:ins>
      <w:ins w:id="71" w:author="LV" w:date="2026-07-27T15:33:54Z">
        <w:r>
          <w:rPr>
            <w:rFonts w:hint="eastAsia" w:ascii="仿宋_GB2312" w:hAnsi="仿宋_GB2312" w:eastAsia="仿宋_GB2312" w:cs="仿宋_GB2312"/>
            <w:color w:val="auto"/>
            <w:sz w:val="32"/>
            <w:szCs w:val="32"/>
            <w:lang w:eastAsia="zh-Hans"/>
          </w:rPr>
          <w:t>关规定，结合工作实际，制定本基准。</w:t>
        </w:r>
      </w:ins>
    </w:p>
    <w:p w14:paraId="48EECBB6">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left="-10" w:leftChars="0" w:right="0" w:rightChars="0" w:firstLine="640" w:firstLineChars="0"/>
        <w:jc w:val="both"/>
        <w:textAlignment w:val="auto"/>
        <w:rPr>
          <w:ins w:id="72" w:author="LV" w:date="2026-07-27T15:33:54Z"/>
          <w:rFonts w:hint="eastAsia" w:ascii="仿宋_GB2312" w:hAnsi="仿宋_GB2312" w:eastAsia="仿宋_GB2312" w:cs="仿宋_GB2312"/>
          <w:color w:val="auto"/>
          <w:kern w:val="0"/>
          <w:sz w:val="32"/>
          <w:szCs w:val="32"/>
          <w:lang w:eastAsia="zh-Hans"/>
        </w:rPr>
      </w:pPr>
      <w:ins w:id="73" w:author="LV" w:date="2026-07-27T15:33:54Z">
        <w:r>
          <w:rPr>
            <w:rFonts w:hint="eastAsia" w:ascii="黑体" w:hAnsi="黑体" w:eastAsia="黑体" w:cs="黑体"/>
            <w:color w:val="auto"/>
            <w:kern w:val="0"/>
            <w:sz w:val="32"/>
            <w:szCs w:val="32"/>
            <w:lang w:val="en-US" w:eastAsia="zh-CN" w:bidi="ar-SA"/>
          </w:rPr>
          <w:t>第二条</w:t>
        </w:r>
      </w:ins>
      <w:ins w:id="74" w:author="LV" w:date="2026-07-27T15:33:54Z">
        <w:r>
          <w:rPr>
            <w:rFonts w:hint="eastAsia" w:ascii="仿宋_GB2312" w:hAnsi="仿宋_GB2312" w:eastAsia="仿宋_GB2312" w:cs="仿宋_GB2312"/>
            <w:color w:val="auto"/>
            <w:kern w:val="0"/>
            <w:sz w:val="32"/>
            <w:szCs w:val="32"/>
            <w:lang w:val="en-US" w:eastAsia="zh-CN"/>
          </w:rPr>
          <w:t xml:space="preserve">  </w:t>
        </w:r>
      </w:ins>
      <w:ins w:id="75" w:author="LV" w:date="2026-07-27T15:33:54Z">
        <w:r>
          <w:rPr>
            <w:rFonts w:hint="eastAsia" w:ascii="仿宋_GB2312" w:hAnsi="仿宋_GB2312" w:eastAsia="仿宋_GB2312" w:cs="仿宋_GB2312"/>
            <w:color w:val="auto"/>
            <w:kern w:val="0"/>
            <w:sz w:val="32"/>
            <w:szCs w:val="32"/>
            <w:lang w:eastAsia="zh-Hans"/>
          </w:rPr>
          <w:t>本省行政区域内各级</w:t>
        </w:r>
      </w:ins>
      <w:ins w:id="76" w:author="LV" w:date="2026-07-27T15:33:54Z">
        <w:r>
          <w:rPr>
            <w:rFonts w:hint="eastAsia" w:ascii="仿宋_GB2312" w:hAnsi="仿宋_GB2312" w:eastAsia="仿宋_GB2312" w:cs="仿宋_GB2312"/>
            <w:color w:val="auto"/>
            <w:kern w:val="0"/>
            <w:sz w:val="32"/>
            <w:szCs w:val="32"/>
            <w:lang w:eastAsia="zh-CN"/>
          </w:rPr>
          <w:t>能源</w:t>
        </w:r>
      </w:ins>
      <w:ins w:id="77" w:author="LV" w:date="2026-07-27T15:33:54Z">
        <w:r>
          <w:rPr>
            <w:rFonts w:hint="eastAsia" w:ascii="仿宋_GB2312" w:hAnsi="仿宋_GB2312" w:eastAsia="仿宋_GB2312" w:cs="仿宋_GB2312"/>
            <w:color w:val="auto"/>
            <w:kern w:val="0"/>
            <w:sz w:val="32"/>
            <w:szCs w:val="32"/>
            <w:lang w:eastAsia="zh-Hans"/>
          </w:rPr>
          <w:t>主管部门或其委托的组织、承担</w:t>
        </w:r>
      </w:ins>
      <w:ins w:id="78" w:author="LV" w:date="2026-07-27T15:33:54Z">
        <w:r>
          <w:rPr>
            <w:rFonts w:hint="eastAsia" w:ascii="仿宋_GB2312" w:hAnsi="仿宋_GB2312" w:eastAsia="仿宋_GB2312" w:cs="仿宋_GB2312"/>
            <w:color w:val="auto"/>
            <w:kern w:val="0"/>
            <w:sz w:val="32"/>
            <w:szCs w:val="32"/>
            <w:lang w:eastAsia="zh-CN"/>
          </w:rPr>
          <w:t>能源</w:t>
        </w:r>
      </w:ins>
      <w:ins w:id="79" w:author="LV" w:date="2026-07-27T15:33:54Z">
        <w:r>
          <w:rPr>
            <w:rFonts w:hint="eastAsia" w:ascii="仿宋_GB2312" w:hAnsi="仿宋_GB2312" w:eastAsia="仿宋_GB2312" w:cs="仿宋_GB2312"/>
            <w:color w:val="auto"/>
            <w:kern w:val="0"/>
            <w:sz w:val="32"/>
            <w:szCs w:val="32"/>
            <w:lang w:eastAsia="zh-Hans"/>
          </w:rPr>
          <w:t>行政处罚权的综合行政执法机构（以下简称</w:t>
        </w:r>
      </w:ins>
      <w:ins w:id="80" w:author="LV" w:date="2026-07-27T15:33:54Z">
        <w:r>
          <w:rPr>
            <w:rFonts w:hint="eastAsia" w:ascii="仿宋_GB2312" w:hAnsi="仿宋_GB2312" w:eastAsia="仿宋_GB2312" w:cs="仿宋_GB2312"/>
            <w:color w:val="auto"/>
            <w:kern w:val="0"/>
            <w:sz w:val="32"/>
            <w:szCs w:val="32"/>
            <w:lang w:eastAsia="zh-CN"/>
          </w:rPr>
          <w:t>能源执法</w:t>
        </w:r>
      </w:ins>
      <w:ins w:id="81" w:author="LV" w:date="2026-07-27T15:33:54Z">
        <w:r>
          <w:rPr>
            <w:rFonts w:hint="eastAsia" w:ascii="仿宋_GB2312" w:hAnsi="仿宋_GB2312" w:eastAsia="仿宋_GB2312" w:cs="仿宋_GB2312"/>
            <w:color w:val="auto"/>
            <w:kern w:val="0"/>
            <w:sz w:val="32"/>
            <w:szCs w:val="32"/>
            <w:lang w:eastAsia="zh-Hans"/>
          </w:rPr>
          <w:t>机关）实施行政处罚，适用本基准。</w:t>
        </w:r>
      </w:ins>
    </w:p>
    <w:p w14:paraId="7B8B4CE7">
      <w:pPr>
        <w:keepNext w:val="0"/>
        <w:keepLines w:val="0"/>
        <w:pageBreakBefore w:val="0"/>
        <w:widowControl w:val="0"/>
        <w:kinsoku/>
        <w:wordWrap/>
        <w:overflowPunct w:val="0"/>
        <w:topLinePunct w:val="0"/>
        <w:autoSpaceDE/>
        <w:autoSpaceDN/>
        <w:bidi w:val="0"/>
        <w:adjustRightInd w:val="0"/>
        <w:snapToGrid w:val="0"/>
        <w:spacing w:before="0" w:beforeLines="-2147483648" w:after="0" w:afterLines="-2147483648" w:line="560" w:lineRule="exact"/>
        <w:ind w:right="0" w:rightChars="0" w:firstLine="640" w:firstLineChars="200"/>
        <w:outlineLvl w:val="9"/>
        <w:rPr>
          <w:ins w:id="82" w:author="LV" w:date="2026-07-27T15:33:54Z"/>
          <w:rFonts w:hint="eastAsia" w:ascii="仿宋_GB2312" w:hAnsi="仿宋_GB2312" w:eastAsia="仿宋_GB2312" w:cs="仿宋_GB2312"/>
          <w:color w:val="auto"/>
          <w:kern w:val="0"/>
          <w:sz w:val="32"/>
          <w:szCs w:val="32"/>
          <w:lang w:val="en-US" w:eastAsia="zh-Hans" w:bidi="ar-SA"/>
        </w:rPr>
      </w:pPr>
      <w:ins w:id="83" w:author="LV" w:date="2026-07-27T15:33:54Z">
        <w:r>
          <w:rPr>
            <w:rFonts w:hint="eastAsia" w:ascii="黑体" w:hAnsi="黑体" w:eastAsia="黑体" w:cs="黑体"/>
            <w:color w:val="auto"/>
            <w:kern w:val="0"/>
            <w:sz w:val="32"/>
            <w:szCs w:val="32"/>
          </w:rPr>
          <w:t>第三条</w:t>
        </w:r>
      </w:ins>
      <w:ins w:id="84" w:author="LV" w:date="2026-07-27T15:33:54Z">
        <w:r>
          <w:rPr>
            <w:rFonts w:hint="eastAsia" w:ascii="仿宋_GB2312" w:hAnsi="仿宋_GB2312" w:eastAsia="仿宋_GB2312" w:cs="仿宋_GB2312"/>
            <w:color w:val="auto"/>
            <w:kern w:val="0"/>
            <w:sz w:val="32"/>
            <w:szCs w:val="32"/>
          </w:rPr>
          <w:t xml:space="preserve">  </w:t>
        </w:r>
      </w:ins>
      <w:ins w:id="85" w:author="LV" w:date="2026-07-27T15:33:54Z">
        <w:r>
          <w:rPr>
            <w:rFonts w:hint="eastAsia" w:ascii="仿宋_GB2312" w:hAnsi="仿宋_GB2312" w:eastAsia="仿宋_GB2312" w:cs="仿宋_GB2312"/>
            <w:color w:val="auto"/>
            <w:kern w:val="0"/>
            <w:sz w:val="32"/>
            <w:szCs w:val="32"/>
            <w:lang w:val="en-US" w:eastAsia="zh-Hans" w:bidi="ar-SA"/>
          </w:rPr>
          <w:t>本基准所称行政处罚裁量权，是指能源执法机关依法行使行政处罚权时，在法律、法规和规章规定的行政处罚种类和幅度范围内，综合考虑当事人违法行为的事实、性质、情节以及社会危害程度等因素，决定是否给予行政处罚、给予何种行政处罚和给予何种裁量幅度行政处罚的权限。</w:t>
        </w:r>
      </w:ins>
    </w:p>
    <w:p w14:paraId="6CC4CBB7">
      <w:pPr>
        <w:keepNext w:val="0"/>
        <w:keepLines w:val="0"/>
        <w:pageBreakBefore w:val="0"/>
        <w:widowControl w:val="0"/>
        <w:kinsoku/>
        <w:wordWrap/>
        <w:overflowPunct w:val="0"/>
        <w:topLinePunct w:val="0"/>
        <w:autoSpaceDE/>
        <w:autoSpaceDN/>
        <w:bidi w:val="0"/>
        <w:adjustRightInd w:val="0"/>
        <w:snapToGrid w:val="0"/>
        <w:spacing w:before="0" w:beforeLines="-2147483648" w:after="0" w:afterLines="-2147483648" w:line="560" w:lineRule="exact"/>
        <w:ind w:right="0" w:rightChars="0" w:firstLine="640" w:firstLineChars="200"/>
        <w:outlineLvl w:val="9"/>
        <w:rPr>
          <w:ins w:id="86" w:author="LV" w:date="2026-07-27T15:33:54Z"/>
          <w:rFonts w:hint="eastAsia" w:ascii="仿宋_GB2312" w:hAnsi="仿宋_GB2312" w:eastAsia="仿宋_GB2312" w:cs="仿宋_GB2312"/>
          <w:color w:val="auto"/>
          <w:kern w:val="0"/>
          <w:sz w:val="32"/>
          <w:szCs w:val="32"/>
          <w:lang w:eastAsia="zh-Hans"/>
        </w:rPr>
      </w:pPr>
      <w:ins w:id="87" w:author="LV" w:date="2026-07-27T15:33:54Z">
        <w:r>
          <w:rPr>
            <w:rFonts w:hint="eastAsia" w:ascii="黑体" w:hAnsi="黑体" w:eastAsia="黑体" w:cs="黑体"/>
            <w:color w:val="auto"/>
            <w:kern w:val="0"/>
            <w:sz w:val="32"/>
            <w:szCs w:val="32"/>
          </w:rPr>
          <w:t>第四条</w:t>
        </w:r>
      </w:ins>
      <w:ins w:id="88" w:author="LV" w:date="2026-07-27T15:33:54Z">
        <w:r>
          <w:rPr>
            <w:rFonts w:hint="eastAsia" w:ascii="仿宋_GB2312" w:hAnsi="仿宋_GB2312" w:eastAsia="仿宋_GB2312" w:cs="仿宋_GB2312"/>
            <w:color w:val="auto"/>
            <w:kern w:val="0"/>
            <w:sz w:val="32"/>
            <w:szCs w:val="32"/>
          </w:rPr>
          <w:t xml:space="preserve">  </w:t>
        </w:r>
      </w:ins>
      <w:ins w:id="89" w:author="LV" w:date="2026-07-27T15:33:54Z">
        <w:r>
          <w:rPr>
            <w:rFonts w:hint="eastAsia" w:ascii="仿宋_GB2312" w:hAnsi="仿宋_GB2312" w:eastAsia="仿宋_GB2312" w:cs="仿宋_GB2312"/>
            <w:color w:val="auto"/>
            <w:kern w:val="0"/>
            <w:sz w:val="32"/>
            <w:szCs w:val="32"/>
            <w:lang w:eastAsia="zh-Hans"/>
          </w:rPr>
          <w:t>行使行政处罚裁量权，应当遵循以下原则：</w:t>
        </w:r>
      </w:ins>
    </w:p>
    <w:p w14:paraId="17A6FC76">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left="-10" w:leftChars="0" w:right="0" w:rightChars="0" w:firstLine="640" w:firstLineChars="0"/>
        <w:jc w:val="both"/>
        <w:textAlignment w:val="auto"/>
        <w:rPr>
          <w:ins w:id="90" w:author="LV" w:date="2026-07-27T15:33:54Z"/>
          <w:rFonts w:hint="eastAsia" w:ascii="仿宋_GB2312" w:hAnsi="仿宋_GB2312" w:eastAsia="仿宋_GB2312" w:cs="仿宋_GB2312"/>
          <w:color w:val="auto"/>
          <w:kern w:val="0"/>
          <w:sz w:val="32"/>
          <w:szCs w:val="32"/>
          <w:lang w:eastAsia="zh-Hans"/>
        </w:rPr>
      </w:pPr>
      <w:ins w:id="91" w:author="LV" w:date="2026-07-27T15:33:54Z">
        <w:r>
          <w:rPr>
            <w:rFonts w:hint="eastAsia" w:ascii="仿宋_GB2312" w:hAnsi="仿宋_GB2312" w:eastAsia="仿宋_GB2312" w:cs="仿宋_GB2312"/>
            <w:color w:val="auto"/>
            <w:kern w:val="0"/>
            <w:sz w:val="32"/>
            <w:szCs w:val="32"/>
            <w:lang w:val="en-US" w:eastAsia="zh-CN"/>
          </w:rPr>
          <w:t>（一）合法原则。依据法定权限，符合法律、法规、规章等规定的裁量条件、处罚种类和幅度。</w:t>
        </w:r>
      </w:ins>
    </w:p>
    <w:p w14:paraId="67B0B8F7">
      <w:pPr>
        <w:keepNext w:val="0"/>
        <w:keepLines w:val="0"/>
        <w:pageBreakBefore w:val="0"/>
        <w:widowControl w:val="0"/>
        <w:kinsoku/>
        <w:wordWrap/>
        <w:overflowPunct w:val="0"/>
        <w:topLinePunct w:val="0"/>
        <w:autoSpaceDE/>
        <w:autoSpaceDN/>
        <w:bidi w:val="0"/>
        <w:adjustRightInd w:val="0"/>
        <w:snapToGrid w:val="0"/>
        <w:spacing w:before="0" w:beforeLines="-2147483648" w:after="0" w:afterLines="-2147483648" w:line="560" w:lineRule="exact"/>
        <w:ind w:right="0" w:rightChars="0" w:firstLine="640" w:firstLineChars="200"/>
        <w:outlineLvl w:val="9"/>
        <w:rPr>
          <w:ins w:id="92" w:author="LV" w:date="2026-07-27T15:33:54Z"/>
          <w:rFonts w:hint="eastAsia" w:ascii="仿宋_GB2312" w:hAnsi="仿宋_GB2312" w:eastAsia="仿宋_GB2312" w:cs="仿宋_GB2312"/>
          <w:color w:val="auto"/>
          <w:kern w:val="0"/>
          <w:sz w:val="32"/>
          <w:szCs w:val="32"/>
          <w:lang w:eastAsia="zh-Hans"/>
        </w:rPr>
      </w:pPr>
      <w:ins w:id="93" w:author="LV" w:date="2026-07-27T15:33:54Z">
        <w:r>
          <w:rPr>
            <w:rFonts w:hint="eastAsia" w:ascii="仿宋_GB2312" w:hAnsi="仿宋_GB2312" w:eastAsia="仿宋_GB2312" w:cs="仿宋_GB2312"/>
            <w:color w:val="auto"/>
            <w:kern w:val="0"/>
            <w:sz w:val="32"/>
            <w:szCs w:val="32"/>
            <w:lang w:eastAsia="zh-Hans"/>
          </w:rPr>
          <w:t>（</w:t>
        </w:r>
      </w:ins>
      <w:ins w:id="94" w:author="LV" w:date="2026-07-27T15:33:54Z">
        <w:r>
          <w:rPr>
            <w:rFonts w:hint="eastAsia" w:ascii="仿宋_GB2312" w:hAnsi="仿宋_GB2312" w:eastAsia="仿宋_GB2312" w:cs="仿宋_GB2312"/>
            <w:color w:val="auto"/>
            <w:kern w:val="0"/>
            <w:sz w:val="32"/>
            <w:szCs w:val="32"/>
            <w:lang w:val="en-US" w:eastAsia="zh-CN"/>
          </w:rPr>
          <w:t>二</w:t>
        </w:r>
      </w:ins>
      <w:ins w:id="95" w:author="LV" w:date="2026-07-27T15:33:54Z">
        <w:r>
          <w:rPr>
            <w:rFonts w:hint="eastAsia" w:ascii="仿宋_GB2312" w:hAnsi="仿宋_GB2312" w:eastAsia="仿宋_GB2312" w:cs="仿宋_GB2312"/>
            <w:color w:val="auto"/>
            <w:kern w:val="0"/>
            <w:sz w:val="32"/>
            <w:szCs w:val="32"/>
            <w:lang w:eastAsia="zh-Hans"/>
          </w:rPr>
          <w:t>）过罚相当原则。实施行政处罚应当以事实为依据、以法律为准绳，综合考量违法行为的事实、性质、情节以及社会危害程度，作出的行政处罚与违法行为相</w:t>
        </w:r>
      </w:ins>
      <w:ins w:id="96" w:author="LV" w:date="2026-07-27T15:33:54Z">
        <w:r>
          <w:rPr>
            <w:rFonts w:hint="eastAsia" w:ascii="仿宋_GB2312" w:hAnsi="仿宋_GB2312" w:eastAsia="仿宋_GB2312" w:cs="仿宋_GB2312"/>
            <w:color w:val="auto"/>
            <w:kern w:val="0"/>
            <w:sz w:val="32"/>
            <w:szCs w:val="32"/>
            <w:lang w:eastAsia="zh-CN"/>
          </w:rPr>
          <w:t>当</w:t>
        </w:r>
      </w:ins>
      <w:ins w:id="97" w:author="LV" w:date="2026-07-27T15:33:54Z">
        <w:r>
          <w:rPr>
            <w:rFonts w:hint="eastAsia" w:ascii="仿宋_GB2312" w:hAnsi="仿宋_GB2312" w:eastAsia="仿宋_GB2312" w:cs="仿宋_GB2312"/>
            <w:color w:val="auto"/>
            <w:kern w:val="0"/>
            <w:sz w:val="32"/>
            <w:szCs w:val="32"/>
            <w:lang w:eastAsia="zh-Hans"/>
          </w:rPr>
          <w:t>。</w:t>
        </w:r>
      </w:ins>
    </w:p>
    <w:p w14:paraId="64A3E35D">
      <w:pPr>
        <w:keepNext w:val="0"/>
        <w:keepLines w:val="0"/>
        <w:pageBreakBefore w:val="0"/>
        <w:widowControl w:val="0"/>
        <w:kinsoku/>
        <w:wordWrap/>
        <w:overflowPunct w:val="0"/>
        <w:topLinePunct w:val="0"/>
        <w:autoSpaceDE/>
        <w:autoSpaceDN/>
        <w:bidi w:val="0"/>
        <w:adjustRightInd w:val="0"/>
        <w:snapToGrid w:val="0"/>
        <w:spacing w:before="0" w:beforeLines="-2147483648" w:after="0" w:afterLines="-2147483648" w:line="560" w:lineRule="exact"/>
        <w:ind w:right="0" w:rightChars="0" w:firstLine="640" w:firstLineChars="200"/>
        <w:outlineLvl w:val="9"/>
        <w:rPr>
          <w:ins w:id="98" w:author="LV" w:date="2026-07-27T15:33:54Z"/>
          <w:rFonts w:hint="eastAsia" w:ascii="仿宋_GB2312" w:hAnsi="仿宋_GB2312" w:eastAsia="仿宋_GB2312" w:cs="仿宋_GB2312"/>
          <w:color w:val="auto"/>
          <w:kern w:val="0"/>
          <w:sz w:val="32"/>
          <w:szCs w:val="32"/>
          <w:lang w:eastAsia="zh-Hans"/>
        </w:rPr>
      </w:pPr>
      <w:ins w:id="99" w:author="LV" w:date="2026-07-27T15:33:54Z">
        <w:r>
          <w:rPr>
            <w:rFonts w:hint="eastAsia" w:ascii="仿宋_GB2312" w:hAnsi="仿宋_GB2312" w:eastAsia="仿宋_GB2312" w:cs="仿宋_GB2312"/>
            <w:color w:val="auto"/>
            <w:kern w:val="0"/>
            <w:sz w:val="32"/>
            <w:szCs w:val="32"/>
            <w:lang w:eastAsia="zh-Hans"/>
          </w:rPr>
          <w:t>（</w:t>
        </w:r>
      </w:ins>
      <w:ins w:id="100" w:author="LV" w:date="2026-07-27T15:33:54Z">
        <w:r>
          <w:rPr>
            <w:rFonts w:hint="eastAsia" w:ascii="仿宋_GB2312" w:hAnsi="仿宋_GB2312" w:eastAsia="仿宋_GB2312" w:cs="仿宋_GB2312"/>
            <w:color w:val="auto"/>
            <w:kern w:val="0"/>
            <w:sz w:val="32"/>
            <w:szCs w:val="32"/>
            <w:lang w:val="en-US" w:eastAsia="zh-CN"/>
          </w:rPr>
          <w:t>三</w:t>
        </w:r>
      </w:ins>
      <w:ins w:id="101" w:author="LV" w:date="2026-07-27T15:33:54Z">
        <w:r>
          <w:rPr>
            <w:rFonts w:hint="eastAsia" w:ascii="仿宋_GB2312" w:hAnsi="仿宋_GB2312" w:eastAsia="仿宋_GB2312" w:cs="仿宋_GB2312"/>
            <w:color w:val="auto"/>
            <w:kern w:val="0"/>
            <w:sz w:val="32"/>
            <w:szCs w:val="32"/>
            <w:lang w:eastAsia="zh-Hans"/>
          </w:rPr>
          <w:t>）公平公正原则。对于性质相同、情节相近、危害后果基本相当、违法主体同类的违法行为，</w:t>
        </w:r>
      </w:ins>
      <w:ins w:id="102" w:author="LV" w:date="2026-07-27T15:33:54Z">
        <w:r>
          <w:rPr>
            <w:rFonts w:hint="eastAsia" w:ascii="仿宋_GB2312" w:hAnsi="仿宋_GB2312" w:eastAsia="仿宋_GB2312" w:cs="仿宋_GB2312"/>
            <w:color w:val="auto"/>
            <w:kern w:val="0"/>
            <w:sz w:val="32"/>
            <w:szCs w:val="32"/>
            <w:lang w:eastAsia="zh-CN"/>
          </w:rPr>
          <w:t>在</w:t>
        </w:r>
      </w:ins>
      <w:ins w:id="103" w:author="LV" w:date="2026-07-27T15:33:54Z">
        <w:r>
          <w:rPr>
            <w:rFonts w:hint="eastAsia" w:ascii="仿宋_GB2312" w:hAnsi="仿宋_GB2312" w:eastAsia="仿宋_GB2312" w:cs="仿宋_GB2312"/>
            <w:color w:val="auto"/>
            <w:kern w:val="0"/>
            <w:sz w:val="32"/>
            <w:szCs w:val="32"/>
            <w:lang w:eastAsia="zh-Hans"/>
          </w:rPr>
          <w:t>实施行政处罚行使裁量权时，适用的法律依据、处罚种类及处罚幅度应当基本一致。</w:t>
        </w:r>
      </w:ins>
    </w:p>
    <w:p w14:paraId="25438185">
      <w:pPr>
        <w:keepNext w:val="0"/>
        <w:keepLines w:val="0"/>
        <w:pageBreakBefore w:val="0"/>
        <w:widowControl w:val="0"/>
        <w:kinsoku/>
        <w:wordWrap/>
        <w:overflowPunct w:val="0"/>
        <w:topLinePunct w:val="0"/>
        <w:autoSpaceDE/>
        <w:autoSpaceDN/>
        <w:bidi w:val="0"/>
        <w:adjustRightInd w:val="0"/>
        <w:snapToGrid w:val="0"/>
        <w:spacing w:before="0" w:beforeLines="-2147483648" w:after="0" w:afterLines="-2147483648" w:line="560" w:lineRule="exact"/>
        <w:ind w:right="0" w:rightChars="0" w:firstLine="640" w:firstLineChars="200"/>
        <w:outlineLvl w:val="9"/>
        <w:rPr>
          <w:ins w:id="104" w:author="LV" w:date="2026-07-27T15:33:54Z"/>
          <w:rFonts w:hint="eastAsia" w:ascii="仿宋_GB2312" w:hAnsi="仿宋_GB2312" w:eastAsia="仿宋_GB2312" w:cs="仿宋_GB2312"/>
          <w:color w:val="auto"/>
          <w:kern w:val="0"/>
          <w:sz w:val="32"/>
          <w:szCs w:val="32"/>
          <w:lang w:eastAsia="zh-Hans"/>
        </w:rPr>
      </w:pPr>
      <w:ins w:id="105" w:author="LV" w:date="2026-07-27T15:33:54Z">
        <w:r>
          <w:rPr>
            <w:rFonts w:hint="eastAsia" w:ascii="仿宋_GB2312" w:hAnsi="仿宋_GB2312" w:eastAsia="仿宋_GB2312" w:cs="仿宋_GB2312"/>
            <w:color w:val="auto"/>
            <w:kern w:val="0"/>
            <w:sz w:val="32"/>
            <w:szCs w:val="32"/>
            <w:lang w:eastAsia="zh-Hans"/>
          </w:rPr>
          <w:t>（</w:t>
        </w:r>
      </w:ins>
      <w:ins w:id="106" w:author="LV" w:date="2026-07-27T15:33:54Z">
        <w:r>
          <w:rPr>
            <w:rFonts w:hint="eastAsia" w:ascii="仿宋_GB2312" w:hAnsi="仿宋_GB2312" w:eastAsia="仿宋_GB2312" w:cs="仿宋_GB2312"/>
            <w:color w:val="auto"/>
            <w:kern w:val="0"/>
            <w:sz w:val="32"/>
            <w:szCs w:val="32"/>
            <w:lang w:val="en-US" w:eastAsia="zh-CN"/>
          </w:rPr>
          <w:t>四</w:t>
        </w:r>
      </w:ins>
      <w:ins w:id="107" w:author="LV" w:date="2026-07-27T15:33:54Z">
        <w:r>
          <w:rPr>
            <w:rFonts w:hint="eastAsia" w:ascii="仿宋_GB2312" w:hAnsi="仿宋_GB2312" w:eastAsia="仿宋_GB2312" w:cs="仿宋_GB2312"/>
            <w:color w:val="auto"/>
            <w:kern w:val="0"/>
            <w:sz w:val="32"/>
            <w:szCs w:val="32"/>
            <w:lang w:eastAsia="zh-Hans"/>
          </w:rPr>
          <w:t>）</w:t>
        </w:r>
      </w:ins>
      <w:ins w:id="108" w:author="LV" w:date="2026-07-27T15:33:54Z">
        <w:r>
          <w:rPr>
            <w:rFonts w:hint="eastAsia" w:ascii="仿宋_GB2312" w:hAnsi="仿宋_GB2312" w:eastAsia="仿宋_GB2312" w:cs="仿宋_GB2312"/>
            <w:color w:val="auto"/>
            <w:kern w:val="0"/>
            <w:sz w:val="32"/>
            <w:szCs w:val="32"/>
            <w:lang w:eastAsia="zh-CN"/>
          </w:rPr>
          <w:t>处罚和教育相</w:t>
        </w:r>
      </w:ins>
      <w:ins w:id="109" w:author="LV" w:date="2026-07-27T15:33:54Z">
        <w:r>
          <w:rPr>
            <w:rFonts w:hint="eastAsia" w:ascii="仿宋_GB2312" w:hAnsi="仿宋_GB2312" w:eastAsia="仿宋_GB2312" w:cs="仿宋_GB2312"/>
            <w:color w:val="auto"/>
            <w:kern w:val="0"/>
            <w:sz w:val="32"/>
            <w:szCs w:val="32"/>
            <w:lang w:eastAsia="zh-Hans"/>
          </w:rPr>
          <w:t>结合原则。行使行政处罚裁量权，既要依法制裁违法行为，又要教育当事人自觉守法，维护法律尊严</w:t>
        </w:r>
      </w:ins>
      <w:ins w:id="110" w:author="LV" w:date="2026-07-27T15:33:54Z">
        <w:r>
          <w:rPr>
            <w:rFonts w:hint="eastAsia" w:ascii="仿宋_GB2312" w:hAnsi="仿宋_GB2312" w:eastAsia="仿宋_GB2312" w:cs="仿宋_GB2312"/>
            <w:color w:val="auto"/>
            <w:kern w:val="0"/>
            <w:sz w:val="32"/>
            <w:szCs w:val="32"/>
            <w:lang w:eastAsia="zh-CN"/>
          </w:rPr>
          <w:t>。</w:t>
        </w:r>
      </w:ins>
      <w:ins w:id="111" w:author="LV" w:date="2026-07-27T15:33:54Z">
        <w:r>
          <w:rPr>
            <w:rFonts w:hint="eastAsia" w:ascii="仿宋_GB2312" w:hAnsi="仿宋_GB2312" w:eastAsia="仿宋_GB2312" w:cs="仿宋_GB2312"/>
            <w:color w:val="auto"/>
            <w:kern w:val="0"/>
            <w:sz w:val="32"/>
            <w:szCs w:val="32"/>
            <w:lang w:eastAsia="zh-Hans"/>
          </w:rPr>
          <w:t>对情节轻微的违法行为</w:t>
        </w:r>
      </w:ins>
      <w:ins w:id="112" w:author="LV" w:date="2026-07-27T15:33:54Z">
        <w:r>
          <w:rPr>
            <w:rFonts w:hint="eastAsia" w:ascii="仿宋_GB2312" w:hAnsi="仿宋_GB2312" w:eastAsia="仿宋_GB2312" w:cs="仿宋_GB2312"/>
            <w:color w:val="auto"/>
            <w:kern w:val="0"/>
            <w:sz w:val="32"/>
            <w:szCs w:val="32"/>
            <w:lang w:eastAsia="zh-CN"/>
          </w:rPr>
          <w:t>以</w:t>
        </w:r>
      </w:ins>
      <w:ins w:id="113" w:author="LV" w:date="2026-07-27T15:33:54Z">
        <w:r>
          <w:rPr>
            <w:rFonts w:hint="eastAsia" w:ascii="仿宋_GB2312" w:hAnsi="仿宋_GB2312" w:eastAsia="仿宋_GB2312" w:cs="仿宋_GB2312"/>
            <w:color w:val="auto"/>
            <w:kern w:val="0"/>
            <w:sz w:val="32"/>
            <w:szCs w:val="32"/>
            <w:lang w:eastAsia="zh-Hans"/>
          </w:rPr>
          <w:t>教育为主、处罚为辅。</w:t>
        </w:r>
      </w:ins>
    </w:p>
    <w:p w14:paraId="592F463F">
      <w:pPr>
        <w:keepNext w:val="0"/>
        <w:keepLines w:val="0"/>
        <w:pageBreakBefore w:val="0"/>
        <w:widowControl w:val="0"/>
        <w:kinsoku/>
        <w:wordWrap/>
        <w:overflowPunct w:val="0"/>
        <w:topLinePunct w:val="0"/>
        <w:autoSpaceDE/>
        <w:autoSpaceDN/>
        <w:bidi w:val="0"/>
        <w:adjustRightInd w:val="0"/>
        <w:snapToGrid w:val="0"/>
        <w:spacing w:before="0" w:beforeLines="-2147483648" w:after="0" w:afterLines="-2147483648" w:line="560" w:lineRule="exact"/>
        <w:ind w:right="0" w:rightChars="0" w:firstLine="640" w:firstLineChars="200"/>
        <w:outlineLvl w:val="9"/>
        <w:rPr>
          <w:ins w:id="114" w:author="LV" w:date="2026-07-27T15:33:54Z"/>
          <w:rFonts w:hint="eastAsia" w:ascii="仿宋_GB2312" w:hAnsi="仿宋_GB2312" w:eastAsia="仿宋_GB2312" w:cs="仿宋_GB2312"/>
          <w:color w:val="auto"/>
          <w:kern w:val="0"/>
          <w:sz w:val="32"/>
          <w:szCs w:val="32"/>
          <w:lang w:eastAsia="zh-Hans"/>
        </w:rPr>
      </w:pPr>
      <w:ins w:id="115" w:author="LV" w:date="2026-07-27T15:33:54Z">
        <w:r>
          <w:rPr>
            <w:rFonts w:hint="eastAsia" w:ascii="仿宋_GB2312" w:hAnsi="仿宋_GB2312" w:eastAsia="仿宋_GB2312" w:cs="仿宋_GB2312"/>
            <w:color w:val="auto"/>
            <w:kern w:val="0"/>
            <w:sz w:val="32"/>
            <w:szCs w:val="32"/>
            <w:lang w:eastAsia="zh-Hans"/>
          </w:rPr>
          <w:t>（</w:t>
        </w:r>
      </w:ins>
      <w:ins w:id="116" w:author="LV" w:date="2026-07-27T15:33:54Z">
        <w:r>
          <w:rPr>
            <w:rFonts w:hint="eastAsia" w:ascii="仿宋_GB2312" w:hAnsi="仿宋_GB2312" w:eastAsia="仿宋_GB2312" w:cs="仿宋_GB2312"/>
            <w:color w:val="auto"/>
            <w:kern w:val="0"/>
            <w:sz w:val="32"/>
            <w:szCs w:val="32"/>
            <w:lang w:val="en-US" w:eastAsia="zh-CN"/>
          </w:rPr>
          <w:t>五</w:t>
        </w:r>
      </w:ins>
      <w:ins w:id="117" w:author="LV" w:date="2026-07-27T15:33:54Z">
        <w:r>
          <w:rPr>
            <w:rFonts w:hint="eastAsia" w:ascii="仿宋_GB2312" w:hAnsi="仿宋_GB2312" w:eastAsia="仿宋_GB2312" w:cs="仿宋_GB2312"/>
            <w:color w:val="auto"/>
            <w:kern w:val="0"/>
            <w:sz w:val="32"/>
            <w:szCs w:val="32"/>
            <w:lang w:eastAsia="zh-Hans"/>
          </w:rPr>
          <w:t>）程序正当原则。严格遵守行政处罚的</w:t>
        </w:r>
      </w:ins>
      <w:ins w:id="118" w:author="LV" w:date="2026-07-27T15:33:54Z">
        <w:r>
          <w:rPr>
            <w:rFonts w:hint="eastAsia" w:ascii="仿宋_GB2312" w:hAnsi="仿宋_GB2312" w:eastAsia="仿宋_GB2312" w:cs="仿宋_GB2312"/>
            <w:color w:val="auto"/>
            <w:kern w:val="0"/>
            <w:sz w:val="32"/>
            <w:szCs w:val="32"/>
            <w:lang w:eastAsia="zh-CN"/>
          </w:rPr>
          <w:t>法定程序</w:t>
        </w:r>
      </w:ins>
      <w:ins w:id="119" w:author="LV" w:date="2026-07-27T15:33:54Z">
        <w:r>
          <w:rPr>
            <w:rFonts w:hint="eastAsia" w:ascii="仿宋_GB2312" w:hAnsi="仿宋_GB2312" w:eastAsia="仿宋_GB2312" w:cs="仿宋_GB2312"/>
            <w:color w:val="auto"/>
            <w:kern w:val="0"/>
            <w:sz w:val="32"/>
            <w:szCs w:val="32"/>
            <w:lang w:eastAsia="zh-Hans"/>
          </w:rPr>
          <w:t>，充分听取当事人的意见，依法保障当事人的知情权、参与权和救济权。</w:t>
        </w:r>
      </w:ins>
    </w:p>
    <w:p w14:paraId="528D30B0">
      <w:pPr>
        <w:keepNext w:val="0"/>
        <w:keepLines w:val="0"/>
        <w:pageBreakBefore w:val="0"/>
        <w:widowControl w:val="0"/>
        <w:kinsoku/>
        <w:wordWrap/>
        <w:overflowPunct w:val="0"/>
        <w:topLinePunct w:val="0"/>
        <w:autoSpaceDE/>
        <w:autoSpaceDN/>
        <w:bidi w:val="0"/>
        <w:adjustRightInd w:val="0"/>
        <w:snapToGrid w:val="0"/>
        <w:spacing w:before="0" w:beforeLines="-2147483648" w:after="0" w:afterLines="-2147483648" w:line="560" w:lineRule="exact"/>
        <w:ind w:right="0" w:rightChars="0" w:firstLine="640" w:firstLineChars="200"/>
        <w:outlineLvl w:val="9"/>
        <w:rPr>
          <w:ins w:id="120" w:author="LV" w:date="2026-07-27T15:33:54Z"/>
          <w:rFonts w:hint="eastAsia" w:ascii="仿宋_GB2312" w:hAnsi="仿宋_GB2312" w:eastAsia="仿宋_GB2312" w:cs="仿宋_GB2312"/>
          <w:color w:val="auto"/>
          <w:kern w:val="0"/>
          <w:sz w:val="32"/>
          <w:szCs w:val="32"/>
          <w:lang w:eastAsia="zh-Hans"/>
        </w:rPr>
      </w:pPr>
      <w:ins w:id="121" w:author="LV" w:date="2026-07-27T15:33:54Z">
        <w:r>
          <w:rPr>
            <w:rFonts w:hint="eastAsia" w:ascii="仿宋_GB2312" w:hAnsi="仿宋_GB2312" w:eastAsia="仿宋_GB2312" w:cs="仿宋_GB2312"/>
            <w:color w:val="auto"/>
            <w:kern w:val="0"/>
            <w:sz w:val="32"/>
            <w:szCs w:val="32"/>
            <w:lang w:eastAsia="zh-Hans"/>
          </w:rPr>
          <w:t>（</w:t>
        </w:r>
      </w:ins>
      <w:ins w:id="122" w:author="LV" w:date="2026-07-27T15:33:54Z">
        <w:r>
          <w:rPr>
            <w:rFonts w:hint="eastAsia" w:ascii="仿宋_GB2312" w:hAnsi="仿宋_GB2312" w:eastAsia="仿宋_GB2312" w:cs="仿宋_GB2312"/>
            <w:color w:val="auto"/>
            <w:kern w:val="0"/>
            <w:sz w:val="32"/>
            <w:szCs w:val="32"/>
            <w:lang w:val="en-US" w:eastAsia="zh-CN"/>
          </w:rPr>
          <w:t>六</w:t>
        </w:r>
      </w:ins>
      <w:ins w:id="123" w:author="LV" w:date="2026-07-27T15:33:54Z">
        <w:r>
          <w:rPr>
            <w:rFonts w:hint="eastAsia" w:ascii="仿宋_GB2312" w:hAnsi="仿宋_GB2312" w:eastAsia="仿宋_GB2312" w:cs="仿宋_GB2312"/>
            <w:color w:val="auto"/>
            <w:kern w:val="0"/>
            <w:sz w:val="32"/>
            <w:szCs w:val="32"/>
            <w:lang w:eastAsia="zh-Hans"/>
          </w:rPr>
          <w:t>）综合裁量原则。</w:t>
        </w:r>
      </w:ins>
      <w:ins w:id="124" w:author="LV" w:date="2026-07-27T15:33:54Z">
        <w:r>
          <w:rPr>
            <w:rFonts w:hint="eastAsia" w:ascii="仿宋_GB2312" w:hAnsi="仿宋_GB2312" w:eastAsia="仿宋_GB2312" w:cs="仿宋_GB2312"/>
            <w:color w:val="auto"/>
            <w:kern w:val="0"/>
            <w:sz w:val="32"/>
            <w:szCs w:val="32"/>
            <w:lang w:eastAsia="zh-CN"/>
          </w:rPr>
          <w:t>全面</w:t>
        </w:r>
      </w:ins>
      <w:ins w:id="125" w:author="LV" w:date="2026-07-27T15:33:54Z">
        <w:r>
          <w:rPr>
            <w:rFonts w:hint="eastAsia" w:ascii="仿宋_GB2312" w:hAnsi="仿宋_GB2312" w:eastAsia="仿宋_GB2312" w:cs="仿宋_GB2312"/>
            <w:color w:val="auto"/>
            <w:kern w:val="0"/>
            <w:sz w:val="32"/>
            <w:szCs w:val="32"/>
            <w:lang w:eastAsia="zh-Hans"/>
          </w:rPr>
          <w:t>分析违法行为</w:t>
        </w:r>
      </w:ins>
      <w:ins w:id="126" w:author="LV" w:date="2026-07-27T15:33:54Z">
        <w:r>
          <w:rPr>
            <w:rFonts w:hint="eastAsia" w:ascii="仿宋_GB2312" w:hAnsi="仿宋_GB2312" w:eastAsia="仿宋_GB2312" w:cs="仿宋_GB2312"/>
            <w:color w:val="auto"/>
            <w:kern w:val="0"/>
            <w:sz w:val="32"/>
            <w:szCs w:val="32"/>
            <w:lang w:eastAsia="zh-CN"/>
          </w:rPr>
          <w:t>的</w:t>
        </w:r>
      </w:ins>
      <w:ins w:id="127" w:author="LV" w:date="2026-07-27T15:33:54Z">
        <w:r>
          <w:rPr>
            <w:rFonts w:hint="eastAsia" w:ascii="仿宋_GB2312" w:hAnsi="仿宋_GB2312" w:eastAsia="仿宋_GB2312" w:cs="仿宋_GB2312"/>
            <w:color w:val="auto"/>
            <w:kern w:val="0"/>
            <w:sz w:val="32"/>
            <w:szCs w:val="32"/>
            <w:lang w:eastAsia="zh-Hans"/>
          </w:rPr>
          <w:t>主体、客体、主观</w:t>
        </w:r>
      </w:ins>
      <w:ins w:id="128" w:author="LV" w:date="2026-07-27T15:33:54Z">
        <w:r>
          <w:rPr>
            <w:rFonts w:hint="eastAsia" w:ascii="仿宋_GB2312" w:hAnsi="仿宋_GB2312" w:eastAsia="仿宋_GB2312" w:cs="仿宋_GB2312"/>
            <w:color w:val="auto"/>
            <w:kern w:val="0"/>
            <w:sz w:val="32"/>
            <w:szCs w:val="32"/>
            <w:lang w:eastAsia="zh-CN"/>
          </w:rPr>
          <w:t>方面、</w:t>
        </w:r>
      </w:ins>
      <w:ins w:id="129" w:author="LV" w:date="2026-07-27T15:33:54Z">
        <w:r>
          <w:rPr>
            <w:rFonts w:hint="eastAsia" w:ascii="仿宋_GB2312" w:hAnsi="仿宋_GB2312" w:eastAsia="仿宋_GB2312" w:cs="仿宋_GB2312"/>
            <w:color w:val="auto"/>
            <w:kern w:val="0"/>
            <w:sz w:val="32"/>
            <w:szCs w:val="32"/>
            <w:lang w:eastAsia="zh-Hans"/>
          </w:rPr>
          <w:t>客观</w:t>
        </w:r>
      </w:ins>
      <w:ins w:id="130" w:author="LV" w:date="2026-07-27T15:33:54Z">
        <w:r>
          <w:rPr>
            <w:rFonts w:hint="eastAsia" w:ascii="仿宋_GB2312" w:hAnsi="仿宋_GB2312" w:eastAsia="仿宋_GB2312" w:cs="仿宋_GB2312"/>
            <w:color w:val="auto"/>
            <w:kern w:val="0"/>
            <w:sz w:val="32"/>
            <w:szCs w:val="32"/>
            <w:lang w:eastAsia="zh-CN"/>
          </w:rPr>
          <w:t>方面</w:t>
        </w:r>
      </w:ins>
      <w:ins w:id="131" w:author="LV" w:date="2026-07-27T15:33:54Z">
        <w:r>
          <w:rPr>
            <w:rFonts w:hint="eastAsia" w:ascii="仿宋_GB2312" w:hAnsi="仿宋_GB2312" w:eastAsia="仿宋_GB2312" w:cs="仿宋_GB2312"/>
            <w:color w:val="auto"/>
            <w:kern w:val="0"/>
            <w:sz w:val="32"/>
            <w:szCs w:val="32"/>
            <w:lang w:eastAsia="zh-Hans"/>
          </w:rPr>
          <w:t>及社会危害后果等</w:t>
        </w:r>
      </w:ins>
      <w:ins w:id="132" w:author="LV" w:date="2026-07-27T15:33:54Z">
        <w:r>
          <w:rPr>
            <w:rFonts w:hint="eastAsia" w:ascii="仿宋_GB2312" w:hAnsi="仿宋_GB2312" w:eastAsia="仿宋_GB2312" w:cs="仿宋_GB2312"/>
            <w:color w:val="auto"/>
            <w:kern w:val="0"/>
            <w:sz w:val="32"/>
            <w:szCs w:val="32"/>
            <w:lang w:eastAsia="zh-CN"/>
          </w:rPr>
          <w:t>因</w:t>
        </w:r>
      </w:ins>
      <w:ins w:id="133" w:author="LV" w:date="2026-07-27T15:33:54Z">
        <w:r>
          <w:rPr>
            <w:rFonts w:hint="eastAsia" w:ascii="仿宋_GB2312" w:hAnsi="仿宋_GB2312" w:eastAsia="仿宋_GB2312" w:cs="仿宋_GB2312"/>
            <w:color w:val="auto"/>
            <w:kern w:val="0"/>
            <w:sz w:val="32"/>
            <w:szCs w:val="32"/>
            <w:lang w:eastAsia="zh-Hans"/>
          </w:rPr>
          <w:t>素，对</w:t>
        </w:r>
      </w:ins>
      <w:ins w:id="134" w:author="LV" w:date="2026-07-27T15:33:54Z">
        <w:r>
          <w:rPr>
            <w:rFonts w:hint="eastAsia" w:ascii="仿宋_GB2312" w:hAnsi="仿宋_GB2312" w:eastAsia="仿宋_GB2312" w:cs="仿宋_GB2312"/>
            <w:color w:val="auto"/>
            <w:kern w:val="0"/>
            <w:sz w:val="32"/>
            <w:szCs w:val="32"/>
            <w:lang w:eastAsia="zh-CN"/>
          </w:rPr>
          <w:t>违法行为</w:t>
        </w:r>
      </w:ins>
      <w:ins w:id="135" w:author="LV" w:date="2026-07-27T15:33:54Z">
        <w:r>
          <w:rPr>
            <w:rFonts w:hint="eastAsia" w:ascii="仿宋_GB2312" w:hAnsi="仿宋_GB2312" w:eastAsia="仿宋_GB2312" w:cs="仿宋_GB2312"/>
            <w:color w:val="auto"/>
            <w:kern w:val="0"/>
            <w:sz w:val="32"/>
            <w:szCs w:val="32"/>
            <w:lang w:eastAsia="zh-Hans"/>
          </w:rPr>
          <w:t>是否处罚</w:t>
        </w:r>
      </w:ins>
      <w:ins w:id="136" w:author="LV" w:date="2026-07-27T15:33:54Z">
        <w:r>
          <w:rPr>
            <w:rFonts w:hint="eastAsia" w:ascii="仿宋_GB2312" w:hAnsi="仿宋_GB2312" w:eastAsia="仿宋_GB2312" w:cs="仿宋_GB2312"/>
            <w:color w:val="auto"/>
            <w:kern w:val="0"/>
            <w:sz w:val="32"/>
            <w:szCs w:val="32"/>
            <w:lang w:eastAsia="zh-CN"/>
          </w:rPr>
          <w:t>及</w:t>
        </w:r>
      </w:ins>
      <w:ins w:id="137" w:author="LV" w:date="2026-07-27T15:33:54Z">
        <w:r>
          <w:rPr>
            <w:rFonts w:hint="eastAsia" w:ascii="仿宋_GB2312" w:hAnsi="仿宋_GB2312" w:eastAsia="仿宋_GB2312" w:cs="仿宋_GB2312"/>
            <w:color w:val="auto"/>
            <w:kern w:val="0"/>
            <w:sz w:val="32"/>
            <w:szCs w:val="32"/>
            <w:lang w:eastAsia="zh-Hans"/>
          </w:rPr>
          <w:t>处罚种类</w:t>
        </w:r>
      </w:ins>
      <w:ins w:id="138" w:author="LV" w:date="2026-07-27T15:33:54Z">
        <w:r>
          <w:rPr>
            <w:rFonts w:hint="eastAsia" w:ascii="仿宋_GB2312" w:hAnsi="仿宋_GB2312" w:eastAsia="仿宋_GB2312" w:cs="仿宋_GB2312"/>
            <w:color w:val="auto"/>
            <w:kern w:val="0"/>
            <w:sz w:val="32"/>
            <w:szCs w:val="32"/>
            <w:lang w:eastAsia="zh-CN"/>
          </w:rPr>
          <w:t>、</w:t>
        </w:r>
      </w:ins>
      <w:ins w:id="139" w:author="LV" w:date="2026-07-27T15:33:54Z">
        <w:r>
          <w:rPr>
            <w:rFonts w:hint="eastAsia" w:ascii="仿宋_GB2312" w:hAnsi="仿宋_GB2312" w:eastAsia="仿宋_GB2312" w:cs="仿宋_GB2312"/>
            <w:color w:val="auto"/>
            <w:kern w:val="0"/>
            <w:sz w:val="32"/>
            <w:szCs w:val="32"/>
            <w:lang w:eastAsia="zh-Hans"/>
          </w:rPr>
          <w:t>幅度</w:t>
        </w:r>
      </w:ins>
      <w:ins w:id="140" w:author="LV" w:date="2026-07-27T15:33:54Z">
        <w:r>
          <w:rPr>
            <w:rFonts w:hint="eastAsia" w:ascii="仿宋_GB2312" w:hAnsi="仿宋_GB2312" w:eastAsia="仿宋_GB2312" w:cs="仿宋_GB2312"/>
            <w:color w:val="auto"/>
            <w:kern w:val="0"/>
            <w:sz w:val="32"/>
            <w:szCs w:val="32"/>
            <w:lang w:eastAsia="zh-CN"/>
          </w:rPr>
          <w:t>进行综合</w:t>
        </w:r>
      </w:ins>
      <w:ins w:id="141" w:author="LV" w:date="2026-07-27T15:33:54Z">
        <w:r>
          <w:rPr>
            <w:rFonts w:hint="eastAsia" w:ascii="仿宋_GB2312" w:hAnsi="仿宋_GB2312" w:eastAsia="仿宋_GB2312" w:cs="仿宋_GB2312"/>
            <w:color w:val="auto"/>
            <w:kern w:val="0"/>
            <w:sz w:val="32"/>
            <w:szCs w:val="32"/>
            <w:lang w:eastAsia="zh-Hans"/>
          </w:rPr>
          <w:t>判断，</w:t>
        </w:r>
      </w:ins>
      <w:ins w:id="142" w:author="LV" w:date="2026-07-27T15:33:54Z">
        <w:r>
          <w:rPr>
            <w:rFonts w:hint="eastAsia" w:ascii="仿宋_GB2312" w:hAnsi="仿宋_GB2312" w:eastAsia="仿宋_GB2312" w:cs="仿宋_GB2312"/>
            <w:color w:val="auto"/>
            <w:kern w:val="0"/>
            <w:sz w:val="32"/>
            <w:szCs w:val="32"/>
            <w:lang w:eastAsia="zh-CN"/>
          </w:rPr>
          <w:t>并且</w:t>
        </w:r>
      </w:ins>
      <w:ins w:id="143" w:author="LV" w:date="2026-07-27T15:33:54Z">
        <w:r>
          <w:rPr>
            <w:rFonts w:hint="eastAsia" w:ascii="仿宋_GB2312" w:hAnsi="仿宋_GB2312" w:eastAsia="仿宋_GB2312" w:cs="仿宋_GB2312"/>
            <w:color w:val="auto"/>
            <w:kern w:val="0"/>
            <w:sz w:val="32"/>
            <w:szCs w:val="32"/>
            <w:lang w:eastAsia="zh-Hans"/>
          </w:rPr>
          <w:t>作出</w:t>
        </w:r>
      </w:ins>
      <w:ins w:id="144" w:author="LV" w:date="2026-07-27T15:33:54Z">
        <w:r>
          <w:rPr>
            <w:rFonts w:hint="eastAsia" w:ascii="仿宋_GB2312" w:hAnsi="仿宋_GB2312" w:eastAsia="仿宋_GB2312" w:cs="仿宋_GB2312"/>
            <w:color w:val="auto"/>
            <w:kern w:val="0"/>
            <w:sz w:val="32"/>
            <w:szCs w:val="32"/>
            <w:lang w:eastAsia="zh-CN"/>
          </w:rPr>
          <w:t>相应的</w:t>
        </w:r>
      </w:ins>
      <w:ins w:id="145" w:author="LV" w:date="2026-07-27T15:33:54Z">
        <w:r>
          <w:rPr>
            <w:rFonts w:hint="eastAsia" w:ascii="仿宋_GB2312" w:hAnsi="仿宋_GB2312" w:eastAsia="仿宋_GB2312" w:cs="仿宋_GB2312"/>
            <w:color w:val="auto"/>
            <w:kern w:val="0"/>
            <w:sz w:val="32"/>
            <w:szCs w:val="32"/>
            <w:lang w:eastAsia="zh-Hans"/>
          </w:rPr>
          <w:t>处</w:t>
        </w:r>
      </w:ins>
      <w:ins w:id="146" w:author="LV" w:date="2026-07-27T15:33:54Z">
        <w:r>
          <w:rPr>
            <w:rFonts w:hint="eastAsia" w:ascii="仿宋_GB2312" w:hAnsi="仿宋_GB2312" w:eastAsia="仿宋_GB2312" w:cs="仿宋_GB2312"/>
            <w:color w:val="auto"/>
            <w:kern w:val="0"/>
            <w:sz w:val="32"/>
            <w:szCs w:val="32"/>
            <w:lang w:eastAsia="zh-CN"/>
          </w:rPr>
          <w:t>罚</w:t>
        </w:r>
      </w:ins>
      <w:ins w:id="147" w:author="LV" w:date="2026-07-27T15:33:54Z">
        <w:r>
          <w:rPr>
            <w:rFonts w:hint="eastAsia" w:ascii="仿宋_GB2312" w:hAnsi="仿宋_GB2312" w:eastAsia="仿宋_GB2312" w:cs="仿宋_GB2312"/>
            <w:color w:val="auto"/>
            <w:kern w:val="0"/>
            <w:sz w:val="32"/>
            <w:szCs w:val="32"/>
            <w:lang w:eastAsia="zh-Hans"/>
          </w:rPr>
          <w:t>决定。</w:t>
        </w:r>
      </w:ins>
    </w:p>
    <w:p w14:paraId="779FCD3B">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ins w:id="148" w:author="LV" w:date="2026-07-27T15:33:54Z"/>
          <w:rFonts w:ascii="仿宋_GB2312" w:hAnsi="仿宋_GB2312" w:eastAsia="仿宋_GB2312" w:cs="仿宋_GB2312"/>
          <w:color w:val="auto"/>
          <w:kern w:val="0"/>
          <w:sz w:val="32"/>
          <w:szCs w:val="32"/>
        </w:rPr>
      </w:pPr>
      <w:ins w:id="149" w:author="LV" w:date="2026-07-27T15:33:54Z">
        <w:r>
          <w:rPr>
            <w:rFonts w:hint="eastAsia" w:ascii="黑体" w:hAnsi="黑体" w:eastAsia="黑体" w:cs="黑体"/>
            <w:color w:val="auto"/>
            <w:kern w:val="0"/>
            <w:sz w:val="32"/>
            <w:szCs w:val="32"/>
          </w:rPr>
          <w:t>第五条</w:t>
        </w:r>
      </w:ins>
      <w:ins w:id="150" w:author="LV" w:date="2026-07-27T15:33:54Z">
        <w:r>
          <w:rPr>
            <w:rFonts w:hint="eastAsia" w:ascii="黑体" w:hAnsi="黑体" w:eastAsia="黑体" w:cs="黑体"/>
            <w:color w:val="auto"/>
            <w:kern w:val="0"/>
            <w:sz w:val="32"/>
            <w:szCs w:val="32"/>
            <w:lang w:val="en-US" w:eastAsia="zh-CN"/>
          </w:rPr>
          <w:t xml:space="preserve">  </w:t>
        </w:r>
      </w:ins>
      <w:ins w:id="151" w:author="LV" w:date="2026-07-27T15:33:54Z">
        <w:r>
          <w:rPr>
            <w:rFonts w:hint="eastAsia" w:ascii="仿宋_GB2312" w:hAnsi="仿宋_GB2312" w:eastAsia="仿宋_GB2312" w:cs="仿宋_GB2312"/>
            <w:color w:val="auto"/>
            <w:kern w:val="0"/>
            <w:sz w:val="32"/>
            <w:szCs w:val="32"/>
          </w:rPr>
          <w:t>行使行政处罚裁量权，应当综合考虑以下</w:t>
        </w:r>
      </w:ins>
      <w:ins w:id="152" w:author="LV" w:date="2026-07-27T15:33:54Z">
        <w:r>
          <w:rPr>
            <w:rFonts w:hint="eastAsia" w:ascii="仿宋_GB2312" w:hAnsi="仿宋_GB2312" w:eastAsia="仿宋_GB2312" w:cs="仿宋_GB2312"/>
            <w:color w:val="auto"/>
            <w:kern w:val="0"/>
            <w:sz w:val="32"/>
            <w:szCs w:val="32"/>
            <w:lang w:eastAsia="zh-Hans"/>
          </w:rPr>
          <w:t>因素</w:t>
        </w:r>
      </w:ins>
      <w:ins w:id="153" w:author="LV" w:date="2026-07-27T15:33:54Z">
        <w:r>
          <w:rPr>
            <w:rFonts w:hint="eastAsia" w:ascii="仿宋_GB2312" w:hAnsi="仿宋_GB2312" w:eastAsia="仿宋_GB2312" w:cs="仿宋_GB2312"/>
            <w:color w:val="auto"/>
            <w:kern w:val="0"/>
            <w:sz w:val="32"/>
            <w:szCs w:val="32"/>
          </w:rPr>
          <w:t>：</w:t>
        </w:r>
      </w:ins>
    </w:p>
    <w:p w14:paraId="687EC600">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ins w:id="154" w:author="LV" w:date="2026-07-27T15:33:54Z"/>
          <w:rFonts w:hint="eastAsia" w:ascii="仿宋_GB2312" w:hAnsi="仿宋_GB2312" w:eastAsia="仿宋_GB2312" w:cs="仿宋_GB2312"/>
          <w:color w:val="auto"/>
          <w:kern w:val="0"/>
          <w:sz w:val="32"/>
          <w:szCs w:val="32"/>
        </w:rPr>
      </w:pPr>
      <w:ins w:id="155" w:author="LV" w:date="2026-07-27T15:33:54Z">
        <w:r>
          <w:rPr>
            <w:rFonts w:hint="eastAsia" w:ascii="仿宋_GB2312" w:hAnsi="仿宋_GB2312" w:eastAsia="仿宋_GB2312" w:cs="仿宋_GB2312"/>
            <w:color w:val="auto"/>
            <w:kern w:val="0"/>
            <w:sz w:val="32"/>
            <w:szCs w:val="32"/>
          </w:rPr>
          <w:t>（一）违法行为人</w:t>
        </w:r>
      </w:ins>
      <w:ins w:id="156" w:author="LV" w:date="2026-07-27T15:33:54Z">
        <w:r>
          <w:rPr>
            <w:rFonts w:hint="eastAsia" w:ascii="仿宋_GB2312" w:hAnsi="仿宋_GB2312" w:eastAsia="仿宋_GB2312" w:cs="仿宋_GB2312"/>
            <w:color w:val="auto"/>
            <w:kern w:val="0"/>
            <w:sz w:val="32"/>
            <w:szCs w:val="32"/>
            <w:lang w:val="en-US" w:eastAsia="zh-CN"/>
          </w:rPr>
          <w:t>的</w:t>
        </w:r>
      </w:ins>
      <w:ins w:id="157" w:author="LV" w:date="2026-07-27T15:33:54Z">
        <w:r>
          <w:rPr>
            <w:rFonts w:hint="eastAsia" w:ascii="仿宋_GB2312" w:hAnsi="仿宋_GB2312" w:eastAsia="仿宋_GB2312" w:cs="仿宋_GB2312"/>
            <w:color w:val="auto"/>
            <w:kern w:val="0"/>
            <w:sz w:val="32"/>
            <w:szCs w:val="32"/>
          </w:rPr>
          <w:t>行为能力和责任能力</w:t>
        </w:r>
      </w:ins>
      <w:ins w:id="158" w:author="LV" w:date="2026-07-27T15:33:54Z">
        <w:r>
          <w:rPr>
            <w:rFonts w:hint="eastAsia" w:ascii="仿宋_GB2312" w:hAnsi="仿宋_GB2312" w:eastAsia="仿宋_GB2312" w:cs="仿宋_GB2312"/>
            <w:color w:val="auto"/>
            <w:kern w:val="0"/>
            <w:sz w:val="32"/>
            <w:szCs w:val="32"/>
            <w:lang w:val="en-US" w:eastAsia="zh-CN"/>
          </w:rPr>
          <w:t>；</w:t>
        </w:r>
      </w:ins>
    </w:p>
    <w:p w14:paraId="745AF9D4">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ins w:id="159" w:author="LV" w:date="2026-07-27T15:33:54Z"/>
          <w:rFonts w:hint="eastAsia" w:ascii="仿宋_GB2312" w:hAnsi="仿宋_GB2312" w:eastAsia="仿宋_GB2312" w:cs="仿宋_GB2312"/>
          <w:color w:val="auto"/>
          <w:kern w:val="0"/>
          <w:sz w:val="32"/>
          <w:szCs w:val="32"/>
        </w:rPr>
      </w:pPr>
      <w:ins w:id="160" w:author="LV" w:date="2026-07-27T15:33:54Z">
        <w:r>
          <w:rPr>
            <w:rFonts w:hint="eastAsia" w:ascii="仿宋_GB2312" w:hAnsi="仿宋_GB2312" w:eastAsia="仿宋_GB2312" w:cs="仿宋_GB2312"/>
            <w:color w:val="auto"/>
            <w:kern w:val="0"/>
            <w:sz w:val="32"/>
            <w:szCs w:val="32"/>
          </w:rPr>
          <w:t>（二）违法行为的具体方法或</w:t>
        </w:r>
      </w:ins>
      <w:ins w:id="161" w:author="LV" w:date="2026-07-27T15:33:54Z">
        <w:r>
          <w:rPr>
            <w:rFonts w:hint="eastAsia" w:ascii="仿宋_GB2312" w:hAnsi="仿宋_GB2312" w:eastAsia="仿宋_GB2312" w:cs="仿宋_GB2312"/>
            <w:color w:val="auto"/>
            <w:kern w:val="0"/>
            <w:sz w:val="32"/>
            <w:szCs w:val="32"/>
            <w:lang w:val="en-US" w:eastAsia="zh-CN"/>
          </w:rPr>
          <w:t>者</w:t>
        </w:r>
      </w:ins>
      <w:ins w:id="162" w:author="LV" w:date="2026-07-27T15:33:54Z">
        <w:r>
          <w:rPr>
            <w:rFonts w:hint="eastAsia" w:ascii="仿宋_GB2312" w:hAnsi="仿宋_GB2312" w:eastAsia="仿宋_GB2312" w:cs="仿宋_GB2312"/>
            <w:color w:val="auto"/>
            <w:kern w:val="0"/>
            <w:sz w:val="32"/>
            <w:szCs w:val="32"/>
          </w:rPr>
          <w:t>手段；</w:t>
        </w:r>
      </w:ins>
    </w:p>
    <w:p w14:paraId="74F02616">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ins w:id="163" w:author="LV" w:date="2026-07-27T15:33:54Z"/>
          <w:rFonts w:hint="eastAsia" w:ascii="仿宋_GB2312" w:hAnsi="仿宋_GB2312" w:eastAsia="仿宋_GB2312" w:cs="仿宋_GB2312"/>
          <w:color w:val="auto"/>
          <w:kern w:val="0"/>
          <w:sz w:val="32"/>
          <w:szCs w:val="32"/>
        </w:rPr>
      </w:pPr>
      <w:ins w:id="164" w:author="LV" w:date="2026-07-27T15:33:54Z">
        <w:r>
          <w:rPr>
            <w:rFonts w:hint="eastAsia" w:ascii="仿宋_GB2312" w:hAnsi="仿宋_GB2312" w:eastAsia="仿宋_GB2312" w:cs="仿宋_GB2312"/>
            <w:color w:val="auto"/>
            <w:kern w:val="0"/>
            <w:sz w:val="32"/>
            <w:szCs w:val="32"/>
          </w:rPr>
          <w:t>（三）违法行为危害的具体对象；</w:t>
        </w:r>
      </w:ins>
    </w:p>
    <w:p w14:paraId="00A0F6F4">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ins w:id="165" w:author="LV" w:date="2026-07-27T15:33:54Z"/>
          <w:rFonts w:hint="eastAsia" w:ascii="仿宋_GB2312" w:hAnsi="仿宋_GB2312" w:eastAsia="仿宋_GB2312" w:cs="仿宋_GB2312"/>
          <w:color w:val="auto"/>
          <w:kern w:val="0"/>
          <w:sz w:val="32"/>
          <w:szCs w:val="32"/>
        </w:rPr>
      </w:pPr>
      <w:ins w:id="166" w:author="LV" w:date="2026-07-27T15:33:54Z">
        <w:r>
          <w:rPr>
            <w:rFonts w:hint="eastAsia" w:ascii="仿宋_GB2312" w:hAnsi="仿宋_GB2312" w:eastAsia="仿宋_GB2312" w:cs="仿宋_GB2312"/>
            <w:color w:val="auto"/>
            <w:kern w:val="0"/>
            <w:sz w:val="32"/>
            <w:szCs w:val="32"/>
          </w:rPr>
          <w:t>（四）违法行为的持续时间；</w:t>
        </w:r>
      </w:ins>
    </w:p>
    <w:p w14:paraId="35B27EC3">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ins w:id="167" w:author="LV" w:date="2026-07-27T15:33:54Z"/>
          <w:rFonts w:hint="eastAsia" w:ascii="仿宋_GB2312" w:hAnsi="仿宋_GB2312" w:eastAsia="仿宋_GB2312" w:cs="仿宋_GB2312"/>
          <w:color w:val="auto"/>
          <w:kern w:val="0"/>
          <w:sz w:val="32"/>
          <w:szCs w:val="32"/>
        </w:rPr>
      </w:pPr>
      <w:ins w:id="168" w:author="LV" w:date="2026-07-27T15:33:54Z">
        <w:r>
          <w:rPr>
            <w:rFonts w:hint="eastAsia" w:ascii="仿宋_GB2312" w:hAnsi="仿宋_GB2312" w:eastAsia="仿宋_GB2312" w:cs="仿宋_GB2312"/>
            <w:color w:val="auto"/>
            <w:kern w:val="0"/>
            <w:sz w:val="32"/>
            <w:szCs w:val="32"/>
          </w:rPr>
          <w:t>（五）违法行为造成的危害后果以及社会影响程度；</w:t>
        </w:r>
      </w:ins>
    </w:p>
    <w:p w14:paraId="6A6B49B5">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ins w:id="169" w:author="LV" w:date="2026-07-27T15:33:54Z"/>
          <w:rFonts w:hint="eastAsia" w:ascii="仿宋_GB2312" w:hAnsi="仿宋_GB2312" w:eastAsia="仿宋_GB2312" w:cs="仿宋_GB2312"/>
          <w:color w:val="auto"/>
          <w:kern w:val="0"/>
          <w:sz w:val="32"/>
          <w:szCs w:val="32"/>
        </w:rPr>
      </w:pPr>
      <w:ins w:id="170" w:author="LV" w:date="2026-07-27T15:33:54Z">
        <w:r>
          <w:rPr>
            <w:rFonts w:hint="eastAsia" w:ascii="仿宋_GB2312" w:hAnsi="仿宋_GB2312" w:eastAsia="仿宋_GB2312" w:cs="仿宋_GB2312"/>
            <w:color w:val="auto"/>
            <w:kern w:val="0"/>
            <w:sz w:val="32"/>
            <w:szCs w:val="32"/>
          </w:rPr>
          <w:t>（六）改正违法行为的态度和所采取的改正措施、效果；</w:t>
        </w:r>
      </w:ins>
    </w:p>
    <w:p w14:paraId="607B6E15">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ins w:id="171" w:author="LV" w:date="2026-07-27T15:33:54Z"/>
          <w:rFonts w:hint="eastAsia" w:ascii="仿宋_GB2312" w:hAnsi="仿宋_GB2312" w:eastAsia="仿宋_GB2312" w:cs="仿宋_GB2312"/>
          <w:color w:val="auto"/>
          <w:kern w:val="0"/>
          <w:sz w:val="32"/>
          <w:szCs w:val="32"/>
        </w:rPr>
      </w:pPr>
      <w:ins w:id="172" w:author="LV" w:date="2026-07-27T15:33:54Z">
        <w:r>
          <w:rPr>
            <w:rFonts w:hint="eastAsia" w:ascii="仿宋_GB2312" w:hAnsi="仿宋_GB2312" w:eastAsia="仿宋_GB2312" w:cs="仿宋_GB2312"/>
            <w:color w:val="auto"/>
            <w:kern w:val="0"/>
            <w:sz w:val="32"/>
            <w:szCs w:val="32"/>
          </w:rPr>
          <w:t>（七）违法行为人的主观过错程度；</w:t>
        </w:r>
      </w:ins>
    </w:p>
    <w:p w14:paraId="04DA3BFD">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ins w:id="173" w:author="LV" w:date="2026-07-27T15:33:54Z"/>
          <w:rFonts w:hint="eastAsia" w:ascii="仿宋_GB2312" w:hAnsi="仿宋_GB2312" w:eastAsia="仿宋_GB2312" w:cs="仿宋_GB2312"/>
          <w:color w:val="auto"/>
          <w:kern w:val="0"/>
          <w:sz w:val="32"/>
          <w:szCs w:val="32"/>
        </w:rPr>
      </w:pPr>
      <w:ins w:id="174" w:author="LV" w:date="2026-07-27T15:33:54Z">
        <w:r>
          <w:rPr>
            <w:rFonts w:hint="eastAsia" w:ascii="仿宋_GB2312" w:hAnsi="仿宋_GB2312" w:eastAsia="仿宋_GB2312" w:cs="仿宋_GB2312"/>
            <w:color w:val="auto"/>
            <w:kern w:val="0"/>
            <w:sz w:val="32"/>
            <w:szCs w:val="32"/>
          </w:rPr>
          <w:t>（八）违法行为人的生产经营规模；</w:t>
        </w:r>
      </w:ins>
    </w:p>
    <w:p w14:paraId="0D269436">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ins w:id="175" w:author="LV" w:date="2026-07-27T15:33:54Z"/>
          <w:rFonts w:hint="eastAsia" w:ascii="仿宋_GB2312" w:hAnsi="仿宋_GB2312" w:eastAsia="仿宋_GB2312" w:cs="仿宋_GB2312"/>
          <w:color w:val="auto"/>
          <w:kern w:val="0"/>
          <w:sz w:val="32"/>
          <w:szCs w:val="32"/>
        </w:rPr>
      </w:pPr>
      <w:ins w:id="176" w:author="LV" w:date="2026-07-27T15:33:54Z">
        <w:r>
          <w:rPr>
            <w:rFonts w:hint="eastAsia" w:ascii="仿宋_GB2312" w:hAnsi="仿宋_GB2312" w:eastAsia="仿宋_GB2312" w:cs="仿宋_GB2312"/>
            <w:color w:val="auto"/>
            <w:kern w:val="0"/>
            <w:sz w:val="32"/>
            <w:szCs w:val="32"/>
          </w:rPr>
          <w:t>（九）违法行为人</w:t>
        </w:r>
      </w:ins>
      <w:ins w:id="177" w:author="LV" w:date="2026-07-27T15:33:54Z">
        <w:r>
          <w:rPr>
            <w:rFonts w:hint="eastAsia" w:ascii="仿宋_GB2312" w:hAnsi="仿宋_GB2312" w:eastAsia="仿宋_GB2312" w:cs="仿宋_GB2312"/>
            <w:color w:val="auto"/>
            <w:kern w:val="0"/>
            <w:sz w:val="32"/>
            <w:szCs w:val="32"/>
            <w:lang w:val="en-US" w:eastAsia="zh-CN"/>
          </w:rPr>
          <w:t>发生的</w:t>
        </w:r>
      </w:ins>
      <w:ins w:id="178" w:author="LV" w:date="2026-07-27T15:33:54Z">
        <w:r>
          <w:rPr>
            <w:rFonts w:hint="eastAsia" w:ascii="仿宋_GB2312" w:hAnsi="仿宋_GB2312" w:eastAsia="仿宋_GB2312" w:cs="仿宋_GB2312"/>
            <w:color w:val="auto"/>
            <w:kern w:val="0"/>
            <w:sz w:val="32"/>
            <w:szCs w:val="32"/>
          </w:rPr>
          <w:t>次数和频</w:t>
        </w:r>
      </w:ins>
      <w:ins w:id="179" w:author="LV" w:date="2026-07-27T15:33:54Z">
        <w:r>
          <w:rPr>
            <w:rFonts w:hint="eastAsia" w:ascii="仿宋_GB2312" w:hAnsi="仿宋_GB2312" w:eastAsia="仿宋_GB2312" w:cs="仿宋_GB2312"/>
            <w:color w:val="auto"/>
            <w:kern w:val="0"/>
            <w:sz w:val="32"/>
            <w:szCs w:val="32"/>
            <w:lang w:val="en-US" w:eastAsia="zh-CN"/>
          </w:rPr>
          <w:t>次</w:t>
        </w:r>
      </w:ins>
      <w:ins w:id="180" w:author="LV" w:date="2026-07-27T15:33:54Z">
        <w:r>
          <w:rPr>
            <w:rFonts w:hint="eastAsia" w:ascii="仿宋_GB2312" w:hAnsi="仿宋_GB2312" w:eastAsia="仿宋_GB2312" w:cs="仿宋_GB2312"/>
            <w:color w:val="auto"/>
            <w:kern w:val="0"/>
            <w:sz w:val="32"/>
            <w:szCs w:val="32"/>
          </w:rPr>
          <w:t>；</w:t>
        </w:r>
      </w:ins>
    </w:p>
    <w:p w14:paraId="4F7B946A">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ins w:id="181" w:author="LV" w:date="2026-07-27T15:33:54Z"/>
          <w:rFonts w:hint="eastAsia" w:ascii="仿宋_GB2312" w:hAnsi="仿宋_GB2312" w:eastAsia="仿宋_GB2312" w:cs="仿宋_GB2312"/>
          <w:color w:val="auto"/>
          <w:kern w:val="0"/>
          <w:sz w:val="32"/>
          <w:szCs w:val="32"/>
        </w:rPr>
      </w:pPr>
      <w:ins w:id="182" w:author="LV" w:date="2026-07-27T15:33:54Z">
        <w:r>
          <w:rPr>
            <w:rFonts w:hint="eastAsia" w:ascii="仿宋_GB2312" w:hAnsi="仿宋_GB2312" w:eastAsia="仿宋_GB2312" w:cs="仿宋_GB2312"/>
            <w:color w:val="auto"/>
            <w:kern w:val="0"/>
            <w:sz w:val="32"/>
            <w:szCs w:val="32"/>
          </w:rPr>
          <w:t>（十）违法行为涉及的区域和范围；</w:t>
        </w:r>
      </w:ins>
    </w:p>
    <w:p w14:paraId="3470296E">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ins w:id="183" w:author="LV" w:date="2026-07-27T15:33:54Z"/>
          <w:rFonts w:hint="eastAsia" w:ascii="黑体" w:hAnsi="黑体" w:eastAsia="黑体" w:cs="黑体"/>
          <w:color w:val="auto"/>
          <w:kern w:val="0"/>
          <w:sz w:val="32"/>
          <w:szCs w:val="32"/>
        </w:rPr>
      </w:pPr>
      <w:ins w:id="184" w:author="LV" w:date="2026-07-27T15:33:54Z">
        <w:r>
          <w:rPr>
            <w:rFonts w:hint="eastAsia" w:ascii="仿宋_GB2312" w:hAnsi="仿宋_GB2312" w:eastAsia="仿宋_GB2312" w:cs="仿宋_GB2312"/>
            <w:color w:val="auto"/>
            <w:kern w:val="0"/>
            <w:sz w:val="32"/>
            <w:szCs w:val="32"/>
          </w:rPr>
          <w:t>（十一）违法所得数</w:t>
        </w:r>
      </w:ins>
      <w:ins w:id="185" w:author="LV" w:date="2026-07-27T15:33:54Z">
        <w:r>
          <w:rPr>
            <w:rFonts w:hint="eastAsia" w:ascii="仿宋_GB2312" w:hAnsi="仿宋_GB2312" w:eastAsia="仿宋_GB2312" w:cs="仿宋_GB2312"/>
            <w:color w:val="auto"/>
            <w:kern w:val="0"/>
            <w:sz w:val="32"/>
            <w:szCs w:val="32"/>
            <w:lang w:val="en-US" w:eastAsia="zh-CN"/>
          </w:rPr>
          <w:t>额。</w:t>
        </w:r>
      </w:ins>
    </w:p>
    <w:p w14:paraId="7B396BE6">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ins w:id="186" w:author="LV" w:date="2026-07-27T15:33:54Z"/>
          <w:rFonts w:ascii="仿宋_GB2312" w:hAnsi="仿宋_GB2312" w:eastAsia="仿宋_GB2312" w:cs="仿宋_GB2312"/>
          <w:color w:val="auto"/>
          <w:kern w:val="0"/>
          <w:sz w:val="32"/>
          <w:szCs w:val="32"/>
          <w:highlight w:val="yellow"/>
        </w:rPr>
      </w:pPr>
      <w:ins w:id="187" w:author="LV" w:date="2026-07-27T15:33:54Z">
        <w:r>
          <w:rPr>
            <w:rFonts w:hint="eastAsia" w:ascii="黑体" w:hAnsi="黑体" w:eastAsia="黑体" w:cs="黑体"/>
            <w:color w:val="auto"/>
            <w:kern w:val="0"/>
            <w:sz w:val="32"/>
            <w:szCs w:val="32"/>
          </w:rPr>
          <w:t>第</w:t>
        </w:r>
      </w:ins>
      <w:ins w:id="188" w:author="LV" w:date="2026-07-27T15:33:54Z">
        <w:r>
          <w:rPr>
            <w:rFonts w:hint="eastAsia" w:ascii="黑体" w:hAnsi="黑体" w:eastAsia="黑体" w:cs="黑体"/>
            <w:color w:val="auto"/>
            <w:kern w:val="0"/>
            <w:sz w:val="32"/>
            <w:szCs w:val="32"/>
            <w:lang w:eastAsia="zh-CN"/>
          </w:rPr>
          <w:t>六</w:t>
        </w:r>
      </w:ins>
      <w:ins w:id="189" w:author="LV" w:date="2026-07-27T15:33:54Z">
        <w:r>
          <w:rPr>
            <w:rFonts w:hint="eastAsia" w:ascii="黑体" w:hAnsi="黑体" w:eastAsia="黑体" w:cs="黑体"/>
            <w:color w:val="auto"/>
            <w:kern w:val="0"/>
            <w:sz w:val="32"/>
            <w:szCs w:val="32"/>
          </w:rPr>
          <w:t>条</w:t>
        </w:r>
      </w:ins>
      <w:ins w:id="190" w:author="LV" w:date="2026-07-27T15:33:54Z">
        <w:r>
          <w:rPr>
            <w:rFonts w:hint="eastAsia" w:ascii="仿宋_GB2312" w:hAnsi="仿宋_GB2312" w:eastAsia="仿宋_GB2312" w:cs="仿宋_GB2312"/>
            <w:color w:val="auto"/>
            <w:kern w:val="0"/>
            <w:sz w:val="32"/>
            <w:szCs w:val="32"/>
          </w:rPr>
          <w:t xml:space="preserve">  当事人有下列情形之一的，依法不予处罚</w:t>
        </w:r>
      </w:ins>
      <w:ins w:id="191" w:author="LV" w:date="2026-07-27T15:33:54Z">
        <w:r>
          <w:rPr>
            <w:rFonts w:hint="eastAsia" w:ascii="仿宋_GB2312" w:hAnsi="仿宋_GB2312" w:eastAsia="仿宋_GB2312" w:cs="仿宋_GB2312"/>
            <w:color w:val="auto"/>
            <w:kern w:val="0"/>
            <w:sz w:val="32"/>
            <w:szCs w:val="32"/>
            <w:highlight w:val="none"/>
          </w:rPr>
          <w:t>：</w:t>
        </w:r>
      </w:ins>
    </w:p>
    <w:p w14:paraId="06030B71">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ins w:id="192" w:author="LV" w:date="2026-07-27T15:33:54Z"/>
          <w:rFonts w:hint="eastAsia" w:ascii="仿宋_GB2312" w:hAnsi="仿宋_GB2312" w:eastAsia="仿宋_GB2312" w:cs="仿宋_GB2312"/>
          <w:color w:val="auto"/>
          <w:kern w:val="0"/>
          <w:sz w:val="32"/>
          <w:szCs w:val="32"/>
        </w:rPr>
      </w:pPr>
      <w:ins w:id="193" w:author="LV" w:date="2026-07-27T15:33:54Z">
        <w:r>
          <w:rPr>
            <w:rFonts w:hint="eastAsia" w:ascii="仿宋_GB2312" w:hAnsi="仿宋_GB2312" w:eastAsia="仿宋_GB2312" w:cs="仿宋_GB2312"/>
            <w:color w:val="auto"/>
            <w:kern w:val="0"/>
            <w:sz w:val="32"/>
            <w:szCs w:val="32"/>
          </w:rPr>
          <w:t>（一）不满14周岁的未成年人实施违法行为的；</w:t>
        </w:r>
      </w:ins>
    </w:p>
    <w:p w14:paraId="5D7FD98D">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ins w:id="194" w:author="LV" w:date="2026-07-27T15:33:54Z"/>
          <w:rFonts w:hint="eastAsia" w:ascii="仿宋_GB2312" w:hAnsi="仿宋_GB2312" w:eastAsia="仿宋_GB2312" w:cs="仿宋_GB2312"/>
          <w:color w:val="auto"/>
          <w:kern w:val="0"/>
          <w:sz w:val="32"/>
          <w:szCs w:val="32"/>
        </w:rPr>
      </w:pPr>
      <w:ins w:id="195" w:author="LV" w:date="2026-07-27T15:33:54Z">
        <w:r>
          <w:rPr>
            <w:rFonts w:hint="eastAsia" w:ascii="仿宋_GB2312" w:hAnsi="仿宋_GB2312" w:eastAsia="仿宋_GB2312" w:cs="仿宋_GB2312"/>
            <w:color w:val="auto"/>
            <w:kern w:val="0"/>
            <w:sz w:val="32"/>
            <w:szCs w:val="32"/>
          </w:rPr>
          <w:t>（二）精神病人、智力残疾人在不能辨认或者不能控制自己行为时</w:t>
        </w:r>
      </w:ins>
      <w:ins w:id="196" w:author="LV" w:date="2026-07-27T15:33:54Z">
        <w:r>
          <w:rPr>
            <w:rFonts w:hint="eastAsia" w:ascii="仿宋_GB2312" w:hAnsi="仿宋_GB2312" w:eastAsia="仿宋_GB2312" w:cs="仿宋_GB2312"/>
            <w:color w:val="auto"/>
            <w:kern w:val="0"/>
            <w:sz w:val="32"/>
            <w:szCs w:val="32"/>
            <w:lang w:eastAsia="zh-CN"/>
          </w:rPr>
          <w:t>有</w:t>
        </w:r>
      </w:ins>
      <w:ins w:id="197" w:author="LV" w:date="2026-07-27T15:33:54Z">
        <w:r>
          <w:rPr>
            <w:rFonts w:hint="eastAsia" w:ascii="仿宋_GB2312" w:hAnsi="仿宋_GB2312" w:eastAsia="仿宋_GB2312" w:cs="仿宋_GB2312"/>
            <w:color w:val="auto"/>
            <w:kern w:val="0"/>
            <w:sz w:val="32"/>
            <w:szCs w:val="32"/>
          </w:rPr>
          <w:t>违法行为的；</w:t>
        </w:r>
      </w:ins>
    </w:p>
    <w:p w14:paraId="26F3C969">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ins w:id="198" w:author="LV" w:date="2026-07-27T15:33:54Z"/>
          <w:rFonts w:hint="eastAsia" w:ascii="仿宋_GB2312" w:hAnsi="仿宋_GB2312" w:eastAsia="仿宋_GB2312" w:cs="仿宋_GB2312"/>
          <w:color w:val="auto"/>
          <w:kern w:val="0"/>
          <w:sz w:val="32"/>
          <w:szCs w:val="32"/>
        </w:rPr>
      </w:pPr>
      <w:ins w:id="199" w:author="LV" w:date="2026-07-27T15:33:54Z">
        <w:r>
          <w:rPr>
            <w:rFonts w:hint="eastAsia" w:ascii="仿宋_GB2312" w:hAnsi="仿宋_GB2312" w:eastAsia="仿宋_GB2312" w:cs="仿宋_GB2312"/>
            <w:color w:val="auto"/>
            <w:kern w:val="0"/>
            <w:sz w:val="32"/>
            <w:szCs w:val="32"/>
          </w:rPr>
          <w:t>（三）违法行为轻微并及时改正，没有造成危害后果的；</w:t>
        </w:r>
      </w:ins>
    </w:p>
    <w:p w14:paraId="4897848E">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ins w:id="200" w:author="LV" w:date="2026-07-27T15:33:54Z"/>
          <w:rFonts w:hint="eastAsia" w:ascii="仿宋_GB2312" w:hAnsi="仿宋_GB2312" w:eastAsia="仿宋_GB2312" w:cs="仿宋_GB2312"/>
          <w:color w:val="auto"/>
          <w:kern w:val="0"/>
          <w:sz w:val="32"/>
          <w:szCs w:val="32"/>
        </w:rPr>
      </w:pPr>
      <w:ins w:id="201" w:author="LV" w:date="2026-07-27T15:33:54Z">
        <w:r>
          <w:rPr>
            <w:rFonts w:hint="eastAsia" w:ascii="仿宋_GB2312" w:hAnsi="仿宋_GB2312" w:eastAsia="仿宋_GB2312" w:cs="仿宋_GB2312"/>
            <w:color w:val="auto"/>
            <w:kern w:val="0"/>
            <w:sz w:val="32"/>
            <w:szCs w:val="32"/>
          </w:rPr>
          <w:t>（四）违法行为在</w:t>
        </w:r>
      </w:ins>
      <w:ins w:id="202" w:author="LV" w:date="2026-07-27T15:33:54Z">
        <w:r>
          <w:rPr>
            <w:rFonts w:hint="eastAsia" w:ascii="仿宋_GB2312" w:hAnsi="仿宋_GB2312" w:eastAsia="仿宋_GB2312" w:cs="仿宋_GB2312"/>
            <w:color w:val="auto"/>
            <w:kern w:val="0"/>
            <w:sz w:val="32"/>
            <w:szCs w:val="32"/>
            <w:lang w:val="en-US" w:eastAsia="zh-CN"/>
          </w:rPr>
          <w:t>2</w:t>
        </w:r>
      </w:ins>
      <w:ins w:id="203" w:author="LV" w:date="2026-07-27T15:33:54Z">
        <w:r>
          <w:rPr>
            <w:rFonts w:hint="eastAsia" w:ascii="仿宋_GB2312" w:hAnsi="仿宋_GB2312" w:eastAsia="仿宋_GB2312" w:cs="仿宋_GB2312"/>
            <w:color w:val="auto"/>
            <w:kern w:val="0"/>
            <w:sz w:val="32"/>
            <w:szCs w:val="32"/>
          </w:rPr>
          <w:t>年内未被发现的</w:t>
        </w:r>
      </w:ins>
      <w:ins w:id="204" w:author="LV" w:date="2026-07-27T15:33:54Z">
        <w:r>
          <w:rPr>
            <w:rFonts w:hint="eastAsia" w:ascii="仿宋_GB2312" w:hAnsi="仿宋_GB2312" w:eastAsia="仿宋_GB2312" w:cs="仿宋_GB2312"/>
            <w:color w:val="auto"/>
            <w:kern w:val="0"/>
            <w:sz w:val="32"/>
            <w:szCs w:val="32"/>
            <w:lang w:eastAsia="zh-CN"/>
          </w:rPr>
          <w:t>（</w:t>
        </w:r>
      </w:ins>
      <w:ins w:id="205" w:author="LV" w:date="2026-07-27T15:33:54Z">
        <w:r>
          <w:rPr>
            <w:rFonts w:hint="eastAsia" w:ascii="仿宋_GB2312" w:hAnsi="仿宋_GB2312" w:eastAsia="仿宋_GB2312" w:cs="仿宋_GB2312"/>
            <w:color w:val="auto"/>
            <w:kern w:val="0"/>
            <w:sz w:val="32"/>
            <w:szCs w:val="32"/>
          </w:rPr>
          <w:t>涉及公民生命健康安全、金融安全且有危害后果的，上述期限延长至</w:t>
        </w:r>
      </w:ins>
      <w:ins w:id="206" w:author="LV" w:date="2026-07-27T15:33:54Z">
        <w:r>
          <w:rPr>
            <w:rFonts w:hint="eastAsia" w:ascii="仿宋_GB2312" w:hAnsi="仿宋_GB2312" w:eastAsia="仿宋_GB2312" w:cs="仿宋_GB2312"/>
            <w:color w:val="auto"/>
            <w:kern w:val="0"/>
            <w:sz w:val="32"/>
            <w:szCs w:val="32"/>
            <w:lang w:val="en-US" w:eastAsia="zh-CN"/>
          </w:rPr>
          <w:t>5</w:t>
        </w:r>
      </w:ins>
      <w:ins w:id="207" w:author="LV" w:date="2026-07-27T15:33:54Z">
        <w:r>
          <w:rPr>
            <w:rFonts w:hint="eastAsia" w:ascii="仿宋_GB2312" w:hAnsi="仿宋_GB2312" w:eastAsia="仿宋_GB2312" w:cs="仿宋_GB2312"/>
            <w:color w:val="auto"/>
            <w:kern w:val="0"/>
            <w:sz w:val="32"/>
            <w:szCs w:val="32"/>
          </w:rPr>
          <w:t>年</w:t>
        </w:r>
      </w:ins>
      <w:ins w:id="208" w:author="LV" w:date="2026-07-27T15:33:54Z">
        <w:r>
          <w:rPr>
            <w:rFonts w:hint="eastAsia" w:ascii="仿宋_GB2312" w:hAnsi="仿宋_GB2312" w:eastAsia="仿宋_GB2312" w:cs="仿宋_GB2312"/>
            <w:color w:val="auto"/>
            <w:kern w:val="0"/>
            <w:sz w:val="32"/>
            <w:szCs w:val="32"/>
            <w:lang w:eastAsia="zh-CN"/>
          </w:rPr>
          <w:t>），</w:t>
        </w:r>
      </w:ins>
      <w:ins w:id="209" w:author="LV" w:date="2026-07-27T15:33:54Z">
        <w:r>
          <w:rPr>
            <w:rFonts w:hint="eastAsia" w:ascii="仿宋_GB2312" w:hAnsi="仿宋_GB2312" w:eastAsia="仿宋_GB2312" w:cs="仿宋_GB2312"/>
            <w:color w:val="auto"/>
            <w:kern w:val="0"/>
            <w:sz w:val="32"/>
            <w:szCs w:val="32"/>
          </w:rPr>
          <w:t>法律另有规定的除外；上述期限，从违法行为发生之日起计算，违法行为有连续或者继续状态的，从行为终了之日起计算；超过追溯时效的，应当及时终止调查，并撤销案件；</w:t>
        </w:r>
      </w:ins>
    </w:p>
    <w:p w14:paraId="1AC1A624">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ins w:id="210" w:author="LV" w:date="2026-07-27T15:33:54Z"/>
          <w:rFonts w:hint="eastAsia" w:ascii="仿宋_GB2312" w:hAnsi="仿宋_GB2312" w:eastAsia="仿宋_GB2312" w:cs="仿宋_GB2312"/>
          <w:color w:val="auto"/>
          <w:kern w:val="0"/>
          <w:sz w:val="32"/>
          <w:szCs w:val="32"/>
        </w:rPr>
      </w:pPr>
      <w:ins w:id="211" w:author="LV" w:date="2026-07-27T15:33:54Z">
        <w:r>
          <w:rPr>
            <w:rFonts w:hint="eastAsia" w:ascii="仿宋_GB2312" w:hAnsi="仿宋_GB2312" w:eastAsia="仿宋_GB2312" w:cs="仿宋_GB2312"/>
            <w:color w:val="auto"/>
            <w:kern w:val="0"/>
            <w:sz w:val="32"/>
            <w:szCs w:val="32"/>
          </w:rPr>
          <w:t>（</w:t>
        </w:r>
      </w:ins>
      <w:ins w:id="212" w:author="LV" w:date="2026-07-27T15:33:54Z">
        <w:r>
          <w:rPr>
            <w:rFonts w:hint="eastAsia" w:ascii="仿宋_GB2312" w:hAnsi="仿宋_GB2312" w:eastAsia="仿宋_GB2312" w:cs="仿宋_GB2312"/>
            <w:color w:val="auto"/>
            <w:kern w:val="0"/>
            <w:sz w:val="32"/>
            <w:szCs w:val="32"/>
            <w:lang w:eastAsia="zh-CN"/>
          </w:rPr>
          <w:t>五</w:t>
        </w:r>
      </w:ins>
      <w:ins w:id="213" w:author="LV" w:date="2026-07-27T15:33:54Z">
        <w:r>
          <w:rPr>
            <w:rFonts w:hint="eastAsia" w:ascii="仿宋_GB2312" w:hAnsi="仿宋_GB2312" w:eastAsia="仿宋_GB2312" w:cs="仿宋_GB2312"/>
            <w:color w:val="auto"/>
            <w:kern w:val="0"/>
            <w:sz w:val="32"/>
            <w:szCs w:val="32"/>
          </w:rPr>
          <w:t>）初次违法且危害后果轻微并及时改正，可以不予行政处罚的；</w:t>
        </w:r>
      </w:ins>
    </w:p>
    <w:p w14:paraId="7E3A54B7">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ins w:id="214" w:author="LV" w:date="2026-07-27T15:33:54Z"/>
          <w:rFonts w:hint="eastAsia" w:ascii="仿宋_GB2312" w:hAnsi="仿宋_GB2312" w:eastAsia="仿宋_GB2312" w:cs="仿宋_GB2312"/>
          <w:color w:val="auto"/>
          <w:kern w:val="0"/>
          <w:sz w:val="32"/>
          <w:szCs w:val="32"/>
        </w:rPr>
      </w:pPr>
      <w:ins w:id="215" w:author="LV" w:date="2026-07-27T15:33:54Z">
        <w:r>
          <w:rPr>
            <w:rFonts w:hint="eastAsia" w:ascii="仿宋_GB2312" w:hAnsi="仿宋_GB2312" w:eastAsia="仿宋_GB2312" w:cs="仿宋_GB2312"/>
            <w:color w:val="auto"/>
            <w:kern w:val="0"/>
            <w:sz w:val="32"/>
            <w:szCs w:val="32"/>
          </w:rPr>
          <w:t>（</w:t>
        </w:r>
      </w:ins>
      <w:ins w:id="216" w:author="LV" w:date="2026-07-27T15:33:54Z">
        <w:r>
          <w:rPr>
            <w:rFonts w:hint="eastAsia" w:ascii="仿宋_GB2312" w:hAnsi="仿宋_GB2312" w:eastAsia="仿宋_GB2312" w:cs="仿宋_GB2312"/>
            <w:color w:val="auto"/>
            <w:kern w:val="0"/>
            <w:sz w:val="32"/>
            <w:szCs w:val="32"/>
            <w:lang w:eastAsia="zh-CN"/>
          </w:rPr>
          <w:t>六</w:t>
        </w:r>
      </w:ins>
      <w:ins w:id="217" w:author="LV" w:date="2026-07-27T15:33:54Z">
        <w:r>
          <w:rPr>
            <w:rFonts w:hint="eastAsia" w:ascii="仿宋_GB2312" w:hAnsi="仿宋_GB2312" w:eastAsia="仿宋_GB2312" w:cs="仿宋_GB2312"/>
            <w:color w:val="auto"/>
            <w:kern w:val="0"/>
            <w:sz w:val="32"/>
            <w:szCs w:val="32"/>
          </w:rPr>
          <w:t>）当事人有证据足以证明没有主观过错的，法律、行政法规另有规定的</w:t>
        </w:r>
      </w:ins>
      <w:ins w:id="218" w:author="LV" w:date="2026-07-27T15:33:54Z">
        <w:r>
          <w:rPr>
            <w:rFonts w:hint="eastAsia" w:ascii="仿宋_GB2312" w:hAnsi="仿宋_GB2312" w:eastAsia="仿宋_GB2312" w:cs="仿宋_GB2312"/>
            <w:color w:val="auto"/>
            <w:kern w:val="0"/>
            <w:sz w:val="32"/>
            <w:szCs w:val="32"/>
            <w:lang w:eastAsia="zh-CN"/>
          </w:rPr>
          <w:t>，从其规定</w:t>
        </w:r>
      </w:ins>
      <w:ins w:id="219" w:author="LV" w:date="2026-07-27T15:33:54Z">
        <w:r>
          <w:rPr>
            <w:rFonts w:hint="eastAsia" w:ascii="仿宋_GB2312" w:hAnsi="仿宋_GB2312" w:eastAsia="仿宋_GB2312" w:cs="仿宋_GB2312"/>
            <w:color w:val="auto"/>
            <w:kern w:val="0"/>
            <w:sz w:val="32"/>
            <w:szCs w:val="32"/>
          </w:rPr>
          <w:t xml:space="preserve">； </w:t>
        </w:r>
      </w:ins>
    </w:p>
    <w:p w14:paraId="31849C83">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ins w:id="220" w:author="LV" w:date="2026-07-27T15:33:54Z"/>
          <w:rFonts w:hint="eastAsia" w:ascii="仿宋_GB2312" w:hAnsi="仿宋_GB2312" w:eastAsia="仿宋_GB2312" w:cs="仿宋_GB2312"/>
          <w:color w:val="auto"/>
          <w:kern w:val="0"/>
          <w:sz w:val="32"/>
          <w:szCs w:val="32"/>
        </w:rPr>
      </w:pPr>
      <w:ins w:id="221" w:author="LV" w:date="2026-07-27T15:33:54Z">
        <w:r>
          <w:rPr>
            <w:rFonts w:hint="eastAsia" w:ascii="仿宋_GB2312" w:hAnsi="仿宋_GB2312" w:eastAsia="仿宋_GB2312" w:cs="仿宋_GB2312"/>
            <w:color w:val="auto"/>
            <w:kern w:val="0"/>
            <w:sz w:val="32"/>
            <w:szCs w:val="32"/>
          </w:rPr>
          <w:t>（</w:t>
        </w:r>
      </w:ins>
      <w:ins w:id="222" w:author="LV" w:date="2026-07-27T15:33:54Z">
        <w:r>
          <w:rPr>
            <w:rFonts w:hint="eastAsia" w:ascii="仿宋_GB2312" w:hAnsi="仿宋_GB2312" w:eastAsia="仿宋_GB2312" w:cs="仿宋_GB2312"/>
            <w:color w:val="auto"/>
            <w:kern w:val="0"/>
            <w:sz w:val="32"/>
            <w:szCs w:val="32"/>
            <w:lang w:eastAsia="zh-CN"/>
          </w:rPr>
          <w:t>七</w:t>
        </w:r>
      </w:ins>
      <w:ins w:id="223" w:author="LV" w:date="2026-07-27T15:33:54Z">
        <w:r>
          <w:rPr>
            <w:rFonts w:hint="eastAsia" w:ascii="仿宋_GB2312" w:hAnsi="仿宋_GB2312" w:eastAsia="仿宋_GB2312" w:cs="仿宋_GB2312"/>
            <w:color w:val="auto"/>
            <w:kern w:val="0"/>
            <w:sz w:val="32"/>
            <w:szCs w:val="32"/>
          </w:rPr>
          <w:t>）其他</w:t>
        </w:r>
      </w:ins>
      <w:ins w:id="224" w:author="LV" w:date="2026-07-27T15:33:54Z">
        <w:r>
          <w:rPr>
            <w:rFonts w:hint="eastAsia" w:ascii="仿宋_GB2312" w:hAnsi="仿宋_GB2312" w:eastAsia="仿宋_GB2312" w:cs="仿宋_GB2312"/>
            <w:color w:val="auto"/>
            <w:kern w:val="0"/>
            <w:sz w:val="32"/>
            <w:szCs w:val="32"/>
            <w:lang w:eastAsia="zh-CN"/>
          </w:rPr>
          <w:t>依法</w:t>
        </w:r>
      </w:ins>
      <w:ins w:id="225" w:author="LV" w:date="2026-07-27T15:33:54Z">
        <w:r>
          <w:rPr>
            <w:rFonts w:hint="eastAsia" w:ascii="仿宋_GB2312" w:hAnsi="仿宋_GB2312" w:eastAsia="仿宋_GB2312" w:cs="仿宋_GB2312"/>
            <w:color w:val="auto"/>
            <w:kern w:val="0"/>
            <w:sz w:val="32"/>
            <w:szCs w:val="32"/>
          </w:rPr>
          <w:t>应当不予行政处罚的。</w:t>
        </w:r>
      </w:ins>
    </w:p>
    <w:p w14:paraId="3793A547">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ins w:id="226" w:author="LV" w:date="2026-07-27T15:33:54Z"/>
          <w:rFonts w:hint="eastAsia" w:ascii="仿宋_GB2312" w:hAnsi="仿宋_GB2312" w:eastAsia="仿宋_GB2312" w:cs="仿宋_GB2312"/>
          <w:color w:val="auto"/>
          <w:kern w:val="0"/>
          <w:sz w:val="32"/>
          <w:szCs w:val="32"/>
        </w:rPr>
      </w:pPr>
      <w:ins w:id="227" w:author="LV" w:date="2026-07-27T15:33:54Z">
        <w:r>
          <w:rPr>
            <w:rFonts w:hint="eastAsia" w:ascii="仿宋_GB2312" w:hAnsi="仿宋_GB2312" w:eastAsia="仿宋_GB2312" w:cs="仿宋_GB2312"/>
            <w:color w:val="auto"/>
            <w:kern w:val="0"/>
            <w:sz w:val="32"/>
            <w:szCs w:val="32"/>
          </w:rPr>
          <w:t xml:space="preserve"> 有上述不予行政处罚情形的，应当运用说服教育、劝导示范、警示告诫、指导约谈等方式，对当事人进行教育引导，并做好违法行为登记与教育记录。有第（一）项或者第（二）项情形的，还应当责令监护人加以管教、看管或者治疗；有第（三）项情形的，除当场改正外，还应当依法下达责令改正通知书，明确整改要求，并对当事人的整改情况进行核查。</w:t>
        </w:r>
      </w:ins>
    </w:p>
    <w:p w14:paraId="31B6C318">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jc w:val="both"/>
        <w:textAlignment w:val="auto"/>
        <w:rPr>
          <w:ins w:id="228" w:author="LV" w:date="2026-07-27T15:33:54Z"/>
          <w:rFonts w:ascii="仿宋_GB2312" w:hAnsi="仿宋_GB2312" w:eastAsia="仿宋_GB2312" w:cs="仿宋_GB2312"/>
          <w:kern w:val="0"/>
          <w:sz w:val="32"/>
          <w:szCs w:val="32"/>
          <w:lang w:eastAsia="zh-Hans"/>
        </w:rPr>
      </w:pPr>
      <w:ins w:id="229" w:author="LV" w:date="2026-07-27T15:33:54Z">
        <w:r>
          <w:rPr>
            <w:rFonts w:hint="eastAsia" w:ascii="黑体" w:hAnsi="黑体" w:eastAsia="黑体" w:cs="黑体"/>
            <w:kern w:val="0"/>
            <w:sz w:val="32"/>
            <w:szCs w:val="32"/>
            <w:lang w:eastAsia="zh-Hans"/>
          </w:rPr>
          <w:t>第七条</w:t>
        </w:r>
      </w:ins>
      <w:ins w:id="230" w:author="LV" w:date="2026-07-27T15:33:54Z">
        <w:r>
          <w:rPr>
            <w:rFonts w:hint="eastAsia" w:ascii="黑体" w:hAnsi="黑体" w:eastAsia="黑体" w:cs="黑体"/>
            <w:kern w:val="0"/>
            <w:sz w:val="32"/>
            <w:szCs w:val="32"/>
          </w:rPr>
          <w:t xml:space="preserve"> </w:t>
        </w:r>
      </w:ins>
      <w:ins w:id="231" w:author="LV" w:date="2026-07-27T15:33:54Z">
        <w:r>
          <w:rPr>
            <w:rFonts w:hint="eastAsia" w:ascii="仿宋_GB2312" w:hAnsi="仿宋_GB2312" w:eastAsia="仿宋_GB2312" w:cs="仿宋_GB2312"/>
            <w:kern w:val="0"/>
            <w:sz w:val="32"/>
            <w:szCs w:val="32"/>
          </w:rPr>
          <w:t xml:space="preserve"> </w:t>
        </w:r>
      </w:ins>
      <w:ins w:id="232" w:author="LV" w:date="2026-07-27T15:33:54Z">
        <w:r>
          <w:rPr>
            <w:rFonts w:hint="eastAsia" w:ascii="仿宋_GB2312" w:hAnsi="仿宋_GB2312" w:eastAsia="仿宋_GB2312" w:cs="仿宋_GB2312"/>
            <w:kern w:val="0"/>
            <w:sz w:val="32"/>
            <w:szCs w:val="32"/>
            <w:lang w:eastAsia="zh-Hans"/>
          </w:rPr>
          <w:t>本基准所指的“免</w:t>
        </w:r>
      </w:ins>
      <w:ins w:id="233" w:author="LV" w:date="2026-07-27T15:33:54Z">
        <w:r>
          <w:rPr>
            <w:rFonts w:ascii="仿宋_GB2312" w:hAnsi="仿宋_GB2312" w:eastAsia="仿宋_GB2312" w:cs="仿宋_GB2312"/>
            <w:kern w:val="0"/>
            <w:sz w:val="32"/>
            <w:szCs w:val="32"/>
            <w:lang w:eastAsia="zh-Hans"/>
          </w:rPr>
          <w:t>予</w:t>
        </w:r>
      </w:ins>
      <w:ins w:id="234" w:author="LV" w:date="2026-07-27T15:33:54Z">
        <w:r>
          <w:rPr>
            <w:rFonts w:hint="eastAsia" w:ascii="仿宋_GB2312" w:hAnsi="仿宋_GB2312" w:eastAsia="仿宋_GB2312" w:cs="仿宋_GB2312"/>
            <w:kern w:val="0"/>
            <w:sz w:val="32"/>
            <w:szCs w:val="32"/>
            <w:lang w:eastAsia="zh-Hans"/>
          </w:rPr>
          <w:t>处罚”即为第六条第</w:t>
        </w:r>
      </w:ins>
      <w:ins w:id="235" w:author="LV" w:date="2026-07-27T15:33:54Z">
        <w:r>
          <w:rPr>
            <w:rFonts w:hint="eastAsia" w:ascii="仿宋_GB2312" w:hAnsi="仿宋_GB2312" w:eastAsia="仿宋_GB2312" w:cs="仿宋_GB2312"/>
            <w:kern w:val="0"/>
            <w:sz w:val="32"/>
            <w:szCs w:val="32"/>
            <w:lang w:val="en-US" w:eastAsia="zh-CN"/>
          </w:rPr>
          <w:t>五</w:t>
        </w:r>
      </w:ins>
      <w:ins w:id="236" w:author="LV" w:date="2026-07-27T15:33:54Z">
        <w:r>
          <w:rPr>
            <w:rFonts w:hint="eastAsia" w:ascii="仿宋_GB2312" w:hAnsi="仿宋_GB2312" w:eastAsia="仿宋_GB2312" w:cs="仿宋_GB2312"/>
            <w:kern w:val="0"/>
            <w:sz w:val="32"/>
            <w:szCs w:val="32"/>
            <w:lang w:eastAsia="zh-Hans"/>
          </w:rPr>
          <w:t>项，是指违法行为初次发生，未造成危害后果或者危害后果轻微，违法行为人及时改正或者在行政机关责令期限内改正的情形，能源执法机关不予处罚。</w:t>
        </w:r>
      </w:ins>
    </w:p>
    <w:p w14:paraId="32B83E5A">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jc w:val="both"/>
        <w:textAlignment w:val="auto"/>
        <w:rPr>
          <w:ins w:id="237" w:author="LV" w:date="2026-07-27T15:33:54Z"/>
          <w:rFonts w:ascii="仿宋_GB2312" w:hAnsi="仿宋_GB2312" w:eastAsia="仿宋_GB2312" w:cs="仿宋_GB2312"/>
          <w:kern w:val="0"/>
          <w:sz w:val="32"/>
          <w:szCs w:val="32"/>
        </w:rPr>
      </w:pPr>
      <w:ins w:id="238" w:author="LV" w:date="2026-07-27T15:33:54Z">
        <w:r>
          <w:rPr>
            <w:rFonts w:hint="eastAsia" w:ascii="仿宋_GB2312" w:hAnsi="仿宋_GB2312" w:eastAsia="仿宋_GB2312" w:cs="仿宋_GB2312"/>
            <w:kern w:val="0"/>
            <w:sz w:val="32"/>
            <w:szCs w:val="32"/>
          </w:rPr>
          <w:t>初次违法是指当事人</w:t>
        </w:r>
      </w:ins>
      <w:ins w:id="239" w:author="LV" w:date="2026-07-27T15:33:54Z">
        <w:r>
          <w:rPr>
            <w:rFonts w:hint="eastAsia" w:ascii="仿宋_GB2312" w:hAnsi="仿宋_GB2312" w:eastAsia="仿宋_GB2312" w:cs="仿宋_GB2312"/>
            <w:kern w:val="0"/>
            <w:sz w:val="32"/>
            <w:szCs w:val="32"/>
            <w:lang w:eastAsia="zh-Hans"/>
          </w:rPr>
          <w:t>在</w:t>
        </w:r>
      </w:ins>
      <w:ins w:id="240" w:author="LV" w:date="2026-07-27T15:33:54Z">
        <w:r>
          <w:rPr>
            <w:rFonts w:hint="eastAsia" w:ascii="仿宋_GB2312" w:hAnsi="仿宋_GB2312" w:eastAsia="仿宋_GB2312" w:cs="仿宋_GB2312"/>
            <w:kern w:val="0"/>
            <w:sz w:val="32"/>
            <w:szCs w:val="32"/>
            <w:lang w:val="en-US" w:eastAsia="zh-CN"/>
          </w:rPr>
          <w:t>1</w:t>
        </w:r>
      </w:ins>
      <w:ins w:id="241" w:author="LV" w:date="2026-07-27T15:33:54Z">
        <w:r>
          <w:rPr>
            <w:rFonts w:hint="eastAsia" w:ascii="仿宋_GB2312" w:hAnsi="仿宋_GB2312" w:eastAsia="仿宋_GB2312" w:cs="仿宋_GB2312"/>
            <w:kern w:val="0"/>
            <w:sz w:val="32"/>
            <w:szCs w:val="32"/>
            <w:lang w:eastAsia="zh-Hans"/>
          </w:rPr>
          <w:t>个</w:t>
        </w:r>
      </w:ins>
      <w:ins w:id="242" w:author="LV" w:date="2026-07-27T15:33:54Z">
        <w:r>
          <w:rPr>
            <w:rFonts w:hint="eastAsia" w:ascii="仿宋_GB2312" w:hAnsi="仿宋_GB2312" w:eastAsia="仿宋_GB2312" w:cs="仿宋_GB2312"/>
            <w:kern w:val="0"/>
            <w:sz w:val="32"/>
            <w:szCs w:val="32"/>
          </w:rPr>
          <w:t>自然年度内，在</w:t>
        </w:r>
      </w:ins>
      <w:ins w:id="243" w:author="LV" w:date="2026-07-27T15:33:54Z">
        <w:r>
          <w:rPr>
            <w:rFonts w:hint="eastAsia" w:ascii="仿宋_GB2312" w:hAnsi="仿宋_GB2312" w:eastAsia="仿宋_GB2312" w:cs="仿宋_GB2312"/>
            <w:kern w:val="0"/>
            <w:sz w:val="32"/>
            <w:szCs w:val="32"/>
            <w:lang w:eastAsia="zh-Hans"/>
          </w:rPr>
          <w:t>能源执法机关管辖区域</w:t>
        </w:r>
      </w:ins>
      <w:ins w:id="244" w:author="LV" w:date="2026-07-27T15:33:54Z">
        <w:r>
          <w:rPr>
            <w:rFonts w:hint="eastAsia" w:ascii="仿宋_GB2312" w:hAnsi="仿宋_GB2312" w:eastAsia="仿宋_GB2312" w:cs="仿宋_GB2312"/>
            <w:kern w:val="0"/>
            <w:sz w:val="32"/>
            <w:szCs w:val="32"/>
          </w:rPr>
          <w:t>范围，在同一行政执法领域，</w:t>
        </w:r>
      </w:ins>
      <w:ins w:id="245" w:author="LV" w:date="2026-07-27T15:33:54Z">
        <w:r>
          <w:rPr>
            <w:rFonts w:hint="eastAsia" w:ascii="仿宋_GB2312" w:hAnsi="仿宋_GB2312" w:eastAsia="仿宋_GB2312" w:cs="仿宋_GB2312"/>
            <w:kern w:val="0"/>
            <w:sz w:val="32"/>
            <w:szCs w:val="32"/>
            <w:lang w:eastAsia="zh-Hans"/>
          </w:rPr>
          <w:t>被能源执法机关发现</w:t>
        </w:r>
      </w:ins>
      <w:ins w:id="246" w:author="LV" w:date="2026-07-27T15:33:54Z">
        <w:r>
          <w:rPr>
            <w:rFonts w:hint="eastAsia" w:ascii="仿宋_GB2312" w:hAnsi="仿宋_GB2312" w:eastAsia="仿宋_GB2312" w:cs="仿宋_GB2312"/>
            <w:kern w:val="0"/>
            <w:sz w:val="32"/>
            <w:szCs w:val="32"/>
          </w:rPr>
          <w:t>第一次实施违法行为。</w:t>
        </w:r>
      </w:ins>
    </w:p>
    <w:p w14:paraId="04E5C63C">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ins w:id="247" w:author="LV" w:date="2026-07-27T15:33:54Z"/>
          <w:rFonts w:hint="eastAsia" w:ascii="仿宋_GB2312" w:hAnsi="仿宋_GB2312" w:eastAsia="仿宋_GB2312" w:cs="仿宋_GB2312"/>
          <w:color w:val="auto"/>
          <w:kern w:val="0"/>
          <w:sz w:val="32"/>
          <w:szCs w:val="32"/>
          <w:lang w:eastAsia="zh-CN"/>
        </w:rPr>
      </w:pPr>
      <w:ins w:id="248" w:author="LV" w:date="2026-07-27T15:33:54Z">
        <w:r>
          <w:rPr>
            <w:rFonts w:hint="eastAsia" w:ascii="黑体" w:hAnsi="黑体" w:eastAsia="黑体" w:cs="黑体"/>
            <w:color w:val="auto"/>
            <w:kern w:val="0"/>
            <w:sz w:val="32"/>
            <w:szCs w:val="32"/>
            <w:lang w:eastAsia="zh-CN"/>
          </w:rPr>
          <w:t>第</w:t>
        </w:r>
      </w:ins>
      <w:ins w:id="249" w:author="LV" w:date="2026-07-27T15:33:54Z">
        <w:r>
          <w:rPr>
            <w:rFonts w:hint="eastAsia" w:ascii="黑体" w:hAnsi="黑体" w:eastAsia="黑体" w:cs="黑体"/>
            <w:color w:val="auto"/>
            <w:kern w:val="0"/>
            <w:sz w:val="32"/>
            <w:szCs w:val="32"/>
            <w:lang w:val="en-US" w:eastAsia="zh-CN"/>
          </w:rPr>
          <w:t>八</w:t>
        </w:r>
      </w:ins>
      <w:ins w:id="250" w:author="LV" w:date="2026-07-27T15:33:54Z">
        <w:r>
          <w:rPr>
            <w:rFonts w:hint="eastAsia" w:ascii="黑体" w:hAnsi="黑体" w:eastAsia="黑体" w:cs="黑体"/>
            <w:color w:val="auto"/>
            <w:kern w:val="0"/>
            <w:sz w:val="32"/>
            <w:szCs w:val="32"/>
            <w:lang w:eastAsia="zh-CN"/>
          </w:rPr>
          <w:t>条</w:t>
        </w:r>
      </w:ins>
      <w:ins w:id="251" w:author="LV" w:date="2026-07-27T15:33:54Z">
        <w:r>
          <w:rPr>
            <w:rFonts w:hint="eastAsia" w:ascii="仿宋_GB2312" w:hAnsi="仿宋_GB2312" w:eastAsia="仿宋_GB2312" w:cs="仿宋_GB2312"/>
            <w:color w:val="auto"/>
            <w:kern w:val="0"/>
            <w:sz w:val="32"/>
            <w:szCs w:val="32"/>
          </w:rPr>
          <w:t xml:space="preserve"> </w:t>
        </w:r>
      </w:ins>
      <w:ins w:id="252" w:author="LV" w:date="2026-07-27T15:33:54Z">
        <w:r>
          <w:rPr>
            <w:rFonts w:hint="eastAsia" w:ascii="仿宋_GB2312" w:hAnsi="仿宋_GB2312" w:eastAsia="仿宋_GB2312" w:cs="仿宋_GB2312"/>
            <w:color w:val="auto"/>
            <w:kern w:val="0"/>
            <w:sz w:val="32"/>
            <w:szCs w:val="32"/>
            <w:lang w:val="en-US" w:eastAsia="zh-CN"/>
          </w:rPr>
          <w:t xml:space="preserve"> </w:t>
        </w:r>
      </w:ins>
      <w:ins w:id="253" w:author="LV" w:date="2026-07-27T15:33:54Z">
        <w:r>
          <w:rPr>
            <w:rFonts w:hint="eastAsia" w:ascii="仿宋_GB2312" w:hAnsi="仿宋_GB2312" w:eastAsia="仿宋_GB2312" w:cs="仿宋_GB2312"/>
            <w:color w:val="auto"/>
            <w:kern w:val="0"/>
            <w:sz w:val="32"/>
            <w:szCs w:val="32"/>
          </w:rPr>
          <w:t>行政处罚实行分级裁量制，</w:t>
        </w:r>
      </w:ins>
      <w:ins w:id="254" w:author="LV" w:date="2026-07-27T15:33:54Z">
        <w:r>
          <w:rPr>
            <w:rFonts w:hint="eastAsia" w:ascii="仿宋_GB2312" w:hAnsi="仿宋_GB2312" w:eastAsia="仿宋_GB2312" w:cs="仿宋_GB2312"/>
            <w:color w:val="auto"/>
            <w:kern w:val="0"/>
            <w:sz w:val="32"/>
            <w:szCs w:val="32"/>
            <w:lang w:val="en-US" w:eastAsia="zh-CN"/>
          </w:rPr>
          <w:t>即划分为减轻处罚、从轻处罚、一般处罚、从重处罚等裁量等级。</w:t>
        </w:r>
      </w:ins>
    </w:p>
    <w:p w14:paraId="65CA6229">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ins w:id="255" w:author="LV" w:date="2026-07-27T15:33:54Z"/>
          <w:rFonts w:hint="eastAsia" w:ascii="仿宋_GB2312" w:hAnsi="仿宋_GB2312" w:eastAsia="仿宋_GB2312" w:cs="仿宋_GB2312"/>
          <w:color w:val="auto"/>
          <w:kern w:val="0"/>
          <w:sz w:val="32"/>
          <w:szCs w:val="32"/>
        </w:rPr>
      </w:pPr>
      <w:ins w:id="256" w:author="LV" w:date="2026-07-27T15:33:54Z">
        <w:r>
          <w:rPr>
            <w:rFonts w:hint="eastAsia" w:ascii="仿宋_GB2312" w:hAnsi="仿宋_GB2312" w:eastAsia="仿宋_GB2312" w:cs="仿宋_GB2312"/>
            <w:color w:val="auto"/>
            <w:kern w:val="0"/>
            <w:sz w:val="32"/>
            <w:szCs w:val="32"/>
          </w:rPr>
          <w:t>减轻处罚是指在法律、法规、规章规定的处罚幅度最低限以下，对当事人适用的行政处罚,包括在违法行为应当受到的一种或者几种处罚种类之外选择更轻的处罚种类，或者在应当并处时不并处，也包括在法定最低罚款限值以下确定罚款数额。</w:t>
        </w:r>
      </w:ins>
    </w:p>
    <w:p w14:paraId="26141C43">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ins w:id="257" w:author="LV" w:date="2026-07-27T15:33:54Z"/>
          <w:rFonts w:hint="eastAsia" w:ascii="仿宋_GB2312" w:hAnsi="仿宋_GB2312" w:eastAsia="仿宋_GB2312" w:cs="仿宋_GB2312"/>
          <w:color w:val="auto"/>
          <w:kern w:val="0"/>
          <w:sz w:val="32"/>
          <w:szCs w:val="32"/>
        </w:rPr>
      </w:pPr>
      <w:ins w:id="258" w:author="LV" w:date="2026-07-27T15:33:54Z">
        <w:r>
          <w:rPr>
            <w:rFonts w:hint="eastAsia" w:ascii="仿宋_GB2312" w:hAnsi="仿宋_GB2312" w:eastAsia="仿宋_GB2312" w:cs="仿宋_GB2312"/>
            <w:color w:val="auto"/>
            <w:kern w:val="0"/>
            <w:sz w:val="32"/>
            <w:szCs w:val="32"/>
          </w:rPr>
          <w:t>从轻处罚是指在法律、法规、规章规定的处罚种类和处罚幅度内，对当事人在几种可能的处罚种类内选择较轻的处罚方式，或者在一种处罚种类中法定幅度内选择较低限至中限进行处罚。</w:t>
        </w:r>
      </w:ins>
    </w:p>
    <w:p w14:paraId="64C58759">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ins w:id="259" w:author="LV" w:date="2026-07-27T15:33:54Z"/>
          <w:rFonts w:hint="eastAsia" w:ascii="仿宋_GB2312" w:hAnsi="仿宋_GB2312" w:eastAsia="仿宋_GB2312" w:cs="仿宋_GB2312"/>
          <w:color w:val="auto"/>
          <w:kern w:val="0"/>
          <w:sz w:val="32"/>
          <w:szCs w:val="32"/>
        </w:rPr>
      </w:pPr>
      <w:ins w:id="260" w:author="LV" w:date="2026-07-27T15:33:54Z">
        <w:r>
          <w:rPr>
            <w:rFonts w:hint="eastAsia" w:ascii="仿宋_GB2312" w:hAnsi="仿宋_GB2312" w:eastAsia="仿宋_GB2312" w:cs="仿宋_GB2312"/>
            <w:color w:val="auto"/>
            <w:kern w:val="0"/>
            <w:sz w:val="32"/>
            <w:szCs w:val="32"/>
          </w:rPr>
          <w:t>从重处罚是指在一种处罚种类中法定幅度内选择中限至高限进行处罚。</w:t>
        </w:r>
      </w:ins>
    </w:p>
    <w:p w14:paraId="286ACFC6">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ins w:id="261" w:author="LV" w:date="2026-07-27T15:33:54Z"/>
          <w:rFonts w:ascii="仿宋_GB2312" w:hAnsi="仿宋_GB2312" w:eastAsia="仿宋_GB2312" w:cs="仿宋_GB2312"/>
          <w:color w:val="auto"/>
          <w:kern w:val="0"/>
          <w:sz w:val="32"/>
          <w:szCs w:val="32"/>
        </w:rPr>
      </w:pPr>
      <w:ins w:id="262" w:author="LV" w:date="2026-07-27T15:33:54Z">
        <w:r>
          <w:rPr>
            <w:rFonts w:hint="eastAsia" w:ascii="黑体" w:hAnsi="黑体" w:eastAsia="黑体" w:cs="黑体"/>
            <w:color w:val="auto"/>
            <w:kern w:val="0"/>
            <w:sz w:val="32"/>
            <w:szCs w:val="32"/>
          </w:rPr>
          <w:t>第</w:t>
        </w:r>
      </w:ins>
      <w:ins w:id="263" w:author="LV" w:date="2026-07-27T15:33:54Z">
        <w:r>
          <w:rPr>
            <w:rFonts w:hint="eastAsia" w:ascii="黑体" w:hAnsi="黑体" w:eastAsia="黑体" w:cs="黑体"/>
            <w:color w:val="auto"/>
            <w:kern w:val="0"/>
            <w:sz w:val="32"/>
            <w:szCs w:val="32"/>
            <w:lang w:val="en-US" w:eastAsia="zh-CN"/>
          </w:rPr>
          <w:t>九</w:t>
        </w:r>
      </w:ins>
      <w:ins w:id="264" w:author="LV" w:date="2026-07-27T15:33:54Z">
        <w:r>
          <w:rPr>
            <w:rFonts w:hint="eastAsia" w:ascii="黑体" w:hAnsi="黑体" w:eastAsia="黑体" w:cs="黑体"/>
            <w:color w:val="auto"/>
            <w:kern w:val="0"/>
            <w:sz w:val="32"/>
            <w:szCs w:val="32"/>
          </w:rPr>
          <w:t>条</w:t>
        </w:r>
      </w:ins>
      <w:ins w:id="265" w:author="LV" w:date="2026-07-27T15:33:54Z">
        <w:r>
          <w:rPr>
            <w:rFonts w:hint="eastAsia" w:ascii="仿宋_GB2312" w:hAnsi="仿宋_GB2312" w:eastAsia="仿宋_GB2312" w:cs="仿宋_GB2312"/>
            <w:color w:val="auto"/>
            <w:kern w:val="0"/>
            <w:sz w:val="32"/>
            <w:szCs w:val="32"/>
          </w:rPr>
          <w:t xml:space="preserve">  当事人有下列情形之一，应当从轻或者减轻行政处罚：</w:t>
        </w:r>
      </w:ins>
    </w:p>
    <w:p w14:paraId="2A8DF541">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ins w:id="266" w:author="LV" w:date="2026-07-27T15:33:54Z"/>
          <w:rFonts w:hint="eastAsia" w:ascii="仿宋_GB2312" w:hAnsi="仿宋_GB2312" w:eastAsia="仿宋_GB2312" w:cs="仿宋_GB2312"/>
          <w:color w:val="auto"/>
          <w:kern w:val="0"/>
          <w:sz w:val="32"/>
          <w:szCs w:val="32"/>
        </w:rPr>
      </w:pPr>
      <w:ins w:id="267" w:author="LV" w:date="2026-07-27T15:33:54Z">
        <w:r>
          <w:rPr>
            <w:rFonts w:hint="eastAsia" w:ascii="仿宋_GB2312" w:hAnsi="仿宋_GB2312" w:eastAsia="仿宋_GB2312" w:cs="仿宋_GB2312"/>
            <w:color w:val="auto"/>
            <w:kern w:val="0"/>
            <w:sz w:val="32"/>
            <w:szCs w:val="32"/>
          </w:rPr>
          <w:t>（一）已满</w:t>
        </w:r>
      </w:ins>
      <w:ins w:id="268" w:author="LV" w:date="2026-07-27T15:33:54Z">
        <w:r>
          <w:rPr>
            <w:rFonts w:hint="eastAsia" w:ascii="仿宋_GB2312" w:hAnsi="仿宋_GB2312" w:eastAsia="仿宋_GB2312" w:cs="仿宋_GB2312"/>
            <w:color w:val="auto"/>
            <w:kern w:val="0"/>
            <w:sz w:val="32"/>
            <w:szCs w:val="32"/>
            <w:lang w:val="en-US" w:eastAsia="zh-CN"/>
          </w:rPr>
          <w:t>14</w:t>
        </w:r>
      </w:ins>
      <w:ins w:id="269" w:author="LV" w:date="2026-07-27T15:33:54Z">
        <w:r>
          <w:rPr>
            <w:rFonts w:hint="eastAsia" w:ascii="仿宋_GB2312" w:hAnsi="仿宋_GB2312" w:eastAsia="仿宋_GB2312" w:cs="仿宋_GB2312"/>
            <w:color w:val="auto"/>
            <w:kern w:val="0"/>
            <w:sz w:val="32"/>
            <w:szCs w:val="32"/>
          </w:rPr>
          <w:t>周岁不满</w:t>
        </w:r>
      </w:ins>
      <w:ins w:id="270" w:author="LV" w:date="2026-07-27T15:33:54Z">
        <w:r>
          <w:rPr>
            <w:rFonts w:hint="eastAsia" w:ascii="仿宋_GB2312" w:hAnsi="仿宋_GB2312" w:eastAsia="仿宋_GB2312" w:cs="仿宋_GB2312"/>
            <w:color w:val="auto"/>
            <w:kern w:val="0"/>
            <w:sz w:val="32"/>
            <w:szCs w:val="32"/>
            <w:lang w:val="en-US" w:eastAsia="zh-CN"/>
          </w:rPr>
          <w:t>18</w:t>
        </w:r>
      </w:ins>
      <w:ins w:id="271" w:author="LV" w:date="2026-07-27T15:33:54Z">
        <w:r>
          <w:rPr>
            <w:rFonts w:hint="eastAsia" w:ascii="仿宋_GB2312" w:hAnsi="仿宋_GB2312" w:eastAsia="仿宋_GB2312" w:cs="仿宋_GB2312"/>
            <w:color w:val="auto"/>
            <w:kern w:val="0"/>
            <w:sz w:val="32"/>
            <w:szCs w:val="32"/>
          </w:rPr>
          <w:t>周岁的未成年人</w:t>
        </w:r>
      </w:ins>
      <w:ins w:id="272" w:author="LV" w:date="2026-07-27T15:33:54Z">
        <w:r>
          <w:rPr>
            <w:rFonts w:hint="eastAsia" w:ascii="仿宋_GB2312" w:hAnsi="仿宋_GB2312" w:eastAsia="仿宋_GB2312" w:cs="仿宋_GB2312"/>
            <w:color w:val="auto"/>
            <w:kern w:val="0"/>
            <w:sz w:val="32"/>
            <w:szCs w:val="32"/>
            <w:lang w:eastAsia="zh-CN"/>
          </w:rPr>
          <w:t>有</w:t>
        </w:r>
      </w:ins>
      <w:ins w:id="273" w:author="LV" w:date="2026-07-27T15:33:54Z">
        <w:r>
          <w:rPr>
            <w:rFonts w:hint="eastAsia" w:ascii="仿宋_GB2312" w:hAnsi="仿宋_GB2312" w:eastAsia="仿宋_GB2312" w:cs="仿宋_GB2312"/>
            <w:color w:val="auto"/>
            <w:kern w:val="0"/>
            <w:sz w:val="32"/>
            <w:szCs w:val="32"/>
          </w:rPr>
          <w:t>违法行为</w:t>
        </w:r>
      </w:ins>
      <w:ins w:id="274" w:author="LV" w:date="2026-07-27T15:33:54Z">
        <w:r>
          <w:rPr>
            <w:rFonts w:hint="eastAsia" w:ascii="仿宋_GB2312" w:hAnsi="仿宋_GB2312" w:eastAsia="仿宋_GB2312" w:cs="仿宋_GB2312"/>
            <w:color w:val="auto"/>
            <w:kern w:val="0"/>
            <w:sz w:val="32"/>
            <w:szCs w:val="32"/>
            <w:lang w:eastAsia="zh-CN"/>
          </w:rPr>
          <w:t>的</w:t>
        </w:r>
      </w:ins>
      <w:ins w:id="275" w:author="LV" w:date="2026-07-27T15:33:54Z">
        <w:r>
          <w:rPr>
            <w:rFonts w:hint="eastAsia" w:ascii="仿宋_GB2312" w:hAnsi="仿宋_GB2312" w:eastAsia="仿宋_GB2312" w:cs="仿宋_GB2312"/>
            <w:color w:val="auto"/>
            <w:kern w:val="0"/>
            <w:sz w:val="32"/>
            <w:szCs w:val="32"/>
          </w:rPr>
          <w:t>；</w:t>
        </w:r>
      </w:ins>
    </w:p>
    <w:p w14:paraId="746ECF75">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ins w:id="276" w:author="LV" w:date="2026-07-27T15:33:54Z"/>
          <w:rFonts w:hint="eastAsia" w:ascii="仿宋_GB2312" w:hAnsi="仿宋_GB2312" w:eastAsia="仿宋_GB2312" w:cs="仿宋_GB2312"/>
          <w:color w:val="auto"/>
          <w:kern w:val="0"/>
          <w:sz w:val="32"/>
          <w:szCs w:val="32"/>
        </w:rPr>
      </w:pPr>
      <w:ins w:id="277" w:author="LV" w:date="2026-07-27T15:33:54Z">
        <w:r>
          <w:rPr>
            <w:rFonts w:hint="eastAsia" w:ascii="仿宋_GB2312" w:hAnsi="仿宋_GB2312" w:eastAsia="仿宋_GB2312" w:cs="仿宋_GB2312"/>
            <w:color w:val="auto"/>
            <w:kern w:val="0"/>
            <w:sz w:val="32"/>
            <w:szCs w:val="32"/>
          </w:rPr>
          <w:t>（二）主动消除或者减轻违法行为危害后果</w:t>
        </w:r>
      </w:ins>
      <w:ins w:id="278" w:author="LV" w:date="2026-07-27T15:33:54Z">
        <w:r>
          <w:rPr>
            <w:rFonts w:hint="eastAsia" w:ascii="仿宋_GB2312" w:hAnsi="仿宋_GB2312" w:eastAsia="仿宋_GB2312" w:cs="仿宋_GB2312"/>
            <w:color w:val="auto"/>
            <w:kern w:val="0"/>
            <w:sz w:val="32"/>
            <w:szCs w:val="32"/>
            <w:lang w:eastAsia="zh-CN"/>
          </w:rPr>
          <w:t>的</w:t>
        </w:r>
      </w:ins>
      <w:ins w:id="279" w:author="LV" w:date="2026-07-27T15:33:54Z">
        <w:r>
          <w:rPr>
            <w:rFonts w:hint="eastAsia" w:ascii="仿宋_GB2312" w:hAnsi="仿宋_GB2312" w:eastAsia="仿宋_GB2312" w:cs="仿宋_GB2312"/>
            <w:color w:val="auto"/>
            <w:kern w:val="0"/>
            <w:sz w:val="32"/>
            <w:szCs w:val="32"/>
          </w:rPr>
          <w:t>；</w:t>
        </w:r>
      </w:ins>
    </w:p>
    <w:p w14:paraId="4ABD1245">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ins w:id="280" w:author="LV" w:date="2026-07-27T15:33:54Z"/>
          <w:rFonts w:hint="eastAsia" w:ascii="仿宋_GB2312" w:hAnsi="仿宋_GB2312" w:eastAsia="仿宋_GB2312" w:cs="仿宋_GB2312"/>
          <w:color w:val="auto"/>
          <w:kern w:val="0"/>
          <w:sz w:val="32"/>
          <w:szCs w:val="32"/>
        </w:rPr>
      </w:pPr>
      <w:ins w:id="281" w:author="LV" w:date="2026-07-27T15:33:54Z">
        <w:r>
          <w:rPr>
            <w:rFonts w:hint="eastAsia" w:ascii="仿宋_GB2312" w:hAnsi="仿宋_GB2312" w:eastAsia="仿宋_GB2312" w:cs="仿宋_GB2312"/>
            <w:color w:val="auto"/>
            <w:kern w:val="0"/>
            <w:sz w:val="32"/>
            <w:szCs w:val="32"/>
          </w:rPr>
          <w:t>（三）受他人胁迫或者诱骗实施违法行为</w:t>
        </w:r>
      </w:ins>
      <w:ins w:id="282" w:author="LV" w:date="2026-07-27T15:33:54Z">
        <w:r>
          <w:rPr>
            <w:rFonts w:hint="eastAsia" w:ascii="仿宋_GB2312" w:hAnsi="仿宋_GB2312" w:eastAsia="仿宋_GB2312" w:cs="仿宋_GB2312"/>
            <w:color w:val="auto"/>
            <w:kern w:val="0"/>
            <w:sz w:val="32"/>
            <w:szCs w:val="32"/>
            <w:lang w:eastAsia="zh-CN"/>
          </w:rPr>
          <w:t>的</w:t>
        </w:r>
      </w:ins>
      <w:ins w:id="283" w:author="LV" w:date="2026-07-27T15:33:54Z">
        <w:r>
          <w:rPr>
            <w:rFonts w:hint="eastAsia" w:ascii="仿宋_GB2312" w:hAnsi="仿宋_GB2312" w:eastAsia="仿宋_GB2312" w:cs="仿宋_GB2312"/>
            <w:color w:val="auto"/>
            <w:kern w:val="0"/>
            <w:sz w:val="32"/>
            <w:szCs w:val="32"/>
          </w:rPr>
          <w:t>；</w:t>
        </w:r>
      </w:ins>
    </w:p>
    <w:p w14:paraId="6EA61FA4">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ins w:id="284" w:author="LV" w:date="2026-07-27T15:33:54Z"/>
          <w:rFonts w:hint="eastAsia" w:ascii="仿宋_GB2312" w:hAnsi="仿宋_GB2312" w:eastAsia="仿宋_GB2312" w:cs="仿宋_GB2312"/>
          <w:color w:val="auto"/>
          <w:kern w:val="0"/>
          <w:sz w:val="32"/>
          <w:szCs w:val="32"/>
        </w:rPr>
      </w:pPr>
      <w:ins w:id="285" w:author="LV" w:date="2026-07-27T15:33:54Z">
        <w:r>
          <w:rPr>
            <w:rFonts w:hint="eastAsia" w:ascii="仿宋_GB2312" w:hAnsi="仿宋_GB2312" w:eastAsia="仿宋_GB2312" w:cs="仿宋_GB2312"/>
            <w:color w:val="auto"/>
            <w:kern w:val="0"/>
            <w:sz w:val="32"/>
            <w:szCs w:val="32"/>
          </w:rPr>
          <w:t>（四）主动供述</w:t>
        </w:r>
      </w:ins>
      <w:ins w:id="286" w:author="LV" w:date="2026-07-27T15:33:54Z">
        <w:r>
          <w:rPr>
            <w:rFonts w:hint="eastAsia" w:ascii="仿宋_GB2312" w:hAnsi="仿宋_GB2312" w:eastAsia="仿宋_GB2312" w:cs="仿宋_GB2312"/>
            <w:color w:val="auto"/>
            <w:kern w:val="0"/>
            <w:sz w:val="32"/>
            <w:szCs w:val="32"/>
            <w:lang w:eastAsia="zh-CN"/>
          </w:rPr>
          <w:t>能源执法</w:t>
        </w:r>
      </w:ins>
      <w:ins w:id="287" w:author="LV" w:date="2026-07-27T15:33:54Z">
        <w:r>
          <w:rPr>
            <w:rFonts w:hint="eastAsia" w:ascii="仿宋_GB2312" w:hAnsi="仿宋_GB2312" w:eastAsia="仿宋_GB2312" w:cs="仿宋_GB2312"/>
            <w:color w:val="auto"/>
            <w:kern w:val="0"/>
            <w:sz w:val="32"/>
            <w:szCs w:val="32"/>
          </w:rPr>
          <w:t>机关尚未掌握的违法</w:t>
        </w:r>
      </w:ins>
      <w:ins w:id="288" w:author="LV" w:date="2026-07-27T15:33:54Z">
        <w:r>
          <w:rPr>
            <w:rFonts w:hint="eastAsia" w:ascii="仿宋_GB2312" w:hAnsi="仿宋_GB2312" w:eastAsia="仿宋_GB2312" w:cs="仿宋_GB2312"/>
            <w:color w:val="auto"/>
            <w:kern w:val="0"/>
            <w:sz w:val="32"/>
            <w:szCs w:val="32"/>
            <w:lang w:val="en-US" w:eastAsia="zh-CN"/>
          </w:rPr>
          <w:t>事实的</w:t>
        </w:r>
      </w:ins>
      <w:ins w:id="289" w:author="LV" w:date="2026-07-27T15:33:54Z">
        <w:r>
          <w:rPr>
            <w:rFonts w:hint="eastAsia" w:ascii="仿宋_GB2312" w:hAnsi="仿宋_GB2312" w:eastAsia="仿宋_GB2312" w:cs="仿宋_GB2312"/>
            <w:color w:val="auto"/>
            <w:kern w:val="0"/>
            <w:sz w:val="32"/>
            <w:szCs w:val="32"/>
          </w:rPr>
          <w:t>；</w:t>
        </w:r>
      </w:ins>
    </w:p>
    <w:p w14:paraId="240022C9">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ins w:id="290" w:author="LV" w:date="2026-07-27T15:33:54Z"/>
          <w:rFonts w:hint="eastAsia" w:ascii="仿宋_GB2312" w:hAnsi="仿宋_GB2312" w:eastAsia="仿宋_GB2312" w:cs="仿宋_GB2312"/>
          <w:color w:val="auto"/>
          <w:kern w:val="0"/>
          <w:sz w:val="32"/>
          <w:szCs w:val="32"/>
        </w:rPr>
      </w:pPr>
      <w:ins w:id="291" w:author="LV" w:date="2026-07-27T15:33:54Z">
        <w:r>
          <w:rPr>
            <w:rFonts w:hint="eastAsia" w:ascii="仿宋_GB2312" w:hAnsi="仿宋_GB2312" w:eastAsia="仿宋_GB2312" w:cs="仿宋_GB2312"/>
            <w:color w:val="auto"/>
            <w:kern w:val="0"/>
            <w:sz w:val="32"/>
            <w:szCs w:val="32"/>
          </w:rPr>
          <w:t>（五）配合能源执法机关查处违法行为有立功表现</w:t>
        </w:r>
      </w:ins>
      <w:ins w:id="292" w:author="LV" w:date="2026-07-27T15:33:54Z">
        <w:r>
          <w:rPr>
            <w:rFonts w:hint="eastAsia" w:ascii="仿宋_GB2312" w:hAnsi="仿宋_GB2312" w:eastAsia="仿宋_GB2312" w:cs="仿宋_GB2312"/>
            <w:color w:val="auto"/>
            <w:kern w:val="0"/>
            <w:sz w:val="32"/>
            <w:szCs w:val="32"/>
            <w:lang w:eastAsia="zh-CN"/>
          </w:rPr>
          <w:t>的</w:t>
        </w:r>
      </w:ins>
      <w:ins w:id="293" w:author="LV" w:date="2026-07-27T15:33:54Z">
        <w:r>
          <w:rPr>
            <w:rFonts w:hint="eastAsia" w:ascii="仿宋_GB2312" w:hAnsi="仿宋_GB2312" w:eastAsia="仿宋_GB2312" w:cs="仿宋_GB2312"/>
            <w:color w:val="auto"/>
            <w:kern w:val="0"/>
            <w:sz w:val="32"/>
            <w:szCs w:val="32"/>
          </w:rPr>
          <w:t>；</w:t>
        </w:r>
      </w:ins>
    </w:p>
    <w:p w14:paraId="62AA6798">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ins w:id="294" w:author="LV" w:date="2026-07-27T15:33:54Z"/>
          <w:rFonts w:hint="eastAsia" w:ascii="仿宋_GB2312" w:hAnsi="仿宋_GB2312" w:eastAsia="仿宋_GB2312" w:cs="仿宋_GB2312"/>
          <w:color w:val="auto"/>
          <w:kern w:val="0"/>
          <w:sz w:val="32"/>
          <w:szCs w:val="32"/>
        </w:rPr>
      </w:pPr>
      <w:ins w:id="295" w:author="LV" w:date="2026-07-27T15:33:54Z">
        <w:r>
          <w:rPr>
            <w:rFonts w:hint="eastAsia" w:ascii="仿宋_GB2312" w:hAnsi="仿宋_GB2312" w:eastAsia="仿宋_GB2312" w:cs="仿宋_GB2312"/>
            <w:color w:val="auto"/>
            <w:kern w:val="0"/>
            <w:sz w:val="32"/>
            <w:szCs w:val="32"/>
          </w:rPr>
          <w:t>（六）</w:t>
        </w:r>
      </w:ins>
      <w:ins w:id="296" w:author="LV" w:date="2026-07-27T15:33:54Z">
        <w:r>
          <w:rPr>
            <w:rFonts w:hint="eastAsia" w:ascii="仿宋_GB2312" w:hAnsi="仿宋_GB2312" w:eastAsia="仿宋_GB2312" w:cs="仿宋_GB2312"/>
            <w:color w:val="auto"/>
            <w:kern w:val="0"/>
            <w:sz w:val="32"/>
            <w:szCs w:val="32"/>
            <w:lang w:val="en-US" w:eastAsia="zh-CN"/>
          </w:rPr>
          <w:t>其他依法</w:t>
        </w:r>
      </w:ins>
      <w:ins w:id="297" w:author="LV" w:date="2026-07-27T15:33:54Z">
        <w:r>
          <w:rPr>
            <w:rFonts w:hint="eastAsia" w:ascii="仿宋_GB2312" w:hAnsi="仿宋_GB2312" w:eastAsia="仿宋_GB2312" w:cs="仿宋_GB2312"/>
            <w:color w:val="auto"/>
            <w:kern w:val="0"/>
            <w:sz w:val="32"/>
            <w:szCs w:val="32"/>
          </w:rPr>
          <w:t>应当从轻</w:t>
        </w:r>
      </w:ins>
      <w:ins w:id="298" w:author="LV" w:date="2026-07-27T15:33:54Z">
        <w:r>
          <w:rPr>
            <w:rFonts w:hint="eastAsia" w:ascii="仿宋_GB2312" w:hAnsi="仿宋_GB2312" w:eastAsia="仿宋_GB2312" w:cs="仿宋_GB2312"/>
            <w:color w:val="auto"/>
            <w:kern w:val="0"/>
            <w:sz w:val="32"/>
            <w:szCs w:val="32"/>
            <w:lang w:val="en-US" w:eastAsia="zh-CN"/>
          </w:rPr>
          <w:t>或者</w:t>
        </w:r>
      </w:ins>
      <w:ins w:id="299" w:author="LV" w:date="2026-07-27T15:33:54Z">
        <w:r>
          <w:rPr>
            <w:rFonts w:hint="eastAsia" w:ascii="仿宋_GB2312" w:hAnsi="仿宋_GB2312" w:eastAsia="仿宋_GB2312" w:cs="仿宋_GB2312"/>
            <w:color w:val="auto"/>
            <w:kern w:val="0"/>
            <w:sz w:val="32"/>
            <w:szCs w:val="32"/>
          </w:rPr>
          <w:t>减轻处罚</w:t>
        </w:r>
      </w:ins>
      <w:ins w:id="300" w:author="LV" w:date="2026-07-27T15:33:54Z">
        <w:r>
          <w:rPr>
            <w:rFonts w:hint="eastAsia" w:ascii="仿宋_GB2312" w:hAnsi="仿宋_GB2312" w:eastAsia="仿宋_GB2312" w:cs="仿宋_GB2312"/>
            <w:color w:val="auto"/>
            <w:kern w:val="0"/>
            <w:sz w:val="32"/>
            <w:szCs w:val="32"/>
            <w:lang w:eastAsia="zh-CN"/>
          </w:rPr>
          <w:t>的</w:t>
        </w:r>
      </w:ins>
      <w:ins w:id="301" w:author="LV" w:date="2026-07-27T15:33:54Z">
        <w:r>
          <w:rPr>
            <w:rFonts w:hint="eastAsia" w:ascii="仿宋_GB2312" w:hAnsi="仿宋_GB2312" w:eastAsia="仿宋_GB2312" w:cs="仿宋_GB2312"/>
            <w:color w:val="auto"/>
            <w:kern w:val="0"/>
            <w:sz w:val="32"/>
            <w:szCs w:val="32"/>
          </w:rPr>
          <w:t>。</w:t>
        </w:r>
      </w:ins>
    </w:p>
    <w:p w14:paraId="0B4CCDEE">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ins w:id="302" w:author="LV" w:date="2026-07-27T15:33:54Z"/>
          <w:rFonts w:hint="eastAsia" w:ascii="仿宋_GB2312" w:hAnsi="仿宋_GB2312" w:eastAsia="仿宋_GB2312" w:cs="仿宋_GB2312"/>
          <w:color w:val="auto"/>
          <w:kern w:val="0"/>
          <w:sz w:val="32"/>
          <w:szCs w:val="32"/>
        </w:rPr>
      </w:pPr>
      <w:ins w:id="303" w:author="LV" w:date="2026-07-27T15:33:54Z">
        <w:r>
          <w:rPr>
            <w:rFonts w:hint="eastAsia" w:ascii="黑体" w:hAnsi="黑体" w:eastAsia="黑体" w:cs="黑体"/>
            <w:b w:val="0"/>
            <w:bCs w:val="0"/>
            <w:color w:val="auto"/>
            <w:kern w:val="0"/>
            <w:sz w:val="32"/>
            <w:szCs w:val="32"/>
          </w:rPr>
          <w:t>第</w:t>
        </w:r>
      </w:ins>
      <w:ins w:id="304" w:author="LV" w:date="2026-07-27T15:33:54Z">
        <w:r>
          <w:rPr>
            <w:rFonts w:hint="eastAsia" w:ascii="黑体" w:hAnsi="黑体" w:eastAsia="黑体" w:cs="黑体"/>
            <w:b w:val="0"/>
            <w:bCs w:val="0"/>
            <w:color w:val="auto"/>
            <w:kern w:val="0"/>
            <w:sz w:val="32"/>
            <w:szCs w:val="32"/>
            <w:lang w:val="en-US" w:eastAsia="zh-CN"/>
          </w:rPr>
          <w:t>十</w:t>
        </w:r>
      </w:ins>
      <w:ins w:id="305" w:author="LV" w:date="2026-07-27T15:33:54Z">
        <w:r>
          <w:rPr>
            <w:rFonts w:hint="eastAsia" w:ascii="黑体" w:hAnsi="黑体" w:eastAsia="黑体" w:cs="黑体"/>
            <w:b w:val="0"/>
            <w:bCs w:val="0"/>
            <w:color w:val="auto"/>
            <w:kern w:val="0"/>
            <w:sz w:val="32"/>
            <w:szCs w:val="32"/>
          </w:rPr>
          <w:t>条</w:t>
        </w:r>
      </w:ins>
      <w:ins w:id="306" w:author="LV" w:date="2026-07-27T15:33:54Z">
        <w:r>
          <w:rPr>
            <w:rFonts w:hint="eastAsia" w:ascii="仿宋_GB2312" w:hAnsi="仿宋_GB2312" w:eastAsia="仿宋_GB2312" w:cs="仿宋_GB2312"/>
            <w:color w:val="auto"/>
            <w:kern w:val="0"/>
            <w:sz w:val="32"/>
            <w:szCs w:val="32"/>
          </w:rPr>
          <w:t xml:space="preserve">  当事人有下列情形之一的，应当依法从重处罚：</w:t>
        </w:r>
      </w:ins>
    </w:p>
    <w:p w14:paraId="635BCB85">
      <w:pPr>
        <w:keepNext w:val="0"/>
        <w:keepLines w:val="0"/>
        <w:widowControl w:val="0"/>
        <w:suppressLineNumbers w:val="0"/>
        <w:pBdr>
          <w:top w:val="none" w:color="auto" w:sz="0" w:space="0"/>
          <w:left w:val="none" w:color="auto" w:sz="0" w:space="0"/>
          <w:bottom w:val="none" w:color="auto" w:sz="0" w:space="0"/>
          <w:right w:val="none" w:color="auto" w:sz="0" w:space="0"/>
        </w:pBdr>
        <w:overflowPunct w:val="0"/>
        <w:adjustRightInd w:val="0"/>
        <w:snapToGrid w:val="0"/>
        <w:spacing w:before="0" w:beforeAutospacing="0" w:after="0" w:afterAutospacing="0" w:line="560" w:lineRule="exact"/>
        <w:ind w:left="0" w:right="0" w:firstLine="640" w:firstLineChars="200"/>
        <w:jc w:val="both"/>
        <w:rPr>
          <w:ins w:id="307" w:author="LV" w:date="2026-07-27T15:33:54Z"/>
          <w:rFonts w:hint="eastAsia" w:ascii="仿宋_GB2312" w:hAnsi="仿宋_GB2312" w:eastAsia="仿宋_GB2312" w:cs="仿宋_GB2312"/>
          <w:color w:val="auto"/>
          <w:kern w:val="0"/>
          <w:sz w:val="32"/>
          <w:szCs w:val="32"/>
          <w:lang w:val="en-US" w:eastAsia="zh-CN" w:bidi="ar"/>
        </w:rPr>
      </w:pPr>
      <w:ins w:id="308" w:author="LV" w:date="2026-07-27T15:33:54Z">
        <w:r>
          <w:rPr>
            <w:rFonts w:hint="eastAsia" w:ascii="仿宋_GB2312" w:hAnsi="仿宋_GB2312" w:eastAsia="仿宋_GB2312" w:cs="仿宋_GB2312"/>
            <w:color w:val="auto"/>
            <w:kern w:val="0"/>
            <w:sz w:val="32"/>
            <w:szCs w:val="32"/>
            <w:lang w:val="en-US" w:eastAsia="zh-CN" w:bidi="ar"/>
          </w:rPr>
          <w:t>（一）因同一违法行为受过刑事处罚，或者一年内因同种违法行为受过行政处罚的；</w:t>
        </w:r>
      </w:ins>
    </w:p>
    <w:p w14:paraId="315A8E90">
      <w:pPr>
        <w:keepNext w:val="0"/>
        <w:keepLines w:val="0"/>
        <w:widowControl w:val="0"/>
        <w:suppressLineNumbers w:val="0"/>
        <w:pBdr>
          <w:top w:val="none" w:color="auto" w:sz="0" w:space="0"/>
          <w:left w:val="none" w:color="auto" w:sz="0" w:space="0"/>
          <w:bottom w:val="none" w:color="auto" w:sz="0" w:space="0"/>
          <w:right w:val="none" w:color="auto" w:sz="0" w:space="0"/>
        </w:pBdr>
        <w:overflowPunct w:val="0"/>
        <w:adjustRightInd w:val="0"/>
        <w:snapToGrid w:val="0"/>
        <w:spacing w:before="0" w:beforeAutospacing="0" w:after="0" w:afterAutospacing="0" w:line="560" w:lineRule="exact"/>
        <w:ind w:left="0" w:right="0" w:firstLine="640" w:firstLineChars="200"/>
        <w:jc w:val="both"/>
        <w:rPr>
          <w:ins w:id="309" w:author="LV" w:date="2026-07-27T15:33:54Z"/>
          <w:rFonts w:hint="eastAsia" w:ascii="仿宋_GB2312" w:hAnsi="仿宋_GB2312" w:eastAsia="仿宋_GB2312" w:cs="仿宋_GB2312"/>
          <w:color w:val="auto"/>
          <w:kern w:val="0"/>
          <w:sz w:val="32"/>
          <w:szCs w:val="32"/>
          <w:lang w:val="en-US" w:eastAsia="zh-CN" w:bidi="ar"/>
        </w:rPr>
      </w:pPr>
      <w:ins w:id="310" w:author="LV" w:date="2026-07-27T15:33:54Z">
        <w:r>
          <w:rPr>
            <w:rFonts w:hint="eastAsia" w:ascii="仿宋_GB2312" w:hAnsi="仿宋_GB2312" w:eastAsia="仿宋_GB2312" w:cs="仿宋_GB2312"/>
            <w:color w:val="auto"/>
            <w:kern w:val="0"/>
            <w:sz w:val="32"/>
            <w:szCs w:val="32"/>
            <w:lang w:val="en-US" w:eastAsia="zh-CN" w:bidi="ar"/>
          </w:rPr>
          <w:t xml:space="preserve">（二）违法情节恶劣，造成较大不良影响或者严重后果的； </w:t>
        </w:r>
      </w:ins>
    </w:p>
    <w:p w14:paraId="7786CBA1">
      <w:pPr>
        <w:keepNext w:val="0"/>
        <w:keepLines w:val="0"/>
        <w:widowControl w:val="0"/>
        <w:suppressLineNumbers w:val="0"/>
        <w:pBdr>
          <w:top w:val="none" w:color="auto" w:sz="0" w:space="0"/>
          <w:left w:val="none" w:color="auto" w:sz="0" w:space="0"/>
          <w:bottom w:val="none" w:color="auto" w:sz="0" w:space="0"/>
          <w:right w:val="none" w:color="auto" w:sz="0" w:space="0"/>
        </w:pBdr>
        <w:overflowPunct w:val="0"/>
        <w:adjustRightInd w:val="0"/>
        <w:snapToGrid w:val="0"/>
        <w:spacing w:before="0" w:beforeAutospacing="0" w:after="0" w:afterAutospacing="0" w:line="560" w:lineRule="exact"/>
        <w:ind w:left="0" w:right="0" w:firstLine="640" w:firstLineChars="200"/>
        <w:jc w:val="both"/>
        <w:rPr>
          <w:ins w:id="311" w:author="LV" w:date="2026-07-27T15:33:54Z"/>
          <w:rFonts w:hint="eastAsia" w:ascii="仿宋_GB2312" w:hAnsi="仿宋_GB2312" w:eastAsia="仿宋_GB2312" w:cs="仿宋_GB2312"/>
          <w:color w:val="auto"/>
          <w:kern w:val="0"/>
          <w:sz w:val="32"/>
          <w:szCs w:val="32"/>
          <w:lang w:val="en-US" w:eastAsia="zh-CN" w:bidi="ar"/>
        </w:rPr>
      </w:pPr>
      <w:ins w:id="312" w:author="LV" w:date="2026-07-27T15:33:54Z">
        <w:r>
          <w:rPr>
            <w:rFonts w:hint="eastAsia" w:ascii="仿宋_GB2312" w:hAnsi="仿宋_GB2312" w:eastAsia="仿宋_GB2312" w:cs="仿宋_GB2312"/>
            <w:color w:val="auto"/>
            <w:kern w:val="0"/>
            <w:sz w:val="32"/>
            <w:szCs w:val="32"/>
            <w:lang w:val="en-US" w:eastAsia="zh-CN" w:bidi="ar"/>
          </w:rPr>
          <w:t>（三）违法行为案值较大或者违法所得数额较大的；</w:t>
        </w:r>
      </w:ins>
    </w:p>
    <w:p w14:paraId="605BAE99">
      <w:pPr>
        <w:keepNext w:val="0"/>
        <w:keepLines w:val="0"/>
        <w:widowControl w:val="0"/>
        <w:suppressLineNumbers w:val="0"/>
        <w:pBdr>
          <w:top w:val="none" w:color="auto" w:sz="0" w:space="0"/>
          <w:left w:val="none" w:color="auto" w:sz="0" w:space="0"/>
          <w:bottom w:val="none" w:color="auto" w:sz="0" w:space="0"/>
          <w:right w:val="none" w:color="auto" w:sz="0" w:space="0"/>
        </w:pBdr>
        <w:overflowPunct w:val="0"/>
        <w:adjustRightInd w:val="0"/>
        <w:snapToGrid w:val="0"/>
        <w:spacing w:before="0" w:beforeAutospacing="0" w:after="0" w:afterAutospacing="0" w:line="560" w:lineRule="exact"/>
        <w:ind w:left="0" w:right="0" w:firstLine="640" w:firstLineChars="200"/>
        <w:jc w:val="both"/>
        <w:rPr>
          <w:ins w:id="313" w:author="LV" w:date="2026-07-27T15:33:54Z"/>
          <w:rFonts w:hint="eastAsia" w:ascii="仿宋_GB2312" w:hAnsi="仿宋_GB2312" w:eastAsia="仿宋_GB2312" w:cs="仿宋_GB2312"/>
          <w:color w:val="auto"/>
          <w:kern w:val="0"/>
          <w:sz w:val="32"/>
          <w:szCs w:val="32"/>
          <w:lang w:val="en-US" w:eastAsia="zh-CN" w:bidi="ar"/>
        </w:rPr>
      </w:pPr>
      <w:ins w:id="314" w:author="LV" w:date="2026-07-27T15:33:54Z">
        <w:r>
          <w:rPr>
            <w:rFonts w:hint="eastAsia" w:ascii="仿宋_GB2312" w:hAnsi="仿宋_GB2312" w:eastAsia="仿宋_GB2312" w:cs="仿宋_GB2312"/>
            <w:color w:val="auto"/>
            <w:kern w:val="0"/>
            <w:sz w:val="32"/>
            <w:szCs w:val="32"/>
            <w:lang w:val="en-US" w:eastAsia="zh-CN" w:bidi="ar"/>
          </w:rPr>
          <w:t>（四）经责令停止、责令改正违法行为后，继续实施违法行为的；</w:t>
        </w:r>
      </w:ins>
    </w:p>
    <w:p w14:paraId="53219289">
      <w:pPr>
        <w:keepNext w:val="0"/>
        <w:keepLines w:val="0"/>
        <w:widowControl w:val="0"/>
        <w:suppressLineNumbers w:val="0"/>
        <w:pBdr>
          <w:top w:val="none" w:color="auto" w:sz="0" w:space="0"/>
          <w:left w:val="none" w:color="auto" w:sz="0" w:space="0"/>
          <w:bottom w:val="none" w:color="auto" w:sz="0" w:space="0"/>
          <w:right w:val="none" w:color="auto" w:sz="0" w:space="0"/>
        </w:pBdr>
        <w:overflowPunct w:val="0"/>
        <w:adjustRightInd w:val="0"/>
        <w:snapToGrid w:val="0"/>
        <w:spacing w:before="0" w:beforeAutospacing="0" w:after="0" w:afterAutospacing="0" w:line="560" w:lineRule="exact"/>
        <w:ind w:left="0" w:right="0" w:firstLine="640" w:firstLineChars="200"/>
        <w:jc w:val="both"/>
        <w:rPr>
          <w:ins w:id="315" w:author="LV" w:date="2026-07-27T15:33:54Z"/>
          <w:rFonts w:hint="eastAsia" w:ascii="仿宋_GB2312" w:hAnsi="仿宋_GB2312" w:eastAsia="仿宋_GB2312" w:cs="仿宋_GB2312"/>
          <w:color w:val="auto"/>
          <w:kern w:val="0"/>
          <w:sz w:val="32"/>
          <w:szCs w:val="32"/>
          <w:lang w:val="en-US" w:eastAsia="zh-CN" w:bidi="ar"/>
        </w:rPr>
      </w:pPr>
      <w:ins w:id="316" w:author="LV" w:date="2026-07-27T15:33:54Z">
        <w:r>
          <w:rPr>
            <w:rFonts w:hint="eastAsia" w:ascii="仿宋_GB2312" w:hAnsi="仿宋_GB2312" w:eastAsia="仿宋_GB2312" w:cs="仿宋_GB2312"/>
            <w:color w:val="auto"/>
            <w:kern w:val="0"/>
            <w:sz w:val="32"/>
            <w:szCs w:val="32"/>
            <w:lang w:val="en-US" w:eastAsia="zh-CN" w:bidi="ar"/>
          </w:rPr>
          <w:t>（五）伪造、变造、隐匿、销毁违法行为证据的；</w:t>
        </w:r>
      </w:ins>
    </w:p>
    <w:p w14:paraId="762B08FB">
      <w:pPr>
        <w:keepNext w:val="0"/>
        <w:keepLines w:val="0"/>
        <w:widowControl w:val="0"/>
        <w:suppressLineNumbers w:val="0"/>
        <w:pBdr>
          <w:top w:val="none" w:color="auto" w:sz="0" w:space="0"/>
          <w:left w:val="none" w:color="auto" w:sz="0" w:space="0"/>
          <w:bottom w:val="none" w:color="auto" w:sz="0" w:space="0"/>
          <w:right w:val="none" w:color="auto" w:sz="0" w:space="0"/>
        </w:pBdr>
        <w:overflowPunct w:val="0"/>
        <w:adjustRightInd w:val="0"/>
        <w:snapToGrid w:val="0"/>
        <w:spacing w:before="0" w:beforeAutospacing="0" w:after="0" w:afterAutospacing="0" w:line="560" w:lineRule="exact"/>
        <w:ind w:left="0" w:right="0" w:firstLine="640" w:firstLineChars="200"/>
        <w:jc w:val="both"/>
        <w:rPr>
          <w:ins w:id="317" w:author="LV" w:date="2026-07-27T15:33:54Z"/>
          <w:rFonts w:hint="eastAsia" w:ascii="仿宋_GB2312" w:hAnsi="仿宋_GB2312" w:eastAsia="仿宋_GB2312" w:cs="仿宋_GB2312"/>
          <w:color w:val="auto"/>
          <w:kern w:val="0"/>
          <w:sz w:val="32"/>
          <w:szCs w:val="32"/>
          <w:lang w:val="en-US" w:eastAsia="zh-CN" w:bidi="ar"/>
        </w:rPr>
      </w:pPr>
      <w:ins w:id="318" w:author="LV" w:date="2026-07-27T15:33:54Z">
        <w:r>
          <w:rPr>
            <w:rFonts w:hint="eastAsia" w:ascii="仿宋_GB2312" w:hAnsi="仿宋_GB2312" w:eastAsia="仿宋_GB2312" w:cs="仿宋_GB2312"/>
            <w:color w:val="auto"/>
            <w:kern w:val="0"/>
            <w:sz w:val="32"/>
            <w:szCs w:val="32"/>
            <w:lang w:val="en-US" w:eastAsia="zh-CN" w:bidi="ar"/>
          </w:rPr>
          <w:t>（六）在共同违法行为中起主要作用，或者教唆、胁迫、诱骗他人实施违法行为的；</w:t>
        </w:r>
      </w:ins>
    </w:p>
    <w:p w14:paraId="7D3BA183">
      <w:pPr>
        <w:keepNext w:val="0"/>
        <w:keepLines w:val="0"/>
        <w:widowControl w:val="0"/>
        <w:suppressLineNumbers w:val="0"/>
        <w:pBdr>
          <w:top w:val="none" w:color="auto" w:sz="0" w:space="0"/>
          <w:left w:val="none" w:color="auto" w:sz="0" w:space="0"/>
          <w:bottom w:val="none" w:color="auto" w:sz="0" w:space="0"/>
          <w:right w:val="none" w:color="auto" w:sz="0" w:space="0"/>
        </w:pBdr>
        <w:overflowPunct w:val="0"/>
        <w:adjustRightInd w:val="0"/>
        <w:snapToGrid w:val="0"/>
        <w:spacing w:before="0" w:beforeAutospacing="0" w:after="0" w:afterAutospacing="0" w:line="560" w:lineRule="exact"/>
        <w:ind w:left="0" w:right="0" w:firstLine="640" w:firstLineChars="200"/>
        <w:jc w:val="both"/>
        <w:rPr>
          <w:ins w:id="319" w:author="LV" w:date="2026-07-27T15:33:54Z"/>
          <w:rFonts w:hint="eastAsia" w:ascii="仿宋_GB2312" w:hAnsi="仿宋_GB2312" w:eastAsia="仿宋_GB2312" w:cs="仿宋_GB2312"/>
          <w:color w:val="auto"/>
          <w:kern w:val="0"/>
          <w:sz w:val="32"/>
          <w:szCs w:val="32"/>
          <w:lang w:val="en-US" w:eastAsia="zh-CN" w:bidi="ar"/>
        </w:rPr>
      </w:pPr>
      <w:ins w:id="320" w:author="LV" w:date="2026-07-27T15:33:54Z">
        <w:r>
          <w:rPr>
            <w:rFonts w:hint="eastAsia" w:ascii="仿宋_GB2312" w:hAnsi="仿宋_GB2312" w:eastAsia="仿宋_GB2312" w:cs="仿宋_GB2312"/>
            <w:color w:val="auto"/>
            <w:kern w:val="0"/>
            <w:sz w:val="32"/>
            <w:szCs w:val="32"/>
            <w:lang w:val="en-US" w:eastAsia="zh-CN" w:bidi="ar"/>
          </w:rPr>
          <w:t>（七）对举报人、证人、案件协办人员实施打击报复的；</w:t>
        </w:r>
      </w:ins>
    </w:p>
    <w:p w14:paraId="38E60E8A">
      <w:pPr>
        <w:keepNext w:val="0"/>
        <w:keepLines w:val="0"/>
        <w:widowControl w:val="0"/>
        <w:suppressLineNumbers w:val="0"/>
        <w:pBdr>
          <w:top w:val="none" w:color="auto" w:sz="0" w:space="0"/>
          <w:left w:val="none" w:color="auto" w:sz="0" w:space="0"/>
          <w:bottom w:val="none" w:color="auto" w:sz="0" w:space="0"/>
          <w:right w:val="none" w:color="auto" w:sz="0" w:space="0"/>
        </w:pBdr>
        <w:overflowPunct w:val="0"/>
        <w:adjustRightInd w:val="0"/>
        <w:snapToGrid w:val="0"/>
        <w:spacing w:before="0" w:beforeAutospacing="0" w:after="0" w:afterAutospacing="0" w:line="560" w:lineRule="exact"/>
        <w:ind w:left="0" w:right="0" w:firstLine="640" w:firstLineChars="200"/>
        <w:jc w:val="both"/>
        <w:rPr>
          <w:ins w:id="321" w:author="LV" w:date="2026-07-27T15:33:54Z"/>
          <w:rFonts w:hint="eastAsia" w:ascii="仿宋_GB2312" w:hAnsi="仿宋_GB2312" w:eastAsia="仿宋_GB2312" w:cs="仿宋_GB2312"/>
          <w:color w:val="auto"/>
          <w:kern w:val="0"/>
          <w:sz w:val="32"/>
          <w:szCs w:val="32"/>
          <w:lang w:val="en-US" w:eastAsia="zh-CN" w:bidi="ar"/>
        </w:rPr>
      </w:pPr>
      <w:ins w:id="322" w:author="LV" w:date="2026-07-27T15:33:54Z">
        <w:r>
          <w:rPr>
            <w:rFonts w:hint="eastAsia" w:ascii="仿宋_GB2312" w:hAnsi="仿宋_GB2312" w:eastAsia="仿宋_GB2312" w:cs="仿宋_GB2312"/>
            <w:color w:val="auto"/>
            <w:kern w:val="0"/>
            <w:sz w:val="32"/>
            <w:szCs w:val="32"/>
            <w:lang w:val="en-US" w:eastAsia="zh-CN" w:bidi="ar"/>
          </w:rPr>
          <w:t>（八）以暴力、威胁、围堵等方式阻碍、抗拒执法检查、调查取证的；</w:t>
        </w:r>
      </w:ins>
    </w:p>
    <w:p w14:paraId="63334DEC">
      <w:pPr>
        <w:keepNext w:val="0"/>
        <w:keepLines w:val="0"/>
        <w:widowControl w:val="0"/>
        <w:suppressLineNumbers w:val="0"/>
        <w:pBdr>
          <w:top w:val="none" w:color="auto" w:sz="0" w:space="0"/>
          <w:left w:val="none" w:color="auto" w:sz="0" w:space="0"/>
          <w:bottom w:val="none" w:color="auto" w:sz="0" w:space="0"/>
          <w:right w:val="none" w:color="auto" w:sz="0" w:space="0"/>
        </w:pBdr>
        <w:overflowPunct w:val="0"/>
        <w:adjustRightInd w:val="0"/>
        <w:snapToGrid w:val="0"/>
        <w:spacing w:before="0" w:beforeAutospacing="0" w:after="0" w:afterAutospacing="0" w:line="560" w:lineRule="exact"/>
        <w:ind w:left="0" w:right="0" w:firstLine="640" w:firstLineChars="200"/>
        <w:jc w:val="both"/>
        <w:rPr>
          <w:ins w:id="323" w:author="LV" w:date="2026-07-27T15:33:54Z"/>
          <w:rFonts w:hint="eastAsia" w:ascii="仿宋_GB2312" w:hAnsi="仿宋_GB2312" w:eastAsia="仿宋_GB2312" w:cs="仿宋_GB2312"/>
          <w:color w:val="auto"/>
          <w:kern w:val="0"/>
          <w:sz w:val="32"/>
          <w:szCs w:val="32"/>
        </w:rPr>
      </w:pPr>
      <w:ins w:id="324" w:author="LV" w:date="2026-07-27T15:33:54Z">
        <w:r>
          <w:rPr>
            <w:rFonts w:hint="eastAsia" w:ascii="仿宋_GB2312" w:hAnsi="仿宋_GB2312" w:eastAsia="仿宋_GB2312" w:cs="仿宋_GB2312"/>
            <w:color w:val="auto"/>
            <w:kern w:val="0"/>
            <w:sz w:val="32"/>
            <w:szCs w:val="32"/>
            <w:lang w:val="en-US" w:eastAsia="zh-CN" w:bidi="ar"/>
          </w:rPr>
          <w:t>（九）其他依法应当从重行政处罚的情形。</w:t>
        </w:r>
      </w:ins>
    </w:p>
    <w:p w14:paraId="04610966">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ins w:id="325" w:author="LV" w:date="2026-07-27T15:33:54Z"/>
          <w:rFonts w:hint="eastAsia" w:ascii="仿宋_GB2312" w:hAnsi="仿宋_GB2312" w:eastAsia="仿宋_GB2312" w:cs="仿宋_GB2312"/>
          <w:color w:val="auto"/>
          <w:kern w:val="0"/>
          <w:sz w:val="32"/>
          <w:szCs w:val="32"/>
        </w:rPr>
      </w:pPr>
      <w:ins w:id="326" w:author="LV" w:date="2026-07-27T15:33:54Z">
        <w:r>
          <w:rPr>
            <w:rFonts w:hint="eastAsia" w:ascii="黑体" w:hAnsi="黑体" w:eastAsia="黑体" w:cs="黑体"/>
            <w:color w:val="auto"/>
            <w:kern w:val="0"/>
            <w:sz w:val="32"/>
            <w:szCs w:val="32"/>
          </w:rPr>
          <w:t>第十</w:t>
        </w:r>
      </w:ins>
      <w:ins w:id="327" w:author="LV" w:date="2026-07-27T15:33:54Z">
        <w:r>
          <w:rPr>
            <w:rFonts w:hint="eastAsia" w:ascii="黑体" w:hAnsi="黑体" w:eastAsia="黑体" w:cs="黑体"/>
            <w:color w:val="auto"/>
            <w:kern w:val="0"/>
            <w:sz w:val="32"/>
            <w:szCs w:val="32"/>
            <w:lang w:val="en-US" w:eastAsia="zh-CN"/>
          </w:rPr>
          <w:t>一</w:t>
        </w:r>
      </w:ins>
      <w:ins w:id="328" w:author="LV" w:date="2026-07-27T15:33:54Z">
        <w:r>
          <w:rPr>
            <w:rFonts w:hint="eastAsia" w:ascii="黑体" w:hAnsi="黑体" w:eastAsia="黑体" w:cs="黑体"/>
            <w:color w:val="auto"/>
            <w:kern w:val="0"/>
            <w:sz w:val="32"/>
            <w:szCs w:val="32"/>
          </w:rPr>
          <w:t>条</w:t>
        </w:r>
      </w:ins>
      <w:ins w:id="329" w:author="LV" w:date="2026-07-27T15:33:54Z">
        <w:r>
          <w:rPr>
            <w:rFonts w:hint="eastAsia" w:ascii="黑体" w:hAnsi="黑体" w:eastAsia="黑体" w:cs="黑体"/>
            <w:color w:val="auto"/>
            <w:kern w:val="0"/>
            <w:sz w:val="32"/>
            <w:szCs w:val="32"/>
            <w:lang w:val="en-US" w:eastAsia="zh-CN"/>
          </w:rPr>
          <w:t xml:space="preserve">  </w:t>
        </w:r>
      </w:ins>
      <w:ins w:id="330" w:author="LV" w:date="2026-07-27T15:33:54Z">
        <w:r>
          <w:rPr>
            <w:rFonts w:hint="eastAsia" w:ascii="仿宋_GB2312" w:hAnsi="仿宋_GB2312" w:eastAsia="仿宋_GB2312" w:cs="仿宋_GB2312"/>
            <w:color w:val="auto"/>
            <w:kern w:val="0"/>
            <w:sz w:val="32"/>
            <w:szCs w:val="32"/>
            <w:lang w:bidi="ar"/>
          </w:rPr>
          <w:t>当事人同时具有两个或者两个以上从重处罚情形，且</w:t>
        </w:r>
      </w:ins>
      <w:ins w:id="331" w:author="LV" w:date="2026-07-27T15:33:54Z">
        <w:r>
          <w:rPr>
            <w:rFonts w:hint="eastAsia" w:ascii="仿宋_GB2312" w:hAnsi="仿宋_GB2312" w:eastAsia="仿宋_GB2312" w:cs="仿宋_GB2312"/>
            <w:color w:val="auto"/>
            <w:kern w:val="0"/>
            <w:sz w:val="32"/>
            <w:szCs w:val="32"/>
            <w:lang w:eastAsia="zh-CN" w:bidi="ar"/>
          </w:rPr>
          <w:t>不具有</w:t>
        </w:r>
      </w:ins>
      <w:ins w:id="332" w:author="LV" w:date="2026-07-27T15:33:54Z">
        <w:r>
          <w:rPr>
            <w:rFonts w:hint="eastAsia" w:ascii="仿宋_GB2312" w:hAnsi="仿宋_GB2312" w:eastAsia="仿宋_GB2312" w:cs="仿宋_GB2312"/>
            <w:color w:val="auto"/>
            <w:kern w:val="0"/>
            <w:sz w:val="32"/>
            <w:szCs w:val="32"/>
            <w:lang w:bidi="ar"/>
          </w:rPr>
          <w:t>从轻</w:t>
        </w:r>
      </w:ins>
      <w:ins w:id="333" w:author="LV" w:date="2026-07-27T15:33:54Z">
        <w:r>
          <w:rPr>
            <w:rFonts w:hint="eastAsia" w:ascii="仿宋_GB2312" w:hAnsi="仿宋_GB2312" w:eastAsia="仿宋_GB2312" w:cs="仿宋_GB2312"/>
            <w:color w:val="auto"/>
            <w:kern w:val="0"/>
            <w:sz w:val="32"/>
            <w:szCs w:val="32"/>
            <w:lang w:eastAsia="zh-CN" w:bidi="ar"/>
          </w:rPr>
          <w:t>或者</w:t>
        </w:r>
      </w:ins>
      <w:ins w:id="334" w:author="LV" w:date="2026-07-27T15:33:54Z">
        <w:r>
          <w:rPr>
            <w:rFonts w:hint="eastAsia" w:ascii="仿宋_GB2312" w:hAnsi="仿宋_GB2312" w:eastAsia="仿宋_GB2312" w:cs="仿宋_GB2312"/>
            <w:color w:val="auto"/>
            <w:kern w:val="0"/>
            <w:sz w:val="32"/>
            <w:szCs w:val="32"/>
            <w:lang w:bidi="ar"/>
          </w:rPr>
          <w:t>减轻处罚情形的，应当按照法定处罚种类和最高处罚幅度实施行政处罚；同时具有两个或者两个以上从轻或者减轻处罚情形，且</w:t>
        </w:r>
      </w:ins>
      <w:ins w:id="335" w:author="LV" w:date="2026-07-27T15:33:54Z">
        <w:r>
          <w:rPr>
            <w:rFonts w:hint="eastAsia" w:ascii="仿宋_GB2312" w:hAnsi="仿宋_GB2312" w:eastAsia="仿宋_GB2312" w:cs="仿宋_GB2312"/>
            <w:color w:val="auto"/>
            <w:kern w:val="0"/>
            <w:sz w:val="32"/>
            <w:szCs w:val="32"/>
            <w:lang w:eastAsia="zh-CN" w:bidi="ar"/>
          </w:rPr>
          <w:t>不具有</w:t>
        </w:r>
      </w:ins>
      <w:ins w:id="336" w:author="LV" w:date="2026-07-27T15:33:54Z">
        <w:r>
          <w:rPr>
            <w:rFonts w:hint="eastAsia" w:ascii="仿宋_GB2312" w:hAnsi="仿宋_GB2312" w:eastAsia="仿宋_GB2312" w:cs="仿宋_GB2312"/>
            <w:color w:val="auto"/>
            <w:kern w:val="0"/>
            <w:sz w:val="32"/>
            <w:szCs w:val="32"/>
            <w:lang w:bidi="ar"/>
          </w:rPr>
          <w:t>从重处罚情形的，应当减轻处罚；同时具有从重、从轻或者减轻处罚情形的，应当结合违法事实、危害后果、主观过错等综合考量裁量，作出处罚决定。</w:t>
        </w:r>
      </w:ins>
    </w:p>
    <w:p w14:paraId="05B952ED">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ins w:id="337" w:author="LV" w:date="2026-07-27T15:33:54Z"/>
          <w:rFonts w:hint="eastAsia" w:ascii="仿宋_GB2312" w:hAnsi="仿宋_GB2312" w:eastAsia="仿宋_GB2312" w:cs="仿宋_GB2312"/>
          <w:color w:val="auto"/>
          <w:kern w:val="0"/>
          <w:sz w:val="32"/>
          <w:szCs w:val="32"/>
          <w:lang w:bidi="ar"/>
        </w:rPr>
      </w:pPr>
      <w:ins w:id="338" w:author="LV" w:date="2026-07-27T15:33:54Z">
        <w:r>
          <w:rPr>
            <w:rFonts w:hint="eastAsia" w:ascii="黑体" w:hAnsi="黑体" w:eastAsia="黑体" w:cs="黑体"/>
            <w:color w:val="auto"/>
            <w:kern w:val="0"/>
            <w:sz w:val="32"/>
            <w:szCs w:val="32"/>
          </w:rPr>
          <w:t>第十</w:t>
        </w:r>
      </w:ins>
      <w:ins w:id="339" w:author="LV" w:date="2026-07-27T15:33:54Z">
        <w:r>
          <w:rPr>
            <w:rFonts w:hint="eastAsia" w:ascii="黑体" w:hAnsi="黑体" w:eastAsia="黑体" w:cs="黑体"/>
            <w:color w:val="auto"/>
            <w:kern w:val="0"/>
            <w:sz w:val="32"/>
            <w:szCs w:val="32"/>
            <w:lang w:val="en-US" w:eastAsia="zh-CN"/>
          </w:rPr>
          <w:t>二</w:t>
        </w:r>
      </w:ins>
      <w:ins w:id="340" w:author="LV" w:date="2026-07-27T15:33:54Z">
        <w:r>
          <w:rPr>
            <w:rFonts w:hint="eastAsia" w:ascii="黑体" w:hAnsi="黑体" w:eastAsia="黑体" w:cs="黑体"/>
            <w:color w:val="auto"/>
            <w:kern w:val="0"/>
            <w:sz w:val="32"/>
            <w:szCs w:val="32"/>
          </w:rPr>
          <w:t xml:space="preserve">条 </w:t>
        </w:r>
      </w:ins>
      <w:ins w:id="341" w:author="LV" w:date="2026-07-27T15:33:54Z">
        <w:r>
          <w:rPr>
            <w:rFonts w:hint="eastAsia" w:ascii="仿宋_GB2312" w:hAnsi="仿宋_GB2312" w:eastAsia="仿宋_GB2312" w:cs="仿宋_GB2312"/>
            <w:color w:val="auto"/>
            <w:kern w:val="0"/>
            <w:sz w:val="32"/>
            <w:szCs w:val="32"/>
          </w:rPr>
          <w:t xml:space="preserve"> </w:t>
        </w:r>
      </w:ins>
      <w:ins w:id="342" w:author="LV" w:date="2026-07-27T15:33:54Z">
        <w:r>
          <w:rPr>
            <w:rFonts w:hint="eastAsia" w:ascii="仿宋_GB2312" w:hAnsi="仿宋_GB2312" w:eastAsia="仿宋_GB2312" w:cs="仿宋_GB2312"/>
            <w:color w:val="auto"/>
            <w:kern w:val="0"/>
            <w:sz w:val="32"/>
            <w:szCs w:val="32"/>
            <w:lang w:bidi="ar"/>
          </w:rPr>
          <w:t>法律、法规、规章规定可以并处罚款的，对于减轻处罚情形不再并处罚款；对于从轻处罚情形可以不并处罚款；对于一般处罚和从重处罚情形应当并处罚款。</w:t>
        </w:r>
      </w:ins>
    </w:p>
    <w:p w14:paraId="58903A77">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ins w:id="343" w:author="LV" w:date="2026-07-27T15:33:54Z"/>
          <w:rFonts w:hint="eastAsia" w:ascii="仿宋_GB2312" w:hAnsi="仿宋_GB2312" w:eastAsia="仿宋_GB2312" w:cs="仿宋_GB2312"/>
          <w:color w:val="auto"/>
          <w:kern w:val="0"/>
          <w:sz w:val="32"/>
          <w:szCs w:val="32"/>
          <w:lang w:bidi="ar"/>
        </w:rPr>
      </w:pPr>
      <w:ins w:id="344" w:author="LV" w:date="2026-07-27T15:33:54Z">
        <w:r>
          <w:rPr>
            <w:rFonts w:hint="eastAsia" w:ascii="仿宋_GB2312" w:hAnsi="仿宋_GB2312" w:eastAsia="仿宋_GB2312" w:cs="仿宋_GB2312"/>
            <w:color w:val="auto"/>
            <w:kern w:val="0"/>
            <w:sz w:val="32"/>
            <w:szCs w:val="32"/>
            <w:lang w:bidi="ar"/>
          </w:rPr>
          <w:t>法律、法规、规章规定应当并处罚款的，对于减轻处罚情形可处以低于规定处罚幅度的罚款，但最低不得低于罚款最低限额的20%；对于从轻处罚、一般处罚和从重处罚情形应当在规定处罚幅度内并处罚款。</w:t>
        </w:r>
      </w:ins>
    </w:p>
    <w:p w14:paraId="3177976F">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ins w:id="345" w:author="LV" w:date="2026-07-27T15:33:54Z"/>
          <w:rFonts w:hint="eastAsia" w:ascii="仿宋_GB2312" w:hAnsi="仿宋_GB2312" w:eastAsia="仿宋_GB2312" w:cs="仿宋_GB2312"/>
          <w:color w:val="auto"/>
          <w:kern w:val="0"/>
          <w:sz w:val="32"/>
          <w:szCs w:val="32"/>
          <w:lang w:bidi="ar"/>
        </w:rPr>
      </w:pPr>
      <w:ins w:id="346" w:author="LV" w:date="2026-07-27T15:33:54Z">
        <w:r>
          <w:rPr>
            <w:rFonts w:hint="eastAsia" w:ascii="黑体" w:hAnsi="黑体" w:eastAsia="黑体" w:cs="黑体"/>
            <w:color w:val="auto"/>
            <w:kern w:val="0"/>
            <w:sz w:val="32"/>
            <w:szCs w:val="32"/>
            <w:lang w:val="en-US" w:eastAsia="zh-Hans" w:bidi="ar-SA"/>
          </w:rPr>
          <w:t>第十</w:t>
        </w:r>
      </w:ins>
      <w:ins w:id="347" w:author="LV" w:date="2026-07-27T15:33:54Z">
        <w:r>
          <w:rPr>
            <w:rFonts w:hint="eastAsia" w:ascii="黑体" w:hAnsi="黑体" w:eastAsia="黑体" w:cs="黑体"/>
            <w:color w:val="auto"/>
            <w:kern w:val="0"/>
            <w:sz w:val="32"/>
            <w:szCs w:val="32"/>
            <w:lang w:val="en-US" w:eastAsia="zh-CN" w:bidi="ar-SA"/>
          </w:rPr>
          <w:t>三</w:t>
        </w:r>
      </w:ins>
      <w:ins w:id="348" w:author="LV" w:date="2026-07-27T15:33:54Z">
        <w:r>
          <w:rPr>
            <w:rFonts w:hint="eastAsia" w:ascii="黑体" w:hAnsi="黑体" w:eastAsia="黑体" w:cs="黑体"/>
            <w:color w:val="auto"/>
            <w:kern w:val="0"/>
            <w:sz w:val="32"/>
            <w:szCs w:val="32"/>
            <w:lang w:val="en-US" w:eastAsia="zh-Hans" w:bidi="ar-SA"/>
          </w:rPr>
          <w:t>条</w:t>
        </w:r>
      </w:ins>
      <w:ins w:id="349" w:author="LV" w:date="2026-07-27T15:33:54Z">
        <w:r>
          <w:rPr>
            <w:rFonts w:hint="eastAsia" w:ascii="仿宋_GB2312" w:hAnsi="仿宋_GB2312" w:eastAsia="仿宋_GB2312" w:cs="仿宋_GB2312"/>
            <w:color w:val="auto"/>
            <w:kern w:val="0"/>
            <w:sz w:val="32"/>
            <w:szCs w:val="32"/>
          </w:rPr>
          <w:t xml:space="preserve"> </w:t>
        </w:r>
      </w:ins>
      <w:ins w:id="350" w:author="LV" w:date="2026-07-27T15:33:54Z">
        <w:r>
          <w:rPr>
            <w:rFonts w:hint="eastAsia" w:ascii="仿宋_GB2312" w:hAnsi="仿宋_GB2312" w:eastAsia="仿宋_GB2312" w:cs="仿宋_GB2312"/>
            <w:color w:val="auto"/>
            <w:kern w:val="0"/>
            <w:sz w:val="32"/>
            <w:szCs w:val="32"/>
            <w:lang w:val="en-US" w:eastAsia="zh-CN"/>
          </w:rPr>
          <w:t xml:space="preserve"> </w:t>
        </w:r>
      </w:ins>
      <w:ins w:id="351" w:author="LV" w:date="2026-07-27T15:33:54Z">
        <w:r>
          <w:rPr>
            <w:rFonts w:hint="eastAsia" w:ascii="仿宋_GB2312" w:hAnsi="仿宋_GB2312" w:eastAsia="仿宋_GB2312" w:cs="仿宋_GB2312"/>
            <w:color w:val="auto"/>
            <w:kern w:val="0"/>
            <w:sz w:val="32"/>
            <w:szCs w:val="32"/>
            <w:lang w:bidi="ar"/>
          </w:rPr>
          <w:t>当事人违反不同的法律规定，或者违反同一条款的不同违法情形，有两个以上应当给予行政处罚的违法行为的，应当适用不同的法律规定或者同一法律条款规定的不同违法情形，分别裁量，合并处罚，按照吸收原则、并处原则和限制加重原则实施处罚。</w:t>
        </w:r>
      </w:ins>
    </w:p>
    <w:p w14:paraId="4043ECF4">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ins w:id="352" w:author="LV" w:date="2026-07-27T15:33:54Z"/>
          <w:rFonts w:hint="eastAsia" w:ascii="仿宋_GB2312" w:hAnsi="仿宋_GB2312" w:eastAsia="仿宋_GB2312" w:cs="仿宋_GB2312"/>
          <w:color w:val="auto"/>
          <w:kern w:val="0"/>
          <w:sz w:val="32"/>
          <w:szCs w:val="32"/>
        </w:rPr>
      </w:pPr>
      <w:ins w:id="353" w:author="LV" w:date="2026-07-27T15:33:54Z">
        <w:r>
          <w:rPr>
            <w:rFonts w:hint="eastAsia" w:ascii="黑体" w:hAnsi="黑体" w:eastAsia="黑体" w:cs="黑体"/>
            <w:color w:val="auto"/>
            <w:kern w:val="0"/>
            <w:sz w:val="32"/>
            <w:szCs w:val="32"/>
            <w:lang w:eastAsia="zh-Hans"/>
          </w:rPr>
          <w:t>第十</w:t>
        </w:r>
      </w:ins>
      <w:ins w:id="354" w:author="LV" w:date="2026-07-27T15:33:54Z">
        <w:r>
          <w:rPr>
            <w:rFonts w:hint="eastAsia" w:ascii="黑体" w:hAnsi="黑体" w:eastAsia="黑体" w:cs="黑体"/>
            <w:color w:val="auto"/>
            <w:kern w:val="0"/>
            <w:sz w:val="32"/>
            <w:szCs w:val="32"/>
            <w:lang w:val="en-US" w:eastAsia="zh-CN"/>
          </w:rPr>
          <w:t>四</w:t>
        </w:r>
      </w:ins>
      <w:ins w:id="355" w:author="LV" w:date="2026-07-27T15:33:54Z">
        <w:r>
          <w:rPr>
            <w:rFonts w:hint="eastAsia" w:ascii="黑体" w:hAnsi="黑体" w:eastAsia="黑体" w:cs="黑体"/>
            <w:color w:val="auto"/>
            <w:kern w:val="0"/>
            <w:sz w:val="32"/>
            <w:szCs w:val="32"/>
            <w:lang w:eastAsia="zh-Hans"/>
          </w:rPr>
          <w:t xml:space="preserve">条 </w:t>
        </w:r>
      </w:ins>
      <w:ins w:id="356" w:author="LV" w:date="2026-07-27T15:33:54Z">
        <w:r>
          <w:rPr>
            <w:rFonts w:hint="eastAsia" w:ascii="仿宋_GB2312" w:hAnsi="仿宋_GB2312" w:eastAsia="仿宋_GB2312" w:cs="仿宋_GB2312"/>
            <w:color w:val="auto"/>
            <w:kern w:val="0"/>
            <w:sz w:val="32"/>
            <w:szCs w:val="32"/>
            <w:lang w:eastAsia="zh-Hans"/>
          </w:rPr>
          <w:t xml:space="preserve"> </w:t>
        </w:r>
      </w:ins>
      <w:ins w:id="357" w:author="LV" w:date="2026-07-27T15:33:54Z">
        <w:r>
          <w:rPr>
            <w:rFonts w:hint="eastAsia" w:ascii="仿宋_GB2312" w:hAnsi="仿宋_GB2312" w:eastAsia="仿宋_GB2312" w:cs="仿宋_GB2312"/>
            <w:color w:val="auto"/>
            <w:kern w:val="0"/>
            <w:sz w:val="32"/>
            <w:szCs w:val="32"/>
          </w:rPr>
          <w:t>法律、行政法规、部门规章对同一违法行为的行政处罚作出不同规定时，应按照下列顺序选择适用法律：</w:t>
        </w:r>
      </w:ins>
    </w:p>
    <w:p w14:paraId="5AFE15F4">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ins w:id="358" w:author="LV" w:date="2026-07-27T15:33:54Z"/>
          <w:rFonts w:hint="eastAsia" w:ascii="仿宋_GB2312" w:hAnsi="仿宋_GB2312" w:eastAsia="仿宋_GB2312" w:cs="仿宋_GB2312"/>
          <w:color w:val="auto"/>
          <w:kern w:val="0"/>
          <w:sz w:val="32"/>
          <w:szCs w:val="32"/>
        </w:rPr>
      </w:pPr>
      <w:ins w:id="359" w:author="LV" w:date="2026-07-27T15:33:54Z">
        <w:r>
          <w:rPr>
            <w:rFonts w:hint="eastAsia" w:ascii="仿宋_GB2312" w:hAnsi="仿宋_GB2312" w:eastAsia="仿宋_GB2312" w:cs="仿宋_GB2312"/>
            <w:color w:val="auto"/>
            <w:kern w:val="0"/>
            <w:sz w:val="32"/>
            <w:szCs w:val="32"/>
          </w:rPr>
          <w:t>（一）优先选择效力层次高的法律适用；</w:t>
        </w:r>
      </w:ins>
    </w:p>
    <w:p w14:paraId="1F73B6E8">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ins w:id="360" w:author="LV" w:date="2026-07-27T15:33:54Z"/>
          <w:rFonts w:hint="eastAsia" w:ascii="仿宋_GB2312" w:hAnsi="仿宋_GB2312" w:eastAsia="仿宋_GB2312" w:cs="仿宋_GB2312"/>
          <w:color w:val="auto"/>
          <w:kern w:val="0"/>
          <w:sz w:val="32"/>
          <w:szCs w:val="32"/>
        </w:rPr>
      </w:pPr>
      <w:ins w:id="361" w:author="LV" w:date="2026-07-27T15:33:54Z">
        <w:r>
          <w:rPr>
            <w:rFonts w:hint="eastAsia" w:ascii="仿宋_GB2312" w:hAnsi="仿宋_GB2312" w:eastAsia="仿宋_GB2312" w:cs="仿宋_GB2312"/>
            <w:color w:val="auto"/>
            <w:kern w:val="0"/>
            <w:sz w:val="32"/>
            <w:szCs w:val="32"/>
          </w:rPr>
          <w:t>（二）效力层次相同的，后颁布实施的优先于先颁布实施的；</w:t>
        </w:r>
      </w:ins>
    </w:p>
    <w:p w14:paraId="6EC3DF9D">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ins w:id="362" w:author="LV" w:date="2026-07-27T15:33:54Z"/>
          <w:rFonts w:hint="eastAsia" w:ascii="仿宋_GB2312" w:hAnsi="仿宋_GB2312" w:eastAsia="仿宋_GB2312" w:cs="仿宋_GB2312"/>
          <w:color w:val="auto"/>
          <w:kern w:val="0"/>
          <w:sz w:val="32"/>
          <w:szCs w:val="32"/>
        </w:rPr>
      </w:pPr>
      <w:ins w:id="363" w:author="LV" w:date="2026-07-27T15:33:54Z">
        <w:r>
          <w:rPr>
            <w:rFonts w:hint="eastAsia" w:ascii="仿宋_GB2312" w:hAnsi="仿宋_GB2312" w:eastAsia="仿宋_GB2312" w:cs="仿宋_GB2312"/>
            <w:color w:val="auto"/>
            <w:kern w:val="0"/>
            <w:sz w:val="32"/>
            <w:szCs w:val="32"/>
          </w:rPr>
          <w:t>（三）效力层次相同的，特别的规定优先于一般的规定。</w:t>
        </w:r>
      </w:ins>
    </w:p>
    <w:p w14:paraId="6CC5537A">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ins w:id="364" w:author="LV" w:date="2026-07-27T15:33:54Z"/>
          <w:rFonts w:hint="eastAsia" w:ascii="仿宋_GB2312" w:hAnsi="仿宋_GB2312" w:eastAsia="仿宋_GB2312" w:cs="仿宋_GB2312"/>
          <w:color w:val="auto"/>
          <w:kern w:val="0"/>
          <w:sz w:val="32"/>
          <w:szCs w:val="32"/>
        </w:rPr>
      </w:pPr>
      <w:ins w:id="365" w:author="LV" w:date="2026-07-27T15:33:54Z">
        <w:r>
          <w:rPr>
            <w:rFonts w:hint="eastAsia" w:ascii="黑体" w:hAnsi="黑体" w:eastAsia="黑体" w:cs="黑体"/>
            <w:color w:val="auto"/>
            <w:kern w:val="0"/>
            <w:sz w:val="32"/>
            <w:szCs w:val="32"/>
          </w:rPr>
          <w:t>第十</w:t>
        </w:r>
      </w:ins>
      <w:ins w:id="366" w:author="LV" w:date="2026-07-27T15:33:54Z">
        <w:r>
          <w:rPr>
            <w:rFonts w:hint="eastAsia" w:ascii="黑体" w:hAnsi="黑体" w:eastAsia="黑体" w:cs="黑体"/>
            <w:color w:val="auto"/>
            <w:kern w:val="0"/>
            <w:sz w:val="32"/>
            <w:szCs w:val="32"/>
            <w:lang w:val="en-US" w:eastAsia="zh-CN"/>
          </w:rPr>
          <w:t>五</w:t>
        </w:r>
      </w:ins>
      <w:ins w:id="367" w:author="LV" w:date="2026-07-27T15:33:54Z">
        <w:r>
          <w:rPr>
            <w:rFonts w:hint="eastAsia" w:ascii="黑体" w:hAnsi="黑体" w:eastAsia="黑体" w:cs="黑体"/>
            <w:color w:val="auto"/>
            <w:kern w:val="0"/>
            <w:sz w:val="32"/>
            <w:szCs w:val="32"/>
          </w:rPr>
          <w:t xml:space="preserve">条 </w:t>
        </w:r>
      </w:ins>
      <w:ins w:id="368" w:author="LV" w:date="2026-07-27T15:33:54Z">
        <w:r>
          <w:rPr>
            <w:rFonts w:hint="eastAsia" w:ascii="仿宋_GB2312" w:hAnsi="仿宋_GB2312" w:eastAsia="仿宋_GB2312" w:cs="仿宋_GB2312"/>
            <w:color w:val="auto"/>
            <w:kern w:val="0"/>
            <w:sz w:val="32"/>
            <w:szCs w:val="32"/>
          </w:rPr>
          <w:t xml:space="preserve"> 法律、法规、规章规定应当先责令当事人改正或者限期改正违法行为的，应当先行责令改正或者限期改正；当事人拒不改正或者逾期不改正的，依法作出相应</w:t>
        </w:r>
      </w:ins>
      <w:ins w:id="369" w:author="LV" w:date="2026-07-27T15:33:54Z">
        <w:r>
          <w:rPr>
            <w:rFonts w:hint="eastAsia" w:ascii="仿宋_GB2312" w:hAnsi="仿宋_GB2312" w:eastAsia="仿宋_GB2312" w:cs="仿宋_GB2312"/>
            <w:color w:val="auto"/>
            <w:kern w:val="0"/>
            <w:sz w:val="32"/>
            <w:szCs w:val="32"/>
            <w:lang w:eastAsia="zh-CN"/>
          </w:rPr>
          <w:t>的</w:t>
        </w:r>
      </w:ins>
      <w:ins w:id="370" w:author="LV" w:date="2026-07-27T15:33:54Z">
        <w:r>
          <w:rPr>
            <w:rFonts w:hint="eastAsia" w:ascii="仿宋_GB2312" w:hAnsi="仿宋_GB2312" w:eastAsia="仿宋_GB2312" w:cs="仿宋_GB2312"/>
            <w:color w:val="auto"/>
            <w:kern w:val="0"/>
            <w:sz w:val="32"/>
            <w:szCs w:val="32"/>
          </w:rPr>
          <w:t xml:space="preserve">行政处罚。 </w:t>
        </w:r>
      </w:ins>
    </w:p>
    <w:p w14:paraId="69DE249B">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ins w:id="371" w:author="LV" w:date="2026-07-27T15:33:54Z"/>
          <w:rFonts w:hint="eastAsia" w:ascii="黑体" w:hAnsi="黑体" w:eastAsia="黑体" w:cs="黑体"/>
          <w:color w:val="auto"/>
          <w:kern w:val="0"/>
          <w:sz w:val="32"/>
          <w:szCs w:val="32"/>
        </w:rPr>
      </w:pPr>
      <w:ins w:id="372" w:author="LV" w:date="2026-07-27T15:33:54Z">
        <w:r>
          <w:rPr>
            <w:rFonts w:hint="eastAsia" w:ascii="仿宋_GB2312" w:hAnsi="仿宋_GB2312" w:eastAsia="仿宋_GB2312" w:cs="仿宋_GB2312"/>
            <w:color w:val="auto"/>
            <w:kern w:val="0"/>
            <w:sz w:val="32"/>
            <w:szCs w:val="32"/>
          </w:rPr>
          <w:t>法律、法规、规章对责令改正或者限期办理没有明确期限规定的，应当给予合理期限。</w:t>
        </w:r>
      </w:ins>
    </w:p>
    <w:p w14:paraId="5D20F30E">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ins w:id="373" w:author="LV" w:date="2026-07-27T15:33:54Z"/>
          <w:rFonts w:hint="eastAsia" w:ascii="仿宋_GB2312" w:hAnsi="仿宋_GB2312" w:eastAsia="仿宋_GB2312" w:cs="仿宋_GB2312"/>
          <w:color w:val="auto"/>
          <w:kern w:val="0"/>
          <w:sz w:val="32"/>
          <w:szCs w:val="32"/>
        </w:rPr>
      </w:pPr>
      <w:ins w:id="374" w:author="LV" w:date="2026-07-27T15:33:54Z">
        <w:r>
          <w:rPr>
            <w:rFonts w:hint="eastAsia" w:ascii="黑体" w:hAnsi="黑体" w:eastAsia="黑体" w:cs="黑体"/>
            <w:color w:val="auto"/>
            <w:kern w:val="0"/>
            <w:sz w:val="32"/>
            <w:szCs w:val="32"/>
          </w:rPr>
          <w:t>第十</w:t>
        </w:r>
      </w:ins>
      <w:ins w:id="375" w:author="LV" w:date="2026-07-27T15:33:54Z">
        <w:r>
          <w:rPr>
            <w:rFonts w:hint="eastAsia" w:ascii="黑体" w:hAnsi="黑体" w:eastAsia="黑体" w:cs="黑体"/>
            <w:color w:val="auto"/>
            <w:kern w:val="0"/>
            <w:sz w:val="32"/>
            <w:szCs w:val="32"/>
            <w:lang w:val="en-US" w:eastAsia="zh-CN"/>
          </w:rPr>
          <w:t>六</w:t>
        </w:r>
      </w:ins>
      <w:ins w:id="376" w:author="LV" w:date="2026-07-27T15:33:54Z">
        <w:r>
          <w:rPr>
            <w:rFonts w:hint="eastAsia" w:ascii="黑体" w:hAnsi="黑体" w:eastAsia="黑体" w:cs="黑体"/>
            <w:color w:val="auto"/>
            <w:kern w:val="0"/>
            <w:sz w:val="32"/>
            <w:szCs w:val="32"/>
          </w:rPr>
          <w:t xml:space="preserve">条 </w:t>
        </w:r>
      </w:ins>
      <w:ins w:id="377" w:author="LV" w:date="2026-07-27T15:33:54Z">
        <w:r>
          <w:rPr>
            <w:rFonts w:hint="eastAsia" w:ascii="仿宋_GB2312" w:hAnsi="仿宋_GB2312" w:eastAsia="仿宋_GB2312" w:cs="仿宋_GB2312"/>
            <w:color w:val="auto"/>
            <w:kern w:val="0"/>
            <w:sz w:val="32"/>
            <w:szCs w:val="32"/>
          </w:rPr>
          <w:t xml:space="preserve"> 违法行为涉嫌犯罪的，应当及时将案件移送司法机关，不得以行政处罚代替刑事处罚。</w:t>
        </w:r>
      </w:ins>
    </w:p>
    <w:p w14:paraId="11274AB8">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ins w:id="378" w:author="LV" w:date="2026-07-27T15:33:54Z"/>
          <w:rFonts w:hint="eastAsia" w:ascii="仿宋_GB2312" w:hAnsi="仿宋_GB2312" w:eastAsia="仿宋_GB2312" w:cs="仿宋_GB2312"/>
          <w:color w:val="auto"/>
          <w:kern w:val="0"/>
          <w:sz w:val="32"/>
          <w:szCs w:val="32"/>
          <w:lang w:eastAsia="zh-Hans"/>
        </w:rPr>
      </w:pPr>
      <w:ins w:id="379" w:author="LV" w:date="2026-07-27T15:33:54Z">
        <w:r>
          <w:rPr>
            <w:rFonts w:hint="eastAsia" w:ascii="仿宋_GB2312" w:hAnsi="仿宋_GB2312" w:eastAsia="仿宋_GB2312" w:cs="仿宋_GB2312"/>
            <w:color w:val="auto"/>
            <w:kern w:val="0"/>
            <w:sz w:val="32"/>
            <w:szCs w:val="32"/>
          </w:rPr>
          <w:t>对于已移交公安部门处理的涉嫌犯罪案件（不含移送线索案件），除依法应当给予暂扣或吊销许可证、责令停产停业的行政处罚外，暂不作出其他类型的行政处罚。对公安机关决定不予立案的案件，依法应当给予行政处罚的，待案件材料退回后再行处罚。</w:t>
        </w:r>
      </w:ins>
    </w:p>
    <w:p w14:paraId="086977F0">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ins w:id="380" w:author="LV" w:date="2026-07-27T15:33:54Z"/>
          <w:rFonts w:hint="eastAsia" w:ascii="仿宋_GB2312" w:hAnsi="仿宋_GB2312" w:eastAsia="仿宋_GB2312" w:cs="仿宋_GB2312"/>
          <w:color w:val="auto"/>
          <w:kern w:val="0"/>
          <w:sz w:val="32"/>
          <w:szCs w:val="32"/>
          <w:lang w:eastAsia="zh-CN"/>
        </w:rPr>
      </w:pPr>
      <w:ins w:id="381" w:author="LV" w:date="2026-07-27T15:33:54Z">
        <w:r>
          <w:rPr>
            <w:rFonts w:hint="eastAsia" w:ascii="黑体" w:hAnsi="黑体" w:eastAsia="黑体" w:cs="黑体"/>
            <w:color w:val="auto"/>
            <w:kern w:val="0"/>
            <w:sz w:val="32"/>
            <w:szCs w:val="32"/>
            <w:lang w:val="en-US" w:eastAsia="zh-CN"/>
          </w:rPr>
          <w:t>第十七条</w:t>
        </w:r>
      </w:ins>
      <w:ins w:id="382" w:author="LV" w:date="2026-07-27T15:33:54Z">
        <w:r>
          <w:rPr>
            <w:rFonts w:hint="eastAsia" w:ascii="仿宋_GB2312" w:hAnsi="仿宋_GB2312" w:eastAsia="仿宋_GB2312" w:cs="仿宋_GB2312"/>
            <w:color w:val="auto"/>
            <w:kern w:val="0"/>
            <w:sz w:val="32"/>
            <w:szCs w:val="32"/>
            <w:lang w:val="en-US" w:eastAsia="zh-CN"/>
          </w:rPr>
          <w:t xml:space="preserve">  </w:t>
        </w:r>
      </w:ins>
      <w:ins w:id="383" w:author="LV" w:date="2026-07-27T15:33:54Z">
        <w:r>
          <w:rPr>
            <w:rFonts w:hint="eastAsia" w:ascii="仿宋_GB2312" w:hAnsi="仿宋_GB2312" w:eastAsia="仿宋_GB2312" w:cs="仿宋_GB2312"/>
            <w:color w:val="auto"/>
            <w:kern w:val="0"/>
            <w:sz w:val="32"/>
            <w:szCs w:val="32"/>
          </w:rPr>
          <w:t>行使裁量权、做出行政处罚决定之前，应当充分听取行政相对人的陈述、申辩，并根据违法事实和从重、从轻、减轻情节，做出行政处罚决定</w:t>
        </w:r>
      </w:ins>
      <w:ins w:id="384" w:author="LV" w:date="2026-07-27T15:33:54Z">
        <w:r>
          <w:rPr>
            <w:rFonts w:hint="eastAsia" w:ascii="仿宋_GB2312" w:hAnsi="仿宋_GB2312" w:eastAsia="仿宋_GB2312" w:cs="仿宋_GB2312"/>
            <w:color w:val="auto"/>
            <w:kern w:val="0"/>
            <w:sz w:val="32"/>
            <w:szCs w:val="32"/>
            <w:lang w:eastAsia="zh-CN"/>
          </w:rPr>
          <w:t>。</w:t>
        </w:r>
      </w:ins>
    </w:p>
    <w:p w14:paraId="2903BD9F">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ins w:id="385" w:author="LV" w:date="2026-07-27T15:33:54Z"/>
          <w:rFonts w:hint="eastAsia" w:ascii="仿宋_GB2312" w:hAnsi="仿宋_GB2312" w:eastAsia="仿宋_GB2312" w:cs="仿宋_GB2312"/>
          <w:color w:val="auto"/>
          <w:kern w:val="0"/>
          <w:sz w:val="32"/>
          <w:szCs w:val="32"/>
        </w:rPr>
      </w:pPr>
      <w:ins w:id="386" w:author="LV" w:date="2026-07-27T15:33:54Z">
        <w:r>
          <w:rPr>
            <w:rFonts w:hint="eastAsia" w:ascii="仿宋_GB2312" w:hAnsi="仿宋_GB2312" w:eastAsia="仿宋_GB2312" w:cs="仿宋_GB2312"/>
            <w:color w:val="auto"/>
            <w:kern w:val="0"/>
            <w:sz w:val="32"/>
            <w:szCs w:val="32"/>
          </w:rPr>
          <w:t>对情节复杂或者重大违法行为给予行政处罚行使行政处罚裁量权，应当由能源执法机关负责人集体讨论决定。</w:t>
        </w:r>
      </w:ins>
    </w:p>
    <w:p w14:paraId="777EE7D2">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ins w:id="387" w:author="LV" w:date="2026-07-27T15:33:54Z"/>
          <w:rFonts w:hint="eastAsia" w:ascii="仿宋_GB2312" w:hAnsi="仿宋_GB2312" w:eastAsia="仿宋_GB2312" w:cs="仿宋_GB2312"/>
          <w:color w:val="auto"/>
          <w:kern w:val="0"/>
          <w:sz w:val="32"/>
          <w:szCs w:val="32"/>
        </w:rPr>
      </w:pPr>
      <w:ins w:id="388" w:author="LV" w:date="2026-07-27T15:33:54Z">
        <w:r>
          <w:rPr>
            <w:rFonts w:hint="eastAsia" w:ascii="仿宋_GB2312" w:hAnsi="仿宋_GB2312" w:eastAsia="仿宋_GB2312" w:cs="仿宋_GB2312"/>
            <w:color w:val="auto"/>
            <w:kern w:val="0"/>
            <w:sz w:val="32"/>
            <w:szCs w:val="32"/>
          </w:rPr>
          <w:t>有下列情形之一的，属于情节复杂或者重大违法行为给予行政处罚的案件：</w:t>
        </w:r>
      </w:ins>
    </w:p>
    <w:p w14:paraId="5B3BEFB5">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ins w:id="389" w:author="LV" w:date="2026-07-27T15:33:54Z"/>
          <w:rFonts w:hint="eastAsia" w:ascii="仿宋_GB2312" w:hAnsi="仿宋_GB2312" w:eastAsia="仿宋_GB2312" w:cs="仿宋_GB2312"/>
          <w:color w:val="auto"/>
          <w:kern w:val="0"/>
          <w:sz w:val="32"/>
          <w:szCs w:val="32"/>
        </w:rPr>
      </w:pPr>
      <w:ins w:id="390" w:author="LV" w:date="2026-07-27T15:33:54Z">
        <w:r>
          <w:rPr>
            <w:rFonts w:hint="eastAsia" w:ascii="仿宋_GB2312" w:hAnsi="仿宋_GB2312" w:eastAsia="仿宋_GB2312" w:cs="仿宋_GB2312"/>
            <w:color w:val="auto"/>
            <w:kern w:val="0"/>
            <w:sz w:val="32"/>
            <w:szCs w:val="32"/>
          </w:rPr>
          <w:t>（一）案情疑难复杂、涉及多个法律关系的；</w:t>
        </w:r>
      </w:ins>
    </w:p>
    <w:p w14:paraId="31E987EF">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ins w:id="391" w:author="LV" w:date="2026-07-27T15:33:54Z"/>
          <w:rFonts w:hint="eastAsia" w:ascii="仿宋_GB2312" w:hAnsi="仿宋_GB2312" w:eastAsia="仿宋_GB2312" w:cs="仿宋_GB2312"/>
          <w:color w:val="auto"/>
          <w:kern w:val="0"/>
          <w:sz w:val="32"/>
          <w:szCs w:val="32"/>
        </w:rPr>
      </w:pPr>
      <w:ins w:id="392" w:author="LV" w:date="2026-07-27T15:33:54Z">
        <w:r>
          <w:rPr>
            <w:rFonts w:hint="eastAsia" w:ascii="仿宋_GB2312" w:hAnsi="仿宋_GB2312" w:eastAsia="仿宋_GB2312" w:cs="仿宋_GB2312"/>
            <w:color w:val="auto"/>
            <w:kern w:val="0"/>
            <w:sz w:val="32"/>
            <w:szCs w:val="32"/>
          </w:rPr>
          <w:t>（二）涉及重大安全问题、重大公共利益或者有重大社会影响的；</w:t>
        </w:r>
      </w:ins>
    </w:p>
    <w:p w14:paraId="437CE29B">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ins w:id="393" w:author="LV" w:date="2026-07-27T15:33:54Z"/>
          <w:rFonts w:hint="eastAsia" w:ascii="仿宋_GB2312" w:hAnsi="仿宋_GB2312" w:eastAsia="仿宋_GB2312" w:cs="仿宋_GB2312"/>
          <w:color w:val="auto"/>
          <w:kern w:val="0"/>
          <w:sz w:val="32"/>
          <w:szCs w:val="32"/>
        </w:rPr>
      </w:pPr>
      <w:ins w:id="394" w:author="LV" w:date="2026-07-27T15:33:54Z">
        <w:r>
          <w:rPr>
            <w:rFonts w:hint="eastAsia" w:ascii="仿宋_GB2312" w:hAnsi="仿宋_GB2312" w:eastAsia="仿宋_GB2312" w:cs="仿宋_GB2312"/>
            <w:color w:val="auto"/>
            <w:kern w:val="0"/>
            <w:sz w:val="32"/>
            <w:szCs w:val="32"/>
          </w:rPr>
          <w:t>（三）符合《安全生产违法行为行政处罚办法》第五十五条所规定的听证条件的；</w:t>
        </w:r>
      </w:ins>
    </w:p>
    <w:p w14:paraId="1429CBF2">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ins w:id="395" w:author="LV" w:date="2026-07-27T15:33:54Z"/>
          <w:rFonts w:hint="eastAsia" w:ascii="仿宋_GB2312" w:hAnsi="仿宋_GB2312" w:eastAsia="仿宋_GB2312" w:cs="仿宋_GB2312"/>
          <w:color w:val="auto"/>
          <w:kern w:val="0"/>
          <w:sz w:val="32"/>
          <w:szCs w:val="32"/>
        </w:rPr>
      </w:pPr>
      <w:ins w:id="396" w:author="LV" w:date="2026-07-27T15:33:54Z">
        <w:r>
          <w:rPr>
            <w:rFonts w:hint="eastAsia" w:ascii="仿宋_GB2312" w:hAnsi="仿宋_GB2312" w:eastAsia="仿宋_GB2312" w:cs="仿宋_GB2312"/>
            <w:color w:val="auto"/>
            <w:kern w:val="0"/>
            <w:sz w:val="32"/>
            <w:szCs w:val="32"/>
          </w:rPr>
          <w:t>（四）能源执法机关负责人认为应当提交集体讨论的。</w:t>
        </w:r>
      </w:ins>
    </w:p>
    <w:p w14:paraId="047E2B78">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ins w:id="397" w:author="LV" w:date="2026-07-27T15:33:54Z"/>
          <w:rFonts w:hint="eastAsia" w:ascii="仿宋_GB2312" w:hAnsi="仿宋_GB2312" w:eastAsia="仿宋_GB2312" w:cs="仿宋_GB2312"/>
          <w:color w:val="auto"/>
          <w:kern w:val="0"/>
          <w:sz w:val="32"/>
          <w:szCs w:val="32"/>
          <w:lang w:eastAsia="zh-CN"/>
        </w:rPr>
      </w:pPr>
      <w:ins w:id="398" w:author="LV" w:date="2026-07-27T15:33:54Z">
        <w:r>
          <w:rPr>
            <w:rFonts w:hint="eastAsia" w:ascii="黑体" w:hAnsi="黑体" w:eastAsia="黑体" w:cs="黑体"/>
            <w:color w:val="auto"/>
            <w:kern w:val="0"/>
            <w:sz w:val="32"/>
            <w:szCs w:val="32"/>
          </w:rPr>
          <w:t>第</w:t>
        </w:r>
      </w:ins>
      <w:ins w:id="399" w:author="LV" w:date="2026-07-27T15:33:54Z">
        <w:r>
          <w:rPr>
            <w:rFonts w:hint="eastAsia" w:ascii="黑体" w:hAnsi="黑体" w:eastAsia="黑体" w:cs="黑体"/>
            <w:color w:val="auto"/>
            <w:kern w:val="0"/>
            <w:sz w:val="32"/>
            <w:szCs w:val="32"/>
            <w:lang w:eastAsia="zh-Hans"/>
          </w:rPr>
          <w:t>十</w:t>
        </w:r>
      </w:ins>
      <w:ins w:id="400" w:author="LV" w:date="2026-07-27T15:33:54Z">
        <w:r>
          <w:rPr>
            <w:rFonts w:hint="eastAsia" w:ascii="黑体" w:hAnsi="黑体" w:eastAsia="黑体" w:cs="黑体"/>
            <w:color w:val="auto"/>
            <w:kern w:val="0"/>
            <w:sz w:val="32"/>
            <w:szCs w:val="32"/>
            <w:lang w:val="en-US" w:eastAsia="zh-CN"/>
          </w:rPr>
          <w:t>八</w:t>
        </w:r>
      </w:ins>
      <w:ins w:id="401" w:author="LV" w:date="2026-07-27T15:33:54Z">
        <w:r>
          <w:rPr>
            <w:rFonts w:hint="eastAsia" w:ascii="黑体" w:hAnsi="黑体" w:eastAsia="黑体" w:cs="黑体"/>
            <w:color w:val="auto"/>
            <w:kern w:val="0"/>
            <w:sz w:val="32"/>
            <w:szCs w:val="32"/>
          </w:rPr>
          <w:t>条</w:t>
        </w:r>
      </w:ins>
      <w:ins w:id="402" w:author="LV" w:date="2026-07-27T15:33:54Z">
        <w:r>
          <w:rPr>
            <w:rFonts w:hint="eastAsia" w:ascii="仿宋_GB2312" w:hAnsi="仿宋_GB2312" w:eastAsia="仿宋_GB2312" w:cs="仿宋_GB2312"/>
            <w:color w:val="auto"/>
            <w:kern w:val="0"/>
            <w:sz w:val="32"/>
            <w:szCs w:val="32"/>
          </w:rPr>
          <w:t xml:space="preserve">  设区的市能源执法机关</w:t>
        </w:r>
      </w:ins>
      <w:ins w:id="403" w:author="LV" w:date="2026-07-27T15:33:54Z">
        <w:r>
          <w:rPr>
            <w:rFonts w:hint="eastAsia" w:ascii="仿宋_GB2312" w:hAnsi="仿宋_GB2312" w:eastAsia="仿宋_GB2312" w:cs="仿宋_GB2312"/>
            <w:color w:val="auto"/>
            <w:kern w:val="0"/>
            <w:sz w:val="32"/>
            <w:szCs w:val="32"/>
            <w:lang w:eastAsia="zh-CN"/>
          </w:rPr>
          <w:t>可以</w:t>
        </w:r>
      </w:ins>
      <w:ins w:id="404" w:author="LV" w:date="2026-07-27T15:33:54Z">
        <w:r>
          <w:rPr>
            <w:rFonts w:hint="eastAsia" w:ascii="仿宋_GB2312" w:hAnsi="仿宋_GB2312" w:eastAsia="仿宋_GB2312" w:cs="仿宋_GB2312"/>
            <w:color w:val="auto"/>
            <w:kern w:val="0"/>
            <w:sz w:val="32"/>
            <w:szCs w:val="32"/>
          </w:rPr>
          <w:t>结合辖区经济社会状况、能源行业监管实际，在本基准设定的处罚幅度、裁量阶次框架内，细化违法情节判定标准与具体处罚金额档次</w:t>
        </w:r>
      </w:ins>
      <w:ins w:id="405" w:author="LV" w:date="2026-07-27T15:33:54Z">
        <w:r>
          <w:rPr>
            <w:rFonts w:hint="eastAsia" w:ascii="仿宋_GB2312" w:hAnsi="仿宋_GB2312" w:eastAsia="仿宋_GB2312" w:cs="仿宋_GB2312"/>
            <w:color w:val="auto"/>
            <w:kern w:val="0"/>
            <w:sz w:val="32"/>
            <w:szCs w:val="32"/>
            <w:lang w:eastAsia="zh-CN"/>
          </w:rPr>
          <w:t>。</w:t>
        </w:r>
      </w:ins>
    </w:p>
    <w:p w14:paraId="4B279653">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ins w:id="406" w:author="LV" w:date="2026-07-27T15:33:54Z"/>
          <w:rFonts w:hint="eastAsia" w:ascii="仿宋_GB2312" w:hAnsi="仿宋_GB2312" w:eastAsia="仿宋_GB2312" w:cs="仿宋_GB2312"/>
          <w:color w:val="auto"/>
          <w:kern w:val="0"/>
          <w:sz w:val="32"/>
          <w:szCs w:val="32"/>
        </w:rPr>
      </w:pPr>
      <w:ins w:id="407" w:author="LV" w:date="2026-07-27T15:33:54Z">
        <w:r>
          <w:rPr>
            <w:rFonts w:hint="eastAsia" w:ascii="黑体" w:hAnsi="黑体" w:eastAsia="黑体" w:cs="黑体"/>
            <w:color w:val="auto"/>
            <w:kern w:val="0"/>
            <w:sz w:val="32"/>
            <w:szCs w:val="32"/>
            <w:lang w:val="en-US" w:eastAsia="zh-Hans"/>
          </w:rPr>
          <w:t>第</w:t>
        </w:r>
      </w:ins>
      <w:ins w:id="408" w:author="LV" w:date="2026-07-27T15:33:54Z">
        <w:r>
          <w:rPr>
            <w:rFonts w:hint="eastAsia" w:ascii="黑体" w:hAnsi="黑体" w:eastAsia="黑体" w:cs="黑体"/>
            <w:color w:val="auto"/>
            <w:kern w:val="0"/>
            <w:sz w:val="32"/>
            <w:szCs w:val="32"/>
            <w:lang w:val="en-US" w:eastAsia="zh-CN"/>
          </w:rPr>
          <w:t>十九</w:t>
        </w:r>
      </w:ins>
      <w:ins w:id="409" w:author="LV" w:date="2026-07-27T15:33:54Z">
        <w:r>
          <w:rPr>
            <w:rFonts w:hint="eastAsia" w:ascii="黑体" w:hAnsi="黑体" w:eastAsia="黑体" w:cs="黑体"/>
            <w:color w:val="auto"/>
            <w:kern w:val="0"/>
            <w:sz w:val="32"/>
            <w:szCs w:val="32"/>
            <w:lang w:eastAsia="zh-Hans"/>
          </w:rPr>
          <w:t>条</w:t>
        </w:r>
      </w:ins>
      <w:ins w:id="410" w:author="LV" w:date="2026-07-27T15:33:54Z">
        <w:r>
          <w:rPr>
            <w:rFonts w:hint="eastAsia" w:ascii="仿宋_GB2312" w:hAnsi="仿宋_GB2312" w:eastAsia="仿宋_GB2312" w:cs="仿宋_GB2312"/>
            <w:color w:val="auto"/>
            <w:kern w:val="0"/>
            <w:sz w:val="32"/>
            <w:szCs w:val="32"/>
          </w:rPr>
          <w:t xml:space="preserve">  适用法律规定按照相关责任人员年收入比例实施罚款的案件，单位主要负责人、分管负责人、安全生产管理人员、直接负责的主管人员及其他直接责任人员上一年年收入按照下列方式分别核定：</w:t>
        </w:r>
      </w:ins>
    </w:p>
    <w:p w14:paraId="22F2B0D3">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ins w:id="411" w:author="LV" w:date="2026-07-27T15:33:54Z"/>
          <w:rFonts w:hint="eastAsia" w:ascii="仿宋_GB2312" w:hAnsi="仿宋_GB2312" w:eastAsia="仿宋_GB2312" w:cs="仿宋_GB2312"/>
          <w:color w:val="auto"/>
          <w:kern w:val="0"/>
          <w:sz w:val="32"/>
          <w:szCs w:val="32"/>
        </w:rPr>
      </w:pPr>
      <w:ins w:id="412" w:author="LV" w:date="2026-07-27T15:33:54Z">
        <w:r>
          <w:rPr>
            <w:rFonts w:hint="eastAsia" w:ascii="仿宋_GB2312" w:hAnsi="仿宋_GB2312" w:eastAsia="仿宋_GB2312" w:cs="仿宋_GB2312"/>
            <w:color w:val="auto"/>
            <w:kern w:val="0"/>
            <w:sz w:val="32"/>
            <w:szCs w:val="32"/>
            <w:lang w:val="en-US" w:eastAsia="zh-CN" w:bidi="ar-SA"/>
          </w:rPr>
          <w:t>（一）</w:t>
        </w:r>
      </w:ins>
      <w:ins w:id="413" w:author="LV" w:date="2026-07-27T15:33:54Z">
        <w:r>
          <w:rPr>
            <w:rFonts w:hint="eastAsia" w:ascii="仿宋_GB2312" w:hAnsi="仿宋_GB2312" w:eastAsia="仿宋_GB2312" w:cs="仿宋_GB2312"/>
            <w:color w:val="auto"/>
            <w:kern w:val="0"/>
            <w:sz w:val="32"/>
            <w:szCs w:val="32"/>
          </w:rPr>
          <w:t>国有能源经营单位，以上级主管部门确定的全年收入总额为准；</w:t>
        </w:r>
      </w:ins>
    </w:p>
    <w:p w14:paraId="09FC126F">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ins w:id="414" w:author="LV" w:date="2026-07-27T15:33:54Z"/>
          <w:rFonts w:hint="eastAsia" w:ascii="仿宋_GB2312" w:hAnsi="仿宋_GB2312" w:eastAsia="仿宋_GB2312" w:cs="仿宋_GB2312"/>
          <w:color w:val="auto"/>
          <w:kern w:val="0"/>
          <w:sz w:val="32"/>
          <w:szCs w:val="32"/>
        </w:rPr>
      </w:pPr>
      <w:ins w:id="415" w:author="LV" w:date="2026-07-27T15:33:54Z">
        <w:r>
          <w:rPr>
            <w:rFonts w:hint="eastAsia" w:ascii="仿宋_GB2312" w:hAnsi="仿宋_GB2312" w:eastAsia="仿宋_GB2312" w:cs="仿宋_GB2312"/>
            <w:color w:val="auto"/>
            <w:kern w:val="0"/>
            <w:sz w:val="32"/>
            <w:szCs w:val="32"/>
          </w:rPr>
          <w:t>（二）非国有能源经营单位，以经财务、税务部门核定的全年收入为准；</w:t>
        </w:r>
      </w:ins>
    </w:p>
    <w:p w14:paraId="64C093BD">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ins w:id="416" w:author="LV" w:date="2026-07-27T15:33:54Z"/>
          <w:rFonts w:hint="eastAsia" w:ascii="仿宋_GB2312" w:hAnsi="仿宋_GB2312" w:eastAsia="仿宋_GB2312" w:cs="仿宋_GB2312"/>
          <w:color w:val="auto"/>
          <w:kern w:val="0"/>
          <w:sz w:val="32"/>
          <w:szCs w:val="32"/>
        </w:rPr>
      </w:pPr>
      <w:ins w:id="417" w:author="LV" w:date="2026-07-27T15:33:54Z">
        <w:r>
          <w:rPr>
            <w:rFonts w:hint="eastAsia" w:ascii="仿宋_GB2312" w:hAnsi="仿宋_GB2312" w:eastAsia="仿宋_GB2312" w:cs="仿宋_GB2312"/>
            <w:color w:val="auto"/>
            <w:kern w:val="0"/>
            <w:sz w:val="32"/>
            <w:szCs w:val="32"/>
          </w:rPr>
          <w:t>（三）生产经营单位提交虚假财务资料，或者因客观原因无法查实上述人员真实上一年年收入、收入难以确定的，参照本省上一年度城镇单位就业人员平均工资核算：主要负责人年收入按照五倍以上十倍以下区间核定；分管负责人、安全生产管理人员、直接负责的主管人员及其他直接责任人员年收入按照一倍以上五倍以下区间核定。</w:t>
        </w:r>
      </w:ins>
    </w:p>
    <w:p w14:paraId="56247ADF">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ins w:id="418" w:author="LV" w:date="2026-07-27T15:33:54Z"/>
          <w:rFonts w:hint="eastAsia" w:ascii="仿宋_GB2312" w:hAnsi="仿宋_GB2312" w:eastAsia="仿宋_GB2312" w:cs="仿宋_GB2312"/>
          <w:color w:val="auto"/>
          <w:kern w:val="0"/>
          <w:sz w:val="32"/>
          <w:szCs w:val="32"/>
        </w:rPr>
      </w:pPr>
      <w:ins w:id="419" w:author="LV" w:date="2026-07-27T15:33:54Z">
        <w:r>
          <w:rPr>
            <w:rFonts w:hint="eastAsia" w:ascii="黑体" w:hAnsi="黑体" w:eastAsia="黑体" w:cs="黑体"/>
            <w:color w:val="auto"/>
            <w:kern w:val="0"/>
            <w:sz w:val="32"/>
            <w:szCs w:val="32"/>
          </w:rPr>
          <w:t>第</w:t>
        </w:r>
      </w:ins>
      <w:ins w:id="420" w:author="LV" w:date="2026-07-27T15:33:54Z">
        <w:r>
          <w:rPr>
            <w:rFonts w:hint="eastAsia" w:ascii="黑体" w:hAnsi="黑体" w:eastAsia="黑体" w:cs="黑体"/>
            <w:color w:val="auto"/>
            <w:kern w:val="0"/>
            <w:sz w:val="32"/>
            <w:szCs w:val="32"/>
            <w:lang w:val="en-US" w:eastAsia="zh-CN"/>
          </w:rPr>
          <w:t>二</w:t>
        </w:r>
      </w:ins>
      <w:ins w:id="421" w:author="LV" w:date="2026-07-27T15:33:54Z">
        <w:r>
          <w:rPr>
            <w:rFonts w:hint="eastAsia" w:ascii="黑体" w:hAnsi="黑体" w:eastAsia="黑体" w:cs="黑体"/>
            <w:color w:val="auto"/>
            <w:kern w:val="0"/>
            <w:sz w:val="32"/>
            <w:szCs w:val="32"/>
            <w:lang w:eastAsia="zh-CN"/>
          </w:rPr>
          <w:t>十</w:t>
        </w:r>
      </w:ins>
      <w:ins w:id="422" w:author="LV" w:date="2026-07-27T15:33:54Z">
        <w:r>
          <w:rPr>
            <w:rFonts w:hint="eastAsia" w:ascii="黑体" w:hAnsi="黑体" w:eastAsia="黑体" w:cs="黑体"/>
            <w:color w:val="auto"/>
            <w:kern w:val="0"/>
            <w:sz w:val="32"/>
            <w:szCs w:val="32"/>
          </w:rPr>
          <w:t>条</w:t>
        </w:r>
      </w:ins>
      <w:ins w:id="423" w:author="LV" w:date="2026-07-27T15:33:54Z">
        <w:r>
          <w:rPr>
            <w:rFonts w:hint="eastAsia" w:ascii="仿宋_GB2312" w:hAnsi="仿宋_GB2312" w:eastAsia="仿宋_GB2312" w:cs="仿宋_GB2312"/>
            <w:color w:val="auto"/>
            <w:kern w:val="0"/>
            <w:sz w:val="32"/>
            <w:szCs w:val="32"/>
          </w:rPr>
          <w:t xml:space="preserve">  本基准所称违法所得按照下列标准核算，依法应当退赔的款项不计入违法所得：</w:t>
        </w:r>
      </w:ins>
    </w:p>
    <w:p w14:paraId="584EA289">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ins w:id="424" w:author="LV" w:date="2026-07-27T15:33:54Z"/>
          <w:rFonts w:hint="eastAsia" w:ascii="仿宋_GB2312" w:hAnsi="仿宋_GB2312" w:eastAsia="仿宋_GB2312" w:cs="仿宋_GB2312"/>
          <w:color w:val="auto"/>
          <w:kern w:val="0"/>
          <w:sz w:val="32"/>
          <w:szCs w:val="32"/>
          <w:lang w:val="en-US" w:eastAsia="zh-CN" w:bidi="ar-SA"/>
        </w:rPr>
      </w:pPr>
      <w:ins w:id="425" w:author="LV" w:date="2026-07-27T15:33:54Z">
        <w:r>
          <w:rPr>
            <w:rFonts w:hint="eastAsia" w:ascii="仿宋_GB2312" w:hAnsi="仿宋_GB2312" w:eastAsia="仿宋_GB2312" w:cs="仿宋_GB2312"/>
            <w:color w:val="auto"/>
            <w:kern w:val="0"/>
            <w:sz w:val="32"/>
            <w:szCs w:val="32"/>
            <w:lang w:val="en-US" w:eastAsia="zh-CN" w:bidi="ar-SA"/>
          </w:rPr>
          <w:t>（一）</w:t>
        </w:r>
      </w:ins>
      <w:ins w:id="426" w:author="LV" w:date="2026-07-27T15:33:54Z">
        <w:r>
          <w:rPr>
            <w:rFonts w:hint="eastAsia" w:ascii="仿宋_GB2312" w:hAnsi="仿宋_GB2312" w:eastAsia="仿宋_GB2312" w:cs="仿宋_GB2312"/>
            <w:color w:val="auto"/>
            <w:kern w:val="0"/>
            <w:sz w:val="32"/>
            <w:szCs w:val="32"/>
          </w:rPr>
          <w:t>从事能源产品生产、加工活动的，以全部产品销售收入计算；</w:t>
        </w:r>
      </w:ins>
    </w:p>
    <w:p w14:paraId="79B77906">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ins w:id="427" w:author="LV" w:date="2026-07-27T15:33:54Z"/>
          <w:rFonts w:hint="eastAsia" w:ascii="仿宋_GB2312" w:hAnsi="仿宋_GB2312" w:eastAsia="仿宋_GB2312" w:cs="仿宋_GB2312"/>
          <w:color w:val="auto"/>
          <w:kern w:val="0"/>
          <w:sz w:val="32"/>
          <w:szCs w:val="32"/>
        </w:rPr>
      </w:pPr>
      <w:ins w:id="428" w:author="LV" w:date="2026-07-27T15:33:54Z">
        <w:r>
          <w:rPr>
            <w:rFonts w:hint="eastAsia" w:ascii="仿宋_GB2312" w:hAnsi="仿宋_GB2312" w:eastAsia="仿宋_GB2312" w:cs="仿宋_GB2312"/>
            <w:color w:val="auto"/>
            <w:kern w:val="0"/>
            <w:sz w:val="32"/>
            <w:szCs w:val="32"/>
          </w:rPr>
          <w:t xml:space="preserve">（二）从事能源商品经销活动的，以全部商品销售收入计算； </w:t>
        </w:r>
      </w:ins>
    </w:p>
    <w:p w14:paraId="36490E65">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ins w:id="429" w:author="LV" w:date="2026-07-27T15:33:54Z"/>
          <w:rFonts w:hint="eastAsia" w:ascii="仿宋_GB2312" w:hAnsi="仿宋_GB2312" w:eastAsia="仿宋_GB2312" w:cs="仿宋_GB2312"/>
          <w:color w:val="auto"/>
          <w:kern w:val="0"/>
          <w:sz w:val="32"/>
          <w:szCs w:val="32"/>
        </w:rPr>
      </w:pPr>
      <w:ins w:id="430" w:author="LV" w:date="2026-07-27T15:33:54Z">
        <w:r>
          <w:rPr>
            <w:rFonts w:hint="eastAsia" w:ascii="仿宋_GB2312" w:hAnsi="仿宋_GB2312" w:eastAsia="仿宋_GB2312" w:cs="仿宋_GB2312"/>
            <w:color w:val="auto"/>
            <w:kern w:val="0"/>
            <w:sz w:val="32"/>
            <w:szCs w:val="32"/>
          </w:rPr>
          <w:t>（三）从事安全中介、管道运维、能源租赁等服务经营活动的，以全部服务报酬、营业收入计算；</w:t>
        </w:r>
      </w:ins>
    </w:p>
    <w:p w14:paraId="3994D639">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ins w:id="431" w:author="LV" w:date="2026-07-27T15:33:54Z"/>
          <w:rFonts w:hint="eastAsia" w:ascii="仿宋_GB2312" w:hAnsi="仿宋_GB2312" w:eastAsia="仿宋_GB2312" w:cs="仿宋_GB2312"/>
          <w:color w:val="auto"/>
          <w:kern w:val="0"/>
          <w:sz w:val="32"/>
          <w:szCs w:val="32"/>
        </w:rPr>
      </w:pPr>
      <w:ins w:id="432" w:author="LV" w:date="2026-07-27T15:33:54Z">
        <w:r>
          <w:rPr>
            <w:rFonts w:hint="eastAsia" w:ascii="仿宋_GB2312" w:hAnsi="仿宋_GB2312" w:eastAsia="仿宋_GB2312" w:cs="仿宋_GB2312"/>
            <w:color w:val="auto"/>
            <w:kern w:val="0"/>
            <w:sz w:val="32"/>
            <w:szCs w:val="32"/>
          </w:rPr>
          <w:t>（四）销售收入难以查实的，参照本地同规模同类能源经营主体平均销售收入予以核定；</w:t>
        </w:r>
      </w:ins>
    </w:p>
    <w:p w14:paraId="4093A469">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ins w:id="433" w:author="LV" w:date="2026-07-27T15:33:54Z"/>
          <w:rFonts w:hint="eastAsia" w:ascii="仿宋_GB2312" w:hAnsi="仿宋_GB2312" w:eastAsia="仿宋_GB2312" w:cs="仿宋_GB2312"/>
          <w:color w:val="auto"/>
          <w:kern w:val="0"/>
          <w:sz w:val="32"/>
          <w:szCs w:val="32"/>
        </w:rPr>
      </w:pPr>
      <w:ins w:id="434" w:author="LV" w:date="2026-07-27T15:33:54Z">
        <w:r>
          <w:rPr>
            <w:rFonts w:hint="eastAsia" w:ascii="仿宋_GB2312" w:hAnsi="仿宋_GB2312" w:eastAsia="仿宋_GB2312" w:cs="仿宋_GB2312"/>
            <w:color w:val="auto"/>
            <w:kern w:val="0"/>
            <w:sz w:val="32"/>
            <w:szCs w:val="32"/>
          </w:rPr>
          <w:t>（五）服务收入难以查实的，参照本地同行业同类服务平均报酬予以核定；</w:t>
        </w:r>
      </w:ins>
    </w:p>
    <w:p w14:paraId="0062D031">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ins w:id="435" w:author="LV" w:date="2026-07-27T15:33:54Z"/>
          <w:rFonts w:hint="eastAsia" w:ascii="仿宋_GB2312" w:hAnsi="仿宋_GB2312" w:eastAsia="仿宋_GB2312" w:cs="仿宋_GB2312"/>
          <w:color w:val="auto"/>
          <w:kern w:val="0"/>
          <w:sz w:val="32"/>
          <w:szCs w:val="32"/>
        </w:rPr>
      </w:pPr>
      <w:ins w:id="436" w:author="LV" w:date="2026-07-27T15:33:54Z">
        <w:r>
          <w:rPr>
            <w:rFonts w:hint="eastAsia" w:ascii="仿宋_GB2312" w:hAnsi="仿宋_GB2312" w:eastAsia="仿宋_GB2312" w:cs="仿宋_GB2312"/>
            <w:color w:val="auto"/>
            <w:kern w:val="0"/>
            <w:sz w:val="32"/>
            <w:szCs w:val="32"/>
          </w:rPr>
          <w:t>（六）其他能源领域违法行为的违法所得，按照相关法律、法规、规章规定核算；无明确规定的，结合实际情况综合认定。</w:t>
        </w:r>
      </w:ins>
    </w:p>
    <w:p w14:paraId="68D0F7D9">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ins w:id="437" w:author="LV" w:date="2026-07-27T15:33:54Z"/>
          <w:rFonts w:hint="eastAsia" w:ascii="仿宋_GB2312" w:hAnsi="仿宋_GB2312" w:eastAsia="仿宋_GB2312" w:cs="仿宋_GB2312"/>
          <w:color w:val="auto"/>
          <w:kern w:val="0"/>
          <w:sz w:val="32"/>
          <w:szCs w:val="32"/>
        </w:rPr>
      </w:pPr>
      <w:ins w:id="438" w:author="LV" w:date="2026-07-27T15:33:54Z">
        <w:r>
          <w:rPr>
            <w:rFonts w:hint="eastAsia" w:ascii="黑体" w:hAnsi="黑体" w:eastAsia="黑体" w:cs="黑体"/>
            <w:color w:val="auto"/>
            <w:kern w:val="0"/>
            <w:sz w:val="32"/>
            <w:szCs w:val="32"/>
          </w:rPr>
          <w:t>第</w:t>
        </w:r>
      </w:ins>
      <w:ins w:id="439" w:author="LV" w:date="2026-07-27T15:33:54Z">
        <w:r>
          <w:rPr>
            <w:rFonts w:hint="eastAsia" w:ascii="黑体" w:hAnsi="黑体" w:eastAsia="黑体" w:cs="黑体"/>
            <w:color w:val="auto"/>
            <w:kern w:val="0"/>
            <w:sz w:val="32"/>
            <w:szCs w:val="32"/>
            <w:lang w:eastAsia="zh-CN"/>
          </w:rPr>
          <w:t>二十</w:t>
        </w:r>
      </w:ins>
      <w:ins w:id="440" w:author="LV" w:date="2026-07-27T15:33:54Z">
        <w:r>
          <w:rPr>
            <w:rFonts w:hint="eastAsia" w:ascii="黑体" w:hAnsi="黑体" w:eastAsia="黑体" w:cs="黑体"/>
            <w:color w:val="auto"/>
            <w:kern w:val="0"/>
            <w:sz w:val="32"/>
            <w:szCs w:val="32"/>
            <w:lang w:val="en-US" w:eastAsia="zh-CN"/>
          </w:rPr>
          <w:t>一</w:t>
        </w:r>
      </w:ins>
      <w:ins w:id="441" w:author="LV" w:date="2026-07-27T15:33:54Z">
        <w:r>
          <w:rPr>
            <w:rFonts w:hint="eastAsia" w:ascii="黑体" w:hAnsi="黑体" w:eastAsia="黑体" w:cs="黑体"/>
            <w:color w:val="auto"/>
            <w:kern w:val="0"/>
            <w:sz w:val="32"/>
            <w:szCs w:val="32"/>
          </w:rPr>
          <w:t xml:space="preserve">条  </w:t>
        </w:r>
      </w:ins>
      <w:ins w:id="442" w:author="LV" w:date="2026-07-27T15:33:54Z">
        <w:r>
          <w:rPr>
            <w:rFonts w:hint="eastAsia" w:ascii="仿宋_GB2312" w:hAnsi="仿宋_GB2312" w:eastAsia="仿宋_GB2312" w:cs="仿宋_GB2312"/>
            <w:color w:val="auto"/>
            <w:kern w:val="0"/>
            <w:sz w:val="32"/>
            <w:szCs w:val="32"/>
          </w:rPr>
          <w:t>如对应的法律、法规中未明确是否包含本数的，本基准处罚标准中的“以上”包括本数，最高等级处罚标准中的“以下”包括本数，除此之外处罚标准中的“以下”不包括本数。</w:t>
        </w:r>
      </w:ins>
    </w:p>
    <w:p w14:paraId="0D16BEC4">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ins w:id="443" w:author="LV" w:date="2026-07-27T15:33:54Z"/>
          <w:rFonts w:hint="eastAsia" w:ascii="仿宋_GB2312" w:hAnsi="仿宋_GB2312" w:eastAsia="仿宋_GB2312" w:cs="仿宋_GB2312"/>
          <w:color w:val="auto"/>
          <w:kern w:val="0"/>
          <w:sz w:val="32"/>
          <w:szCs w:val="32"/>
        </w:rPr>
      </w:pPr>
      <w:ins w:id="444" w:author="LV" w:date="2026-07-27T15:33:54Z">
        <w:r>
          <w:rPr>
            <w:rFonts w:hint="eastAsia" w:ascii="黑体" w:hAnsi="黑体" w:eastAsia="黑体" w:cs="黑体"/>
            <w:color w:val="auto"/>
            <w:kern w:val="0"/>
            <w:sz w:val="32"/>
            <w:szCs w:val="32"/>
          </w:rPr>
          <w:t>第二十</w:t>
        </w:r>
      </w:ins>
      <w:ins w:id="445" w:author="LV" w:date="2026-07-27T15:33:54Z">
        <w:r>
          <w:rPr>
            <w:rFonts w:hint="eastAsia" w:ascii="黑体" w:hAnsi="黑体" w:eastAsia="黑体" w:cs="黑体"/>
            <w:color w:val="auto"/>
            <w:kern w:val="0"/>
            <w:sz w:val="32"/>
            <w:szCs w:val="32"/>
            <w:lang w:val="en-US" w:eastAsia="zh-CN"/>
          </w:rPr>
          <w:t>二</w:t>
        </w:r>
      </w:ins>
      <w:ins w:id="446" w:author="LV" w:date="2026-07-27T15:33:54Z">
        <w:r>
          <w:rPr>
            <w:rFonts w:hint="eastAsia" w:ascii="黑体" w:hAnsi="黑体" w:eastAsia="黑体" w:cs="黑体"/>
            <w:color w:val="auto"/>
            <w:kern w:val="0"/>
            <w:sz w:val="32"/>
            <w:szCs w:val="32"/>
          </w:rPr>
          <w:t>条</w:t>
        </w:r>
      </w:ins>
      <w:ins w:id="447" w:author="LV" w:date="2026-07-27T15:33:54Z">
        <w:r>
          <w:rPr>
            <w:rFonts w:hint="eastAsia" w:ascii="仿宋_GB2312" w:hAnsi="仿宋_GB2312" w:eastAsia="仿宋_GB2312" w:cs="仿宋_GB2312"/>
            <w:color w:val="auto"/>
            <w:kern w:val="0"/>
            <w:sz w:val="32"/>
            <w:szCs w:val="32"/>
          </w:rPr>
          <w:t xml:space="preserve">  本基准自印发之日起施行。</w:t>
        </w:r>
      </w:ins>
    </w:p>
    <w:p w14:paraId="12C79735">
      <w:pPr>
        <w:overflowPunct w:val="0"/>
        <w:adjustRightInd w:val="0"/>
        <w:snapToGrid w:val="0"/>
        <w:spacing w:line="560" w:lineRule="exact"/>
        <w:ind w:firstLine="640" w:firstLineChars="200"/>
        <w:rPr>
          <w:ins w:id="448" w:author="LV" w:date="2026-07-27T15:33:54Z"/>
          <w:rFonts w:ascii="仿宋_GB2312" w:hAnsi="仿宋_GB2312" w:eastAsia="仿宋_GB2312" w:cs="仿宋_GB2312"/>
          <w:color w:val="auto"/>
          <w:kern w:val="0"/>
          <w:sz w:val="32"/>
          <w:szCs w:val="32"/>
        </w:rPr>
      </w:pPr>
    </w:p>
    <w:p w14:paraId="0B57C57B">
      <w:pPr>
        <w:overflowPunct w:val="0"/>
        <w:adjustRightInd w:val="0"/>
        <w:snapToGrid w:val="0"/>
        <w:spacing w:line="560" w:lineRule="exact"/>
        <w:ind w:firstLine="640" w:firstLineChars="200"/>
        <w:rPr>
          <w:ins w:id="449" w:author="LV" w:date="2026-07-27T15:33:54Z"/>
          <w:rFonts w:hint="eastAsia" w:ascii="仿宋_GB2312" w:hAnsi="仿宋_GB2312" w:eastAsia="仿宋_GB2312" w:cs="仿宋_GB2312"/>
          <w:color w:val="auto"/>
          <w:kern w:val="0"/>
          <w:sz w:val="32"/>
          <w:szCs w:val="32"/>
          <w:lang w:val="en-US" w:eastAsia="zh-CN"/>
        </w:rPr>
        <w:sectPr>
          <w:footerReference r:id="rId3" w:type="default"/>
          <w:pgSz w:w="11906" w:h="16838"/>
          <w:pgMar w:top="2098" w:right="1474" w:bottom="1984" w:left="1588" w:header="851" w:footer="1531" w:gutter="0"/>
          <w:pgBorders>
            <w:top w:val="none" w:sz="0" w:space="0"/>
            <w:left w:val="none" w:sz="0" w:space="0"/>
            <w:bottom w:val="none" w:sz="0" w:space="0"/>
            <w:right w:val="none" w:sz="0" w:space="0"/>
          </w:pgBorders>
          <w:pgNumType w:fmt="decimal" w:start="1"/>
          <w:cols w:space="0" w:num="1"/>
          <w:docGrid w:type="lines" w:linePitch="312" w:charSpace="0"/>
        </w:sectPr>
      </w:pPr>
      <w:ins w:id="450" w:author="LV" w:date="2026-07-27T15:33:54Z">
        <w:r>
          <w:rPr>
            <w:rFonts w:hint="eastAsia" w:ascii="仿宋_GB2312" w:hAnsi="仿宋_GB2312" w:eastAsia="仿宋_GB2312" w:cs="仿宋_GB2312"/>
            <w:color w:val="auto"/>
            <w:kern w:val="0"/>
            <w:sz w:val="32"/>
            <w:szCs w:val="32"/>
          </w:rPr>
          <w:t>附件：山东省能源行政处罚裁量权基准</w:t>
        </w:r>
      </w:ins>
      <w:ins w:id="451" w:author="LV" w:date="2026-07-27T16:03:12Z">
        <w:r>
          <w:rPr>
            <w:rFonts w:hint="eastAsia" w:ascii="仿宋_GB2312" w:hAnsi="仿宋_GB2312" w:eastAsia="仿宋_GB2312" w:cs="仿宋_GB2312"/>
            <w:color w:val="auto"/>
            <w:kern w:val="0"/>
            <w:sz w:val="32"/>
            <w:szCs w:val="32"/>
            <w:lang w:val="en-US" w:eastAsia="zh-CN"/>
          </w:rPr>
          <w:t>表</w:t>
        </w:r>
      </w:ins>
      <w:bookmarkStart w:id="4" w:name="_GoBack"/>
      <w:bookmarkEnd w:id="4"/>
    </w:p>
    <w:p w14:paraId="036B332E">
      <w:pPr>
        <w:keepNext w:val="0"/>
        <w:keepLines w:val="0"/>
        <w:pageBreakBefore w:val="0"/>
        <w:widowControl w:val="0"/>
        <w:kinsoku/>
        <w:wordWrap/>
        <w:overflowPunct w:val="0"/>
        <w:topLinePunct w:val="0"/>
        <w:autoSpaceDE/>
        <w:autoSpaceDN/>
        <w:bidi w:val="0"/>
        <w:adjustRightInd w:val="0"/>
        <w:snapToGrid w:val="0"/>
        <w:spacing w:line="578" w:lineRule="exact"/>
        <w:ind w:firstLine="0" w:firstLineChars="0"/>
        <w:jc w:val="center"/>
        <w:textAlignment w:val="auto"/>
        <w:rPr>
          <w:del w:id="453" w:author="LV" w:date="2026-07-27T15:37:07Z"/>
          <w:rFonts w:ascii="楷体_GB2312" w:hAnsi="楷体_GB2312" w:eastAsia="楷体_GB2312" w:cs="楷体_GB2312"/>
          <w:bCs/>
          <w:color w:val="auto"/>
          <w:kern w:val="0"/>
          <w:sz w:val="32"/>
          <w:szCs w:val="32"/>
          <w:rPrChange w:id="454" w:author="LV" w:date="2026-07-22T20:40:36Z">
            <w:rPr>
              <w:del w:id="455" w:author="LV" w:date="2026-07-27T15:37:07Z"/>
              <w:rFonts w:ascii="楷体_GB2312" w:hAnsi="楷体_GB2312" w:eastAsia="楷体_GB2312" w:cs="楷体_GB2312"/>
              <w:bCs/>
              <w:kern w:val="0"/>
              <w:sz w:val="32"/>
              <w:szCs w:val="32"/>
            </w:rPr>
          </w:rPrChange>
        </w:rPr>
        <w:pPrChange w:id="452" w:author="LV" w:date="2026-07-13T09:55:12Z">
          <w:pPr>
            <w:keepNext w:val="0"/>
            <w:keepLines w:val="0"/>
            <w:pageBreakBefore w:val="0"/>
            <w:widowControl w:val="0"/>
            <w:kinsoku/>
            <w:wordWrap/>
            <w:overflowPunct w:val="0"/>
            <w:topLinePunct w:val="0"/>
            <w:autoSpaceDE/>
            <w:autoSpaceDN/>
            <w:bidi w:val="0"/>
            <w:adjustRightInd w:val="0"/>
            <w:snapToGrid w:val="0"/>
            <w:spacing w:line="578" w:lineRule="exact"/>
            <w:ind w:firstLine="640" w:firstLineChars="200"/>
            <w:textAlignment w:val="auto"/>
          </w:pPr>
        </w:pPrChange>
      </w:pPr>
    </w:p>
    <w:p w14:paraId="435F38D4">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left="0" w:leftChars="0" w:right="0" w:rightChars="0" w:firstLine="0" w:firstLineChars="0"/>
        <w:jc w:val="both"/>
        <w:textAlignment w:val="auto"/>
        <w:rPr>
          <w:del w:id="457" w:author="LV" w:date="2026-07-27T15:37:04Z"/>
          <w:rFonts w:ascii="仿宋_GB2312" w:hAnsi="仿宋_GB2312" w:eastAsia="仿宋_GB2312" w:cs="仿宋_GB2312"/>
          <w:color w:val="auto"/>
          <w:kern w:val="0"/>
          <w:sz w:val="32"/>
          <w:szCs w:val="32"/>
          <w:rPrChange w:id="458" w:author="LV" w:date="2026-07-22T20:40:36Z">
            <w:rPr>
              <w:del w:id="459" w:author="LV" w:date="2026-07-27T15:37:04Z"/>
              <w:rFonts w:ascii="仿宋_GB2312" w:hAnsi="仿宋_GB2312" w:eastAsia="仿宋_GB2312" w:cs="仿宋_GB2312"/>
              <w:kern w:val="0"/>
              <w:sz w:val="32"/>
              <w:szCs w:val="32"/>
            </w:rPr>
          </w:rPrChange>
        </w:rPr>
        <w:pPrChange w:id="456" w:author="LV" w:date="2026-07-20T16:37:41Z">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jc w:val="both"/>
            <w:textAlignment w:val="auto"/>
          </w:pPr>
        </w:pPrChange>
      </w:pPr>
      <w:del w:id="460" w:author="LV" w:date="2026-07-27T15:37:04Z">
        <w:r>
          <w:rPr>
            <w:rFonts w:hint="eastAsia" w:ascii="黑体" w:hAnsi="黑体" w:eastAsia="黑体" w:cs="黑体"/>
            <w:color w:val="auto"/>
            <w:kern w:val="0"/>
            <w:sz w:val="32"/>
            <w:szCs w:val="32"/>
            <w:rPrChange w:id="461" w:author="LV" w:date="2026-07-22T20:40:36Z">
              <w:rPr>
                <w:rFonts w:hint="eastAsia" w:ascii="黑体" w:hAnsi="黑体" w:eastAsia="黑体" w:cs="黑体"/>
                <w:kern w:val="0"/>
                <w:sz w:val="32"/>
                <w:szCs w:val="32"/>
              </w:rPr>
            </w:rPrChange>
          </w:rPr>
          <w:delText>第一条</w:delText>
        </w:r>
      </w:del>
      <w:del w:id="462" w:author="LV" w:date="2026-07-27T15:37:04Z">
        <w:r>
          <w:rPr>
            <w:rFonts w:hint="eastAsia" w:ascii="仿宋_GB2312" w:hAnsi="仿宋_GB2312" w:eastAsia="仿宋_GB2312" w:cs="仿宋_GB2312"/>
            <w:color w:val="auto"/>
            <w:kern w:val="0"/>
            <w:sz w:val="32"/>
            <w:szCs w:val="32"/>
            <w:rPrChange w:id="463" w:author="LV" w:date="2026-07-22T20:40:36Z">
              <w:rPr>
                <w:rFonts w:hint="eastAsia" w:ascii="仿宋_GB2312" w:hAnsi="仿宋_GB2312" w:eastAsia="仿宋_GB2312" w:cs="仿宋_GB2312"/>
                <w:kern w:val="0"/>
                <w:sz w:val="32"/>
                <w:szCs w:val="32"/>
              </w:rPr>
            </w:rPrChange>
          </w:rPr>
          <w:delText xml:space="preserve">  </w:delText>
        </w:r>
      </w:del>
      <w:del w:id="464" w:author="LV" w:date="2026-07-27T15:37:04Z">
        <w:r>
          <w:rPr>
            <w:rFonts w:hint="eastAsia" w:ascii="仿宋_GB2312" w:hAnsi="仿宋_GB2312" w:eastAsia="仿宋_GB2312" w:cs="仿宋_GB2312"/>
            <w:color w:val="auto"/>
            <w:kern w:val="0"/>
            <w:sz w:val="32"/>
            <w:szCs w:val="32"/>
            <w:rPrChange w:id="465" w:author="LV" w:date="2026-07-22T20:40:36Z">
              <w:rPr>
                <w:rFonts w:hint="eastAsia" w:ascii="仿宋_GB2312" w:hAnsi="仿宋_GB2312" w:eastAsia="仿宋_GB2312" w:cs="仿宋_GB2312"/>
                <w:kern w:val="0"/>
                <w:sz w:val="32"/>
                <w:szCs w:val="32"/>
              </w:rPr>
            </w:rPrChange>
          </w:rPr>
          <w:delText>为规范行政处罚裁量权的行使，</w:delText>
        </w:r>
      </w:del>
      <w:del w:id="466" w:author="LV" w:date="2026-07-27T15:37:04Z">
        <w:r>
          <w:rPr>
            <w:rFonts w:hint="eastAsia" w:ascii="仿宋_GB2312" w:hAnsi="仿宋_GB2312" w:eastAsia="仿宋_GB2312" w:cs="仿宋_GB2312"/>
            <w:color w:val="auto"/>
            <w:kern w:val="0"/>
            <w:sz w:val="32"/>
            <w:szCs w:val="32"/>
            <w:lang w:eastAsia="zh-Hans"/>
            <w:rPrChange w:id="467" w:author="LV" w:date="2026-07-22T20:40:36Z">
              <w:rPr>
                <w:rFonts w:hint="eastAsia" w:ascii="仿宋_GB2312" w:hAnsi="仿宋_GB2312" w:eastAsia="仿宋_GB2312" w:cs="仿宋_GB2312"/>
                <w:kern w:val="0"/>
                <w:sz w:val="32"/>
                <w:szCs w:val="32"/>
                <w:lang w:eastAsia="zh-Hans"/>
              </w:rPr>
            </w:rPrChange>
          </w:rPr>
          <w:delText>保障和监督</w:delText>
        </w:r>
      </w:del>
      <w:del w:id="468" w:author="LV" w:date="2026-07-27T15:37:04Z">
        <w:r>
          <w:rPr>
            <w:rFonts w:hint="eastAsia" w:ascii="仿宋_GB2312" w:hAnsi="仿宋_GB2312" w:eastAsia="仿宋_GB2312" w:cs="仿宋_GB2312"/>
            <w:color w:val="auto"/>
            <w:kern w:val="0"/>
            <w:sz w:val="32"/>
            <w:szCs w:val="32"/>
            <w:rPrChange w:id="469" w:author="LV" w:date="2026-07-22T20:40:36Z">
              <w:rPr>
                <w:rFonts w:hint="eastAsia" w:ascii="仿宋_GB2312" w:hAnsi="仿宋_GB2312" w:eastAsia="仿宋_GB2312" w:cs="仿宋_GB2312"/>
                <w:kern w:val="0"/>
                <w:sz w:val="32"/>
                <w:szCs w:val="32"/>
              </w:rPr>
            </w:rPrChange>
          </w:rPr>
          <w:delText>全省</w:delText>
        </w:r>
      </w:del>
      <w:del w:id="470" w:author="LV" w:date="2026-07-27T15:37:04Z">
        <w:r>
          <w:rPr>
            <w:rFonts w:hint="eastAsia" w:ascii="仿宋_GB2312" w:hAnsi="仿宋_GB2312" w:eastAsia="仿宋_GB2312" w:cs="仿宋_GB2312"/>
            <w:color w:val="auto"/>
            <w:kern w:val="0"/>
            <w:sz w:val="32"/>
            <w:szCs w:val="32"/>
            <w:lang w:eastAsia="zh-Hans"/>
            <w:rPrChange w:id="471" w:author="LV" w:date="2026-07-22T20:40:36Z">
              <w:rPr>
                <w:rFonts w:hint="eastAsia" w:ascii="仿宋_GB2312" w:hAnsi="仿宋_GB2312" w:eastAsia="仿宋_GB2312" w:cs="仿宋_GB2312"/>
                <w:kern w:val="0"/>
                <w:sz w:val="32"/>
                <w:szCs w:val="32"/>
                <w:lang w:eastAsia="zh-Hans"/>
              </w:rPr>
            </w:rPrChange>
          </w:rPr>
          <w:delText>能源</w:delText>
        </w:r>
      </w:del>
      <w:del w:id="472" w:author="LV" w:date="2026-07-27T15:37:04Z">
        <w:r>
          <w:rPr>
            <w:rFonts w:hint="eastAsia" w:ascii="仿宋_GB2312" w:hAnsi="仿宋_GB2312" w:eastAsia="仿宋_GB2312" w:cs="仿宋_GB2312"/>
            <w:color w:val="auto"/>
            <w:kern w:val="0"/>
            <w:sz w:val="32"/>
            <w:szCs w:val="32"/>
            <w:rPrChange w:id="473" w:author="LV" w:date="2026-07-22T20:40:36Z">
              <w:rPr>
                <w:rFonts w:hint="eastAsia" w:ascii="仿宋_GB2312" w:hAnsi="仿宋_GB2312" w:eastAsia="仿宋_GB2312" w:cs="仿宋_GB2312"/>
                <w:kern w:val="0"/>
                <w:sz w:val="32"/>
                <w:szCs w:val="32"/>
              </w:rPr>
            </w:rPrChange>
          </w:rPr>
          <w:delText>系统</w:delText>
        </w:r>
      </w:del>
      <w:del w:id="474" w:author="LV" w:date="2026-07-27T15:37:04Z">
        <w:r>
          <w:rPr>
            <w:rFonts w:hint="eastAsia" w:ascii="仿宋_GB2312" w:hAnsi="仿宋_GB2312" w:eastAsia="仿宋_GB2312" w:cs="仿宋_GB2312"/>
            <w:color w:val="auto"/>
            <w:kern w:val="0"/>
            <w:sz w:val="32"/>
            <w:szCs w:val="32"/>
            <w:lang w:eastAsia="zh-Hans"/>
            <w:rPrChange w:id="475" w:author="LV" w:date="2026-07-22T20:40:36Z">
              <w:rPr>
                <w:rFonts w:hint="eastAsia" w:ascii="仿宋_GB2312" w:hAnsi="仿宋_GB2312" w:eastAsia="仿宋_GB2312" w:cs="仿宋_GB2312"/>
                <w:kern w:val="0"/>
                <w:sz w:val="32"/>
                <w:szCs w:val="32"/>
                <w:lang w:eastAsia="zh-Hans"/>
              </w:rPr>
            </w:rPrChange>
          </w:rPr>
          <w:delText>依法、</w:delText>
        </w:r>
      </w:del>
      <w:del w:id="476" w:author="LV" w:date="2026-07-27T15:37:04Z">
        <w:r>
          <w:rPr>
            <w:rFonts w:hint="eastAsia" w:ascii="仿宋_GB2312" w:hAnsi="仿宋_GB2312" w:eastAsia="仿宋_GB2312" w:cs="仿宋_GB2312"/>
            <w:color w:val="auto"/>
            <w:kern w:val="0"/>
            <w:sz w:val="32"/>
            <w:szCs w:val="32"/>
            <w:rPrChange w:id="477" w:author="LV" w:date="2026-07-22T20:40:36Z">
              <w:rPr>
                <w:rFonts w:hint="eastAsia" w:ascii="仿宋_GB2312" w:hAnsi="仿宋_GB2312" w:eastAsia="仿宋_GB2312" w:cs="仿宋_GB2312"/>
                <w:kern w:val="0"/>
                <w:sz w:val="32"/>
                <w:szCs w:val="32"/>
              </w:rPr>
            </w:rPrChange>
          </w:rPr>
          <w:delText>适当行使行政处罚自由裁量权，确保依法行政、合理行政，维护社会公共利益和能源投资者、经营者、使用者的合法权益，根据《中华人民共和国行政处罚法》</w:delText>
        </w:r>
      </w:del>
      <w:del w:id="478" w:author="LV" w:date="2026-07-27T15:37:04Z">
        <w:r>
          <w:rPr>
            <w:rFonts w:hint="eastAsia" w:ascii="仿宋_GB2312" w:hAnsi="仿宋_GB2312" w:eastAsia="仿宋_GB2312" w:cs="仿宋_GB2312"/>
            <w:b w:val="0"/>
            <w:bCs w:val="0"/>
            <w:i w:val="0"/>
            <w:iCs w:val="0"/>
            <w:caps w:val="0"/>
            <w:color w:val="auto"/>
            <w:spacing w:val="0"/>
            <w:kern w:val="0"/>
            <w:sz w:val="32"/>
            <w:szCs w:val="32"/>
            <w:shd w:val="clear"/>
            <w:lang w:eastAsia="zh-CN"/>
            <w:rPrChange w:id="479" w:author="LV" w:date="2026-07-22T20:40:36Z">
              <w:rPr>
                <w:rFonts w:hint="eastAsia" w:ascii="仿宋_GB2312" w:hAnsi="仿宋_GB2312" w:eastAsia="仿宋_GB2312" w:cs="仿宋_GB2312"/>
                <w:b w:val="0"/>
                <w:bCs w:val="0"/>
                <w:i w:val="0"/>
                <w:iCs w:val="0"/>
                <w:caps w:val="0"/>
                <w:spacing w:val="0"/>
                <w:kern w:val="0"/>
                <w:sz w:val="32"/>
                <w:szCs w:val="32"/>
                <w:shd w:val="clear"/>
                <w:lang w:eastAsia="zh-CN"/>
              </w:rPr>
            </w:rPrChange>
          </w:rPr>
          <w:delText>《</w:delText>
        </w:r>
      </w:del>
      <w:del w:id="480" w:author="LV" w:date="2026-07-27T15:37:04Z">
        <w:r>
          <w:rPr>
            <w:rFonts w:hint="eastAsia" w:ascii="仿宋_GB2312" w:hAnsi="仿宋_GB2312" w:eastAsia="仿宋_GB2312" w:cs="仿宋_GB2312"/>
            <w:b w:val="0"/>
            <w:bCs w:val="0"/>
            <w:i w:val="0"/>
            <w:iCs w:val="0"/>
            <w:caps w:val="0"/>
            <w:color w:val="auto"/>
            <w:spacing w:val="0"/>
            <w:kern w:val="0"/>
            <w:sz w:val="32"/>
            <w:szCs w:val="32"/>
            <w:shd w:val="clear"/>
            <w:rPrChange w:id="481" w:author="LV" w:date="2026-07-22T20:40:36Z">
              <w:rPr>
                <w:rFonts w:hint="eastAsia" w:ascii="仿宋_GB2312" w:hAnsi="仿宋_GB2312" w:eastAsia="仿宋_GB2312" w:cs="仿宋_GB2312"/>
                <w:b w:val="0"/>
                <w:bCs w:val="0"/>
                <w:i w:val="0"/>
                <w:iCs w:val="0"/>
                <w:caps w:val="0"/>
                <w:spacing w:val="0"/>
                <w:kern w:val="0"/>
                <w:sz w:val="32"/>
                <w:szCs w:val="32"/>
                <w:shd w:val="clear"/>
              </w:rPr>
            </w:rPrChange>
          </w:rPr>
          <w:delText>中华人民共和国能源法</w:delText>
        </w:r>
      </w:del>
      <w:del w:id="482" w:author="LV" w:date="2026-07-27T15:37:04Z">
        <w:r>
          <w:rPr>
            <w:rFonts w:hint="eastAsia" w:ascii="仿宋_GB2312" w:hAnsi="仿宋_GB2312" w:eastAsia="仿宋_GB2312" w:cs="仿宋_GB2312"/>
            <w:b w:val="0"/>
            <w:bCs w:val="0"/>
            <w:i w:val="0"/>
            <w:iCs w:val="0"/>
            <w:caps w:val="0"/>
            <w:color w:val="auto"/>
            <w:spacing w:val="0"/>
            <w:kern w:val="0"/>
            <w:sz w:val="32"/>
            <w:szCs w:val="32"/>
            <w:shd w:val="clear"/>
            <w:lang w:eastAsia="zh-CN"/>
            <w:rPrChange w:id="483" w:author="LV" w:date="2026-07-22T20:40:36Z">
              <w:rPr>
                <w:rFonts w:hint="eastAsia" w:ascii="仿宋_GB2312" w:hAnsi="仿宋_GB2312" w:eastAsia="仿宋_GB2312" w:cs="仿宋_GB2312"/>
                <w:b w:val="0"/>
                <w:bCs w:val="0"/>
                <w:i w:val="0"/>
                <w:iCs w:val="0"/>
                <w:caps w:val="0"/>
                <w:spacing w:val="0"/>
                <w:kern w:val="0"/>
                <w:sz w:val="32"/>
                <w:szCs w:val="32"/>
                <w:shd w:val="clear"/>
                <w:lang w:eastAsia="zh-CN"/>
              </w:rPr>
            </w:rPrChange>
          </w:rPr>
          <w:delText>》</w:delText>
        </w:r>
      </w:del>
      <w:del w:id="484" w:author="LV" w:date="2026-07-27T15:37:04Z">
        <w:r>
          <w:rPr>
            <w:rFonts w:hint="eastAsia" w:ascii="仿宋_GB2312" w:hAnsi="仿宋_GB2312" w:eastAsia="仿宋_GB2312" w:cs="仿宋_GB2312"/>
            <w:color w:val="auto"/>
            <w:kern w:val="0"/>
            <w:sz w:val="32"/>
            <w:szCs w:val="32"/>
            <w:rPrChange w:id="485" w:author="LV" w:date="2026-07-22T20:40:36Z">
              <w:rPr>
                <w:rFonts w:hint="eastAsia" w:ascii="仿宋_GB2312" w:hAnsi="仿宋_GB2312" w:eastAsia="仿宋_GB2312" w:cs="仿宋_GB2312"/>
                <w:kern w:val="0"/>
                <w:sz w:val="32"/>
                <w:szCs w:val="32"/>
              </w:rPr>
            </w:rPrChange>
          </w:rPr>
          <w:delText>《中华人民共和国安全生产法》《</w:delText>
        </w:r>
      </w:del>
      <w:del w:id="486" w:author="LV" w:date="2026-07-27T15:37:04Z">
        <w:r>
          <w:rPr>
            <w:rFonts w:hint="eastAsia" w:ascii="仿宋_GB2312" w:hAnsi="仿宋_GB2312" w:eastAsia="仿宋_GB2312" w:cs="仿宋_GB2312"/>
            <w:color w:val="auto"/>
            <w:kern w:val="0"/>
            <w:sz w:val="32"/>
            <w:szCs w:val="32"/>
            <w:lang w:eastAsia="zh-Hans"/>
            <w:rPrChange w:id="487" w:author="LV" w:date="2026-07-22T20:40:36Z">
              <w:rPr>
                <w:rFonts w:hint="eastAsia" w:ascii="仿宋_GB2312" w:hAnsi="仿宋_GB2312" w:eastAsia="仿宋_GB2312" w:cs="仿宋_GB2312"/>
                <w:kern w:val="0"/>
                <w:sz w:val="32"/>
                <w:szCs w:val="32"/>
                <w:lang w:eastAsia="zh-Hans"/>
              </w:rPr>
            </w:rPrChange>
          </w:rPr>
          <w:delText>中华人民共和国</w:delText>
        </w:r>
      </w:del>
      <w:del w:id="488" w:author="LV" w:date="2026-07-27T15:37:04Z">
        <w:r>
          <w:rPr>
            <w:rFonts w:hint="eastAsia" w:ascii="仿宋_GB2312" w:hAnsi="仿宋_GB2312" w:eastAsia="仿宋_GB2312" w:cs="仿宋_GB2312"/>
            <w:color w:val="auto"/>
            <w:kern w:val="0"/>
            <w:sz w:val="32"/>
            <w:szCs w:val="32"/>
            <w:rPrChange w:id="489" w:author="LV" w:date="2026-07-22T20:40:36Z">
              <w:rPr>
                <w:rFonts w:hint="eastAsia" w:ascii="仿宋_GB2312" w:hAnsi="仿宋_GB2312" w:eastAsia="仿宋_GB2312" w:cs="仿宋_GB2312"/>
                <w:kern w:val="0"/>
                <w:sz w:val="32"/>
                <w:szCs w:val="32"/>
              </w:rPr>
            </w:rPrChange>
          </w:rPr>
          <w:delText>煤炭法》《</w:delText>
        </w:r>
      </w:del>
      <w:del w:id="490" w:author="LV" w:date="2026-07-27T15:37:04Z">
        <w:r>
          <w:rPr>
            <w:rFonts w:hint="eastAsia" w:ascii="仿宋_GB2312" w:hAnsi="仿宋_GB2312" w:eastAsia="仿宋_GB2312" w:cs="仿宋_GB2312"/>
            <w:color w:val="auto"/>
            <w:kern w:val="0"/>
            <w:sz w:val="32"/>
            <w:szCs w:val="32"/>
            <w:lang w:eastAsia="zh-Hans"/>
            <w:rPrChange w:id="491" w:author="LV" w:date="2026-07-22T20:40:36Z">
              <w:rPr>
                <w:rFonts w:hint="eastAsia" w:ascii="仿宋_GB2312" w:hAnsi="仿宋_GB2312" w:eastAsia="仿宋_GB2312" w:cs="仿宋_GB2312"/>
                <w:kern w:val="0"/>
                <w:sz w:val="32"/>
                <w:szCs w:val="32"/>
                <w:lang w:eastAsia="zh-Hans"/>
              </w:rPr>
            </w:rPrChange>
          </w:rPr>
          <w:delText>中华人民共和国</w:delText>
        </w:r>
      </w:del>
      <w:del w:id="492" w:author="LV" w:date="2026-07-27T15:37:04Z">
        <w:r>
          <w:rPr>
            <w:rFonts w:hint="eastAsia" w:ascii="仿宋_GB2312" w:hAnsi="仿宋_GB2312" w:eastAsia="仿宋_GB2312" w:cs="仿宋_GB2312"/>
            <w:color w:val="auto"/>
            <w:kern w:val="0"/>
            <w:sz w:val="32"/>
            <w:szCs w:val="32"/>
            <w:rPrChange w:id="493" w:author="LV" w:date="2026-07-22T20:40:36Z">
              <w:rPr>
                <w:rFonts w:hint="eastAsia" w:ascii="仿宋_GB2312" w:hAnsi="仿宋_GB2312" w:eastAsia="仿宋_GB2312" w:cs="仿宋_GB2312"/>
                <w:kern w:val="0"/>
                <w:sz w:val="32"/>
                <w:szCs w:val="32"/>
              </w:rPr>
            </w:rPrChange>
          </w:rPr>
          <w:delText>电力法》《中华人民共和国石油天然气管道保护法》</w:delText>
        </w:r>
      </w:del>
      <w:del w:id="494" w:author="LV" w:date="2026-07-27T15:37:04Z">
        <w:r>
          <w:rPr>
            <w:rFonts w:hint="eastAsia" w:ascii="仿宋_GB2312" w:hAnsi="仿宋_GB2312" w:eastAsia="仿宋_GB2312" w:cs="仿宋_GB2312"/>
            <w:color w:val="auto"/>
            <w:kern w:val="0"/>
            <w:sz w:val="32"/>
            <w:szCs w:val="32"/>
            <w:lang w:eastAsia="zh-CN"/>
            <w:rPrChange w:id="495" w:author="LV" w:date="2026-07-22T20:40:36Z">
              <w:rPr>
                <w:rFonts w:hint="eastAsia" w:ascii="仿宋_GB2312" w:hAnsi="仿宋_GB2312" w:eastAsia="仿宋_GB2312" w:cs="仿宋_GB2312"/>
                <w:kern w:val="0"/>
                <w:sz w:val="32"/>
                <w:szCs w:val="32"/>
                <w:lang w:eastAsia="zh-CN"/>
              </w:rPr>
            </w:rPrChange>
          </w:rPr>
          <w:delText>《</w:delText>
        </w:r>
      </w:del>
      <w:del w:id="496" w:author="LV" w:date="2026-07-27T15:37:04Z">
        <w:r>
          <w:rPr>
            <w:rFonts w:hint="eastAsia" w:ascii="仿宋_GB2312" w:hAnsi="仿宋_GB2312" w:eastAsia="仿宋_GB2312" w:cs="仿宋_GB2312"/>
            <w:color w:val="auto"/>
            <w:sz w:val="32"/>
            <w:szCs w:val="40"/>
            <w:lang w:val="en-US" w:eastAsia="zh-CN"/>
            <w:rPrChange w:id="497" w:author="LV" w:date="2026-07-22T20:40:36Z">
              <w:rPr>
                <w:rFonts w:hint="eastAsia" w:ascii="仿宋_GB2312" w:hAnsi="仿宋_GB2312" w:eastAsia="仿宋_GB2312" w:cs="仿宋_GB2312"/>
                <w:sz w:val="32"/>
                <w:szCs w:val="40"/>
                <w:lang w:val="en-US" w:eastAsia="zh-CN"/>
              </w:rPr>
            </w:rPrChange>
          </w:rPr>
          <w:delText>山东省石油天然气管道保护条例》</w:delText>
        </w:r>
      </w:del>
      <w:del w:id="498" w:author="LV" w:date="2026-07-27T15:37:04Z">
        <w:r>
          <w:rPr>
            <w:rFonts w:hint="eastAsia" w:ascii="仿宋_GB2312" w:hAnsi="仿宋_GB2312" w:eastAsia="仿宋_GB2312" w:cs="仿宋_GB2312"/>
            <w:color w:val="auto"/>
            <w:kern w:val="0"/>
            <w:sz w:val="32"/>
            <w:szCs w:val="32"/>
            <w:rPrChange w:id="499" w:author="LV" w:date="2026-07-22T20:40:36Z">
              <w:rPr>
                <w:rFonts w:hint="eastAsia" w:ascii="仿宋_GB2312" w:hAnsi="仿宋_GB2312" w:eastAsia="仿宋_GB2312" w:cs="仿宋_GB2312"/>
                <w:kern w:val="0"/>
                <w:sz w:val="32"/>
                <w:szCs w:val="32"/>
              </w:rPr>
            </w:rPrChange>
          </w:rPr>
          <w:delText>《安全生产培训管理办法》《山东省安全生产条例》《山东省电力设施和电能保护条例》《国务院办公厅关于进一步规范行政裁量权基准制定和管理工作的意见》《</w:delText>
        </w:r>
      </w:del>
      <w:del w:id="500" w:author="LV" w:date="2026-07-27T15:37:04Z">
        <w:r>
          <w:rPr>
            <w:rFonts w:hint="eastAsia" w:ascii="仿宋_GB2312" w:hAnsi="仿宋_GB2312" w:eastAsia="仿宋_GB2312" w:cs="仿宋_GB2312"/>
            <w:color w:val="auto"/>
            <w:kern w:val="0"/>
            <w:sz w:val="32"/>
            <w:szCs w:val="32"/>
            <w:lang w:eastAsia="zh-Hans"/>
            <w:rPrChange w:id="501" w:author="LV" w:date="2026-07-22T20:40:36Z">
              <w:rPr>
                <w:rFonts w:hint="eastAsia" w:ascii="仿宋_GB2312" w:hAnsi="仿宋_GB2312" w:eastAsia="仿宋_GB2312" w:cs="仿宋_GB2312"/>
                <w:kern w:val="0"/>
                <w:sz w:val="32"/>
                <w:szCs w:val="32"/>
                <w:lang w:eastAsia="zh-Hans"/>
              </w:rPr>
            </w:rPrChange>
          </w:rPr>
          <w:delText>山东省人民政府办公厅印发关于规范行政裁量权基准制定和管理工作的若干措施的通知》</w:delText>
        </w:r>
      </w:del>
      <w:del w:id="502" w:author="LV" w:date="2026-07-27T15:37:04Z">
        <w:r>
          <w:rPr>
            <w:rFonts w:hint="eastAsia" w:ascii="仿宋_GB2312" w:hAnsi="仿宋_GB2312" w:eastAsia="仿宋_GB2312" w:cs="仿宋_GB2312"/>
            <w:color w:val="auto"/>
            <w:kern w:val="0"/>
            <w:sz w:val="36"/>
            <w:szCs w:val="36"/>
            <w:lang w:eastAsia="zh-Hans"/>
            <w:rPrChange w:id="503" w:author="LV" w:date="2026-07-22T20:40:36Z">
              <w:rPr>
                <w:rFonts w:hint="eastAsia" w:ascii="仿宋_GB2312" w:hAnsi="仿宋_GB2312" w:eastAsia="仿宋_GB2312" w:cs="仿宋_GB2312"/>
                <w:kern w:val="0"/>
                <w:sz w:val="32"/>
                <w:szCs w:val="32"/>
                <w:lang w:eastAsia="zh-Hans"/>
              </w:rPr>
            </w:rPrChange>
          </w:rPr>
          <w:delText>等法律、法规、规章和文件</w:delText>
        </w:r>
      </w:del>
      <w:del w:id="504" w:author="LV" w:date="2026-07-27T15:37:04Z">
        <w:r>
          <w:rPr>
            <w:rFonts w:hint="eastAsia" w:ascii="仿宋_GB2312" w:hAnsi="仿宋_GB2312" w:eastAsia="仿宋_GB2312" w:cs="仿宋_GB2312"/>
            <w:color w:val="auto"/>
            <w:kern w:val="0"/>
            <w:sz w:val="36"/>
            <w:szCs w:val="36"/>
            <w:rPrChange w:id="505" w:author="LV" w:date="2026-07-22T20:40:36Z">
              <w:rPr>
                <w:rFonts w:hint="eastAsia" w:ascii="仿宋_GB2312" w:hAnsi="仿宋_GB2312" w:eastAsia="仿宋_GB2312" w:cs="仿宋_GB2312"/>
                <w:kern w:val="0"/>
                <w:sz w:val="32"/>
                <w:szCs w:val="32"/>
              </w:rPr>
            </w:rPrChange>
          </w:rPr>
          <w:delText>规定，</w:delText>
        </w:r>
      </w:del>
      <w:del w:id="506" w:author="LV" w:date="2026-07-27T15:37:04Z">
        <w:r>
          <w:rPr>
            <w:rFonts w:hint="eastAsia" w:ascii="仿宋_GB2312" w:hAnsi="仿宋_GB2312" w:eastAsia="仿宋_GB2312" w:cs="仿宋_GB2312"/>
            <w:color w:val="auto"/>
            <w:kern w:val="0"/>
            <w:sz w:val="32"/>
            <w:szCs w:val="32"/>
            <w:rPrChange w:id="507" w:author="LV" w:date="2026-07-22T20:40:36Z">
              <w:rPr>
                <w:rFonts w:hint="eastAsia" w:ascii="仿宋_GB2312" w:hAnsi="仿宋_GB2312" w:eastAsia="仿宋_GB2312" w:cs="仿宋_GB2312"/>
                <w:kern w:val="0"/>
                <w:sz w:val="32"/>
                <w:szCs w:val="32"/>
              </w:rPr>
            </w:rPrChange>
          </w:rPr>
          <w:delText>制定《山东省能源行政处罚裁量权基准》（</w:delText>
        </w:r>
      </w:del>
      <w:del w:id="508" w:author="LV" w:date="2026-07-27T15:37:04Z">
        <w:r>
          <w:rPr>
            <w:rFonts w:hint="eastAsia" w:ascii="仿宋_GB2312" w:hAnsi="仿宋_GB2312" w:eastAsia="仿宋_GB2312" w:cs="仿宋_GB2312"/>
            <w:color w:val="auto"/>
            <w:kern w:val="0"/>
            <w:sz w:val="32"/>
            <w:szCs w:val="32"/>
            <w:lang w:eastAsia="zh-Hans"/>
            <w:rPrChange w:id="509" w:author="LV" w:date="2026-07-22T20:40:36Z">
              <w:rPr>
                <w:rFonts w:hint="eastAsia" w:ascii="仿宋_GB2312" w:hAnsi="仿宋_GB2312" w:eastAsia="仿宋_GB2312" w:cs="仿宋_GB2312"/>
                <w:kern w:val="0"/>
                <w:sz w:val="32"/>
                <w:szCs w:val="32"/>
                <w:lang w:eastAsia="zh-Hans"/>
              </w:rPr>
            </w:rPrChange>
          </w:rPr>
          <w:delText>以下简称</w:delText>
        </w:r>
      </w:del>
      <w:del w:id="510" w:author="LV" w:date="2026-07-27T15:37:04Z">
        <w:r>
          <w:rPr>
            <w:rFonts w:hint="eastAsia" w:ascii="仿宋_GB2312" w:hAnsi="仿宋_GB2312" w:eastAsia="仿宋_GB2312" w:cs="仿宋_GB2312"/>
            <w:color w:val="auto"/>
            <w:kern w:val="0"/>
            <w:sz w:val="32"/>
            <w:szCs w:val="32"/>
            <w:rPrChange w:id="511" w:author="LV" w:date="2026-07-22T20:40:36Z">
              <w:rPr>
                <w:rFonts w:hint="eastAsia" w:ascii="仿宋_GB2312" w:hAnsi="仿宋_GB2312" w:eastAsia="仿宋_GB2312" w:cs="仿宋_GB2312"/>
                <w:kern w:val="0"/>
                <w:sz w:val="32"/>
                <w:szCs w:val="32"/>
              </w:rPr>
            </w:rPrChange>
          </w:rPr>
          <w:delText>《基准》）。</w:delText>
        </w:r>
      </w:del>
    </w:p>
    <w:p w14:paraId="4B635BC3">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del w:id="513" w:author="LV" w:date="2026-07-27T15:37:04Z"/>
          <w:rFonts w:ascii="仿宋_GB2312" w:hAnsi="仿宋_GB2312" w:eastAsia="仿宋_GB2312" w:cs="仿宋_GB2312"/>
          <w:color w:val="auto"/>
          <w:kern w:val="0"/>
          <w:sz w:val="32"/>
          <w:szCs w:val="32"/>
          <w:rPrChange w:id="514" w:author="LV" w:date="2026-07-22T20:40:36Z">
            <w:rPr>
              <w:del w:id="515" w:author="LV" w:date="2026-07-27T15:37:04Z"/>
              <w:rFonts w:ascii="仿宋_GB2312" w:hAnsi="仿宋_GB2312" w:eastAsia="仿宋_GB2312" w:cs="仿宋_GB2312"/>
              <w:kern w:val="0"/>
              <w:sz w:val="32"/>
              <w:szCs w:val="32"/>
            </w:rPr>
          </w:rPrChange>
        </w:rPr>
        <w:pPrChange w:id="512" w:author="LV" w:date="2026-07-13T09:56:00Z">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jc w:val="both"/>
            <w:textAlignment w:val="auto"/>
          </w:pPr>
        </w:pPrChange>
      </w:pPr>
      <w:del w:id="516" w:author="LV" w:date="2026-07-27T15:37:04Z">
        <w:r>
          <w:rPr>
            <w:rFonts w:hint="eastAsia" w:ascii="黑体" w:hAnsi="黑体" w:eastAsia="黑体" w:cs="黑体"/>
            <w:color w:val="auto"/>
            <w:kern w:val="0"/>
            <w:sz w:val="32"/>
            <w:szCs w:val="32"/>
            <w:rPrChange w:id="517" w:author="LV" w:date="2026-07-22T20:40:36Z">
              <w:rPr>
                <w:rFonts w:hint="eastAsia" w:ascii="黑体" w:hAnsi="黑体" w:eastAsia="黑体" w:cs="黑体"/>
                <w:kern w:val="0"/>
                <w:sz w:val="32"/>
                <w:szCs w:val="32"/>
              </w:rPr>
            </w:rPrChange>
          </w:rPr>
          <w:delText>第二条</w:delText>
        </w:r>
      </w:del>
      <w:del w:id="518" w:author="LV" w:date="2026-07-27T15:37:04Z">
        <w:r>
          <w:rPr>
            <w:rFonts w:hint="eastAsia" w:ascii="仿宋_GB2312" w:hAnsi="仿宋_GB2312" w:eastAsia="仿宋_GB2312" w:cs="仿宋_GB2312"/>
            <w:color w:val="auto"/>
            <w:kern w:val="0"/>
            <w:sz w:val="32"/>
            <w:szCs w:val="32"/>
            <w:rPrChange w:id="519" w:author="LV" w:date="2026-07-22T20:40:36Z">
              <w:rPr>
                <w:rFonts w:hint="eastAsia" w:ascii="仿宋_GB2312" w:hAnsi="仿宋_GB2312" w:eastAsia="仿宋_GB2312" w:cs="仿宋_GB2312"/>
                <w:kern w:val="0"/>
                <w:sz w:val="32"/>
                <w:szCs w:val="32"/>
              </w:rPr>
            </w:rPrChange>
          </w:rPr>
          <w:delText xml:space="preserve">  </w:delText>
        </w:r>
      </w:del>
      <w:del w:id="520" w:author="LV" w:date="2026-07-27T15:37:04Z">
        <w:r>
          <w:rPr>
            <w:rFonts w:hint="default" w:ascii="仿宋_GB2312" w:hAnsi="仿宋_GB2312" w:eastAsia="仿宋_GB2312" w:cs="仿宋_GB2312"/>
            <w:color w:val="auto"/>
            <w:kern w:val="0"/>
            <w:sz w:val="32"/>
            <w:szCs w:val="32"/>
            <w:lang w:val="en-US" w:eastAsia="zh-Hans"/>
            <w:rPrChange w:id="521" w:author="LV" w:date="2026-07-22T20:40:36Z">
              <w:rPr>
                <w:rFonts w:hint="default" w:ascii="仿宋_GB2312" w:hAnsi="仿宋_GB2312" w:eastAsia="仿宋_GB2312" w:cs="仿宋_GB2312"/>
                <w:kern w:val="0"/>
                <w:sz w:val="32"/>
                <w:szCs w:val="32"/>
                <w:lang w:val="en-US" w:eastAsia="zh-Hans"/>
              </w:rPr>
            </w:rPrChange>
          </w:rPr>
          <w:delText>我</w:delText>
        </w:r>
      </w:del>
      <w:del w:id="522" w:author="LV" w:date="2026-07-27T15:37:04Z">
        <w:r>
          <w:rPr>
            <w:rFonts w:hint="eastAsia" w:ascii="仿宋_GB2312" w:hAnsi="仿宋_GB2312" w:eastAsia="仿宋_GB2312" w:cs="仿宋_GB2312"/>
            <w:color w:val="auto"/>
            <w:kern w:val="0"/>
            <w:sz w:val="32"/>
            <w:szCs w:val="32"/>
            <w:lang w:eastAsia="zh-Hans"/>
            <w:rPrChange w:id="523" w:author="LV" w:date="2026-07-22T20:40:36Z">
              <w:rPr>
                <w:rFonts w:hint="eastAsia" w:ascii="仿宋_GB2312" w:hAnsi="仿宋_GB2312" w:eastAsia="仿宋_GB2312" w:cs="仿宋_GB2312"/>
                <w:kern w:val="0"/>
                <w:sz w:val="32"/>
                <w:szCs w:val="32"/>
                <w:lang w:eastAsia="zh-Hans"/>
              </w:rPr>
            </w:rPrChange>
          </w:rPr>
          <w:delText>省能源执法机关</w:delText>
        </w:r>
      </w:del>
      <w:del w:id="524" w:author="LV" w:date="2026-07-27T15:37:04Z">
        <w:r>
          <w:rPr>
            <w:rFonts w:hint="eastAsia" w:ascii="仿宋_GB2312" w:hAnsi="仿宋_GB2312" w:eastAsia="仿宋_GB2312" w:cs="仿宋_GB2312"/>
            <w:color w:val="auto"/>
            <w:kern w:val="0"/>
            <w:sz w:val="32"/>
            <w:szCs w:val="32"/>
            <w:rPrChange w:id="525" w:author="LV" w:date="2026-07-22T20:40:36Z">
              <w:rPr>
                <w:rFonts w:hint="eastAsia" w:ascii="仿宋_GB2312" w:hAnsi="仿宋_GB2312" w:eastAsia="仿宋_GB2312" w:cs="仿宋_GB2312"/>
                <w:kern w:val="0"/>
                <w:sz w:val="32"/>
                <w:szCs w:val="32"/>
              </w:rPr>
            </w:rPrChange>
          </w:rPr>
          <w:delText>在其职责范围内对违反法律、法规、规章的行为实施行政处罚，适用本《基准》。</w:delText>
        </w:r>
      </w:del>
    </w:p>
    <w:p w14:paraId="7A567432">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del w:id="527" w:author="LV" w:date="2026-07-27T15:37:04Z"/>
          <w:rFonts w:ascii="仿宋_GB2312" w:hAnsi="仿宋_GB2312" w:eastAsia="仿宋_GB2312" w:cs="仿宋_GB2312"/>
          <w:color w:val="auto"/>
          <w:kern w:val="0"/>
          <w:sz w:val="32"/>
          <w:szCs w:val="32"/>
          <w:rPrChange w:id="528" w:author="LV" w:date="2026-07-22T20:40:36Z">
            <w:rPr>
              <w:del w:id="529" w:author="LV" w:date="2026-07-27T15:37:04Z"/>
              <w:rFonts w:ascii="仿宋_GB2312" w:hAnsi="仿宋_GB2312" w:eastAsia="仿宋_GB2312" w:cs="仿宋_GB2312"/>
              <w:kern w:val="0"/>
              <w:sz w:val="32"/>
              <w:szCs w:val="32"/>
            </w:rPr>
          </w:rPrChange>
        </w:rPr>
        <w:pPrChange w:id="526" w:author="LV" w:date="2026-07-13T09:56:00Z">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jc w:val="both"/>
            <w:textAlignment w:val="auto"/>
          </w:pPr>
        </w:pPrChange>
      </w:pPr>
      <w:del w:id="530" w:author="LV" w:date="2026-07-27T15:37:04Z">
        <w:r>
          <w:rPr>
            <w:rFonts w:hint="eastAsia" w:ascii="黑体" w:hAnsi="黑体" w:eastAsia="黑体" w:cs="黑体"/>
            <w:color w:val="auto"/>
            <w:kern w:val="0"/>
            <w:sz w:val="32"/>
            <w:szCs w:val="32"/>
            <w:rPrChange w:id="531" w:author="LV" w:date="2026-07-22T20:40:36Z">
              <w:rPr>
                <w:rFonts w:hint="eastAsia" w:ascii="黑体" w:hAnsi="黑体" w:eastAsia="黑体" w:cs="黑体"/>
                <w:kern w:val="0"/>
                <w:sz w:val="32"/>
                <w:szCs w:val="32"/>
              </w:rPr>
            </w:rPrChange>
          </w:rPr>
          <w:delText>第三条</w:delText>
        </w:r>
      </w:del>
      <w:del w:id="532" w:author="LV" w:date="2026-07-27T15:37:04Z">
        <w:r>
          <w:rPr>
            <w:rFonts w:hint="eastAsia" w:ascii="仿宋_GB2312" w:hAnsi="仿宋_GB2312" w:eastAsia="仿宋_GB2312" w:cs="仿宋_GB2312"/>
            <w:color w:val="auto"/>
            <w:kern w:val="0"/>
            <w:sz w:val="32"/>
            <w:szCs w:val="32"/>
            <w:rPrChange w:id="533" w:author="LV" w:date="2026-07-22T20:40:36Z">
              <w:rPr>
                <w:rFonts w:hint="eastAsia" w:ascii="仿宋_GB2312" w:hAnsi="仿宋_GB2312" w:eastAsia="仿宋_GB2312" w:cs="仿宋_GB2312"/>
                <w:kern w:val="0"/>
                <w:sz w:val="32"/>
                <w:szCs w:val="32"/>
              </w:rPr>
            </w:rPrChange>
          </w:rPr>
          <w:delText xml:space="preserve">  本《基准》所称行政处罚裁量权，是指我省能源执法机关在法律、法规、规章规定的行政处罚权限范围内，依照立法目的和公正合理原则，在实施行政处罚过程中，结合违法行为的性质、事实、社会危害后果等具体情节，对是否给予行政处罚、给予何种行政处罚和给予何种裁量幅度行政处罚的自主决定权和处置权。</w:delText>
        </w:r>
      </w:del>
    </w:p>
    <w:p w14:paraId="22EA2E40">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del w:id="535" w:author="LV" w:date="2026-07-27T15:37:04Z"/>
          <w:rFonts w:ascii="仿宋_GB2312" w:hAnsi="仿宋_GB2312" w:eastAsia="仿宋_GB2312" w:cs="仿宋_GB2312"/>
          <w:color w:val="auto"/>
          <w:kern w:val="0"/>
          <w:sz w:val="32"/>
          <w:szCs w:val="32"/>
          <w:rPrChange w:id="536" w:author="LV" w:date="2026-07-22T20:40:36Z">
            <w:rPr>
              <w:del w:id="537" w:author="LV" w:date="2026-07-27T15:37:04Z"/>
              <w:rFonts w:ascii="仿宋_GB2312" w:hAnsi="仿宋_GB2312" w:eastAsia="仿宋_GB2312" w:cs="仿宋_GB2312"/>
              <w:kern w:val="0"/>
              <w:sz w:val="32"/>
              <w:szCs w:val="32"/>
            </w:rPr>
          </w:rPrChange>
        </w:rPr>
        <w:pPrChange w:id="534" w:author="LV" w:date="2026-07-22T17:35:31Z">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jc w:val="both"/>
            <w:textAlignment w:val="auto"/>
          </w:pPr>
        </w:pPrChange>
      </w:pPr>
      <w:del w:id="538" w:author="LV" w:date="2026-07-27T15:37:04Z">
        <w:r>
          <w:rPr>
            <w:rFonts w:hint="eastAsia" w:ascii="黑体" w:hAnsi="黑体" w:eastAsia="黑体" w:cs="黑体"/>
            <w:color w:val="auto"/>
            <w:kern w:val="0"/>
            <w:sz w:val="32"/>
            <w:szCs w:val="32"/>
            <w:rPrChange w:id="539" w:author="LV" w:date="2026-07-22T20:40:36Z">
              <w:rPr>
                <w:rFonts w:hint="eastAsia" w:ascii="黑体" w:hAnsi="黑体" w:eastAsia="黑体" w:cs="黑体"/>
                <w:kern w:val="0"/>
                <w:sz w:val="32"/>
                <w:szCs w:val="32"/>
              </w:rPr>
            </w:rPrChange>
          </w:rPr>
          <w:delText>第四条</w:delText>
        </w:r>
      </w:del>
      <w:del w:id="540" w:author="LV" w:date="2026-07-27T15:37:04Z">
        <w:r>
          <w:rPr>
            <w:rFonts w:hint="eastAsia" w:ascii="仿宋_GB2312" w:hAnsi="仿宋_GB2312" w:eastAsia="仿宋_GB2312" w:cs="仿宋_GB2312"/>
            <w:color w:val="auto"/>
            <w:kern w:val="0"/>
            <w:sz w:val="32"/>
            <w:szCs w:val="32"/>
            <w:rPrChange w:id="541" w:author="LV" w:date="2026-07-22T20:40:36Z">
              <w:rPr>
                <w:rFonts w:hint="eastAsia" w:ascii="仿宋_GB2312" w:hAnsi="仿宋_GB2312" w:eastAsia="仿宋_GB2312" w:cs="仿宋_GB2312"/>
                <w:kern w:val="0"/>
                <w:sz w:val="32"/>
                <w:szCs w:val="32"/>
              </w:rPr>
            </w:rPrChange>
          </w:rPr>
          <w:delText xml:space="preserve">  行使行政处罚裁量权，应当遵循以下原则：</w:delText>
        </w:r>
      </w:del>
    </w:p>
    <w:p w14:paraId="0069549E">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del w:id="543" w:author="LV" w:date="2026-07-27T15:37:04Z"/>
          <w:rFonts w:ascii="仿宋_GB2312" w:hAnsi="仿宋_GB2312" w:eastAsia="仿宋_GB2312" w:cs="仿宋_GB2312"/>
          <w:color w:val="auto"/>
          <w:kern w:val="0"/>
          <w:sz w:val="32"/>
          <w:szCs w:val="32"/>
          <w:rPrChange w:id="544" w:author="LV" w:date="2026-07-22T20:40:36Z">
            <w:rPr>
              <w:del w:id="545" w:author="LV" w:date="2026-07-27T15:37:04Z"/>
              <w:rFonts w:ascii="仿宋_GB2312" w:hAnsi="仿宋_GB2312" w:eastAsia="仿宋_GB2312" w:cs="仿宋_GB2312"/>
              <w:kern w:val="0"/>
              <w:sz w:val="32"/>
              <w:szCs w:val="32"/>
            </w:rPr>
          </w:rPrChange>
        </w:rPr>
        <w:pPrChange w:id="542" w:author="LV" w:date="2026-07-22T17:35:31Z">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jc w:val="both"/>
            <w:textAlignment w:val="auto"/>
          </w:pPr>
        </w:pPrChange>
      </w:pPr>
      <w:del w:id="546" w:author="LV" w:date="2026-07-27T15:37:04Z">
        <w:r>
          <w:rPr>
            <w:rFonts w:hint="eastAsia" w:ascii="仿宋_GB2312" w:hAnsi="仿宋_GB2312" w:eastAsia="仿宋_GB2312" w:cs="仿宋_GB2312"/>
            <w:color w:val="auto"/>
            <w:kern w:val="0"/>
            <w:sz w:val="32"/>
            <w:szCs w:val="32"/>
            <w:rPrChange w:id="547" w:author="LV" w:date="2026-07-22T20:40:36Z">
              <w:rPr>
                <w:rFonts w:hint="eastAsia" w:ascii="仿宋_GB2312" w:hAnsi="仿宋_GB2312" w:eastAsia="仿宋_GB2312" w:cs="仿宋_GB2312"/>
                <w:kern w:val="0"/>
                <w:sz w:val="32"/>
                <w:szCs w:val="32"/>
              </w:rPr>
            </w:rPrChange>
          </w:rPr>
          <w:delText>（一）过罚相当原则。实施行政处罚必须以事实为依据，以法律为准绳，在行使裁量权时应当考虑违法行为的事实、性质、情节以及社会危害程度等，作出的行政处罚要与违法行为相当。</w:delText>
        </w:r>
      </w:del>
    </w:p>
    <w:p w14:paraId="48DDAD4C">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del w:id="549" w:author="LV" w:date="2026-07-27T15:37:04Z"/>
          <w:rFonts w:ascii="仿宋_GB2312" w:hAnsi="仿宋_GB2312" w:eastAsia="仿宋_GB2312" w:cs="仿宋_GB2312"/>
          <w:color w:val="auto"/>
          <w:kern w:val="0"/>
          <w:sz w:val="32"/>
          <w:szCs w:val="32"/>
          <w:rPrChange w:id="550" w:author="LV" w:date="2026-07-22T20:40:36Z">
            <w:rPr>
              <w:del w:id="551" w:author="LV" w:date="2026-07-27T15:37:04Z"/>
              <w:rFonts w:ascii="仿宋_GB2312" w:hAnsi="仿宋_GB2312" w:eastAsia="仿宋_GB2312" w:cs="仿宋_GB2312"/>
              <w:kern w:val="0"/>
              <w:sz w:val="32"/>
              <w:szCs w:val="32"/>
            </w:rPr>
          </w:rPrChange>
        </w:rPr>
        <w:pPrChange w:id="548" w:author="LV" w:date="2026-07-22T17:35:31Z">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jc w:val="both"/>
            <w:textAlignment w:val="auto"/>
          </w:pPr>
        </w:pPrChange>
      </w:pPr>
      <w:del w:id="552" w:author="LV" w:date="2026-07-27T15:37:04Z">
        <w:r>
          <w:rPr>
            <w:rFonts w:hint="eastAsia" w:ascii="仿宋_GB2312" w:hAnsi="仿宋_GB2312" w:eastAsia="仿宋_GB2312" w:cs="仿宋_GB2312"/>
            <w:color w:val="auto"/>
            <w:kern w:val="0"/>
            <w:sz w:val="32"/>
            <w:szCs w:val="32"/>
            <w:rPrChange w:id="553" w:author="LV" w:date="2026-07-22T20:40:36Z">
              <w:rPr>
                <w:rFonts w:hint="eastAsia" w:ascii="仿宋_GB2312" w:hAnsi="仿宋_GB2312" w:eastAsia="仿宋_GB2312" w:cs="仿宋_GB2312"/>
                <w:kern w:val="0"/>
                <w:sz w:val="32"/>
                <w:szCs w:val="32"/>
              </w:rPr>
            </w:rPrChange>
          </w:rPr>
          <w:delText>（二）公平公正原则。对于性质相同、情节相近、危害后果基本相当、违法主体同类的违法行为，在实施行政处罚行使裁量权时，适用的法律依据、处罚种类及处罚幅度应当基本一致。</w:delText>
        </w:r>
      </w:del>
    </w:p>
    <w:p w14:paraId="6A22B6EA">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del w:id="555" w:author="LV" w:date="2026-07-27T15:37:04Z"/>
          <w:rFonts w:ascii="仿宋_GB2312" w:hAnsi="仿宋_GB2312" w:eastAsia="仿宋_GB2312" w:cs="仿宋_GB2312"/>
          <w:color w:val="auto"/>
          <w:kern w:val="0"/>
          <w:sz w:val="32"/>
          <w:szCs w:val="32"/>
          <w:rPrChange w:id="556" w:author="LV" w:date="2026-07-22T20:40:36Z">
            <w:rPr>
              <w:del w:id="557" w:author="LV" w:date="2026-07-27T15:37:04Z"/>
              <w:rFonts w:ascii="仿宋_GB2312" w:hAnsi="仿宋_GB2312" w:eastAsia="仿宋_GB2312" w:cs="仿宋_GB2312"/>
              <w:kern w:val="0"/>
              <w:sz w:val="32"/>
              <w:szCs w:val="32"/>
            </w:rPr>
          </w:rPrChange>
        </w:rPr>
        <w:pPrChange w:id="554" w:author="LV" w:date="2026-07-22T17:35:31Z">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jc w:val="both"/>
            <w:textAlignment w:val="auto"/>
          </w:pPr>
        </w:pPrChange>
      </w:pPr>
      <w:del w:id="558" w:author="LV" w:date="2026-07-27T15:37:04Z">
        <w:r>
          <w:rPr>
            <w:rFonts w:hint="eastAsia" w:ascii="仿宋_GB2312" w:hAnsi="仿宋_GB2312" w:eastAsia="仿宋_GB2312" w:cs="仿宋_GB2312"/>
            <w:color w:val="auto"/>
            <w:kern w:val="0"/>
            <w:sz w:val="32"/>
            <w:szCs w:val="32"/>
            <w:rPrChange w:id="559" w:author="LV" w:date="2026-07-22T20:40:36Z">
              <w:rPr>
                <w:rFonts w:hint="eastAsia" w:ascii="仿宋_GB2312" w:hAnsi="仿宋_GB2312" w:eastAsia="仿宋_GB2312" w:cs="仿宋_GB2312"/>
                <w:kern w:val="0"/>
                <w:sz w:val="32"/>
                <w:szCs w:val="32"/>
              </w:rPr>
            </w:rPrChange>
          </w:rPr>
          <w:delText>（三）处罚与教育相结合原则。在行使行政处罚裁量权时，既要制裁违法行为，又要教育当事人自觉遵守法律，维护法律尊严。对情节轻微的违法行为以教育为主、处罚为辅。</w:delText>
        </w:r>
      </w:del>
    </w:p>
    <w:p w14:paraId="0941CBFD">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del w:id="561" w:author="LV" w:date="2026-07-27T15:37:04Z"/>
          <w:rFonts w:ascii="仿宋_GB2312" w:hAnsi="仿宋_GB2312" w:eastAsia="仿宋_GB2312" w:cs="仿宋_GB2312"/>
          <w:color w:val="auto"/>
          <w:kern w:val="0"/>
          <w:sz w:val="32"/>
          <w:szCs w:val="32"/>
          <w:rPrChange w:id="562" w:author="LV" w:date="2026-07-22T20:40:36Z">
            <w:rPr>
              <w:del w:id="563" w:author="LV" w:date="2026-07-27T15:37:04Z"/>
              <w:rFonts w:ascii="仿宋_GB2312" w:hAnsi="仿宋_GB2312" w:eastAsia="仿宋_GB2312" w:cs="仿宋_GB2312"/>
              <w:kern w:val="0"/>
              <w:sz w:val="32"/>
              <w:szCs w:val="32"/>
            </w:rPr>
          </w:rPrChange>
        </w:rPr>
        <w:pPrChange w:id="560" w:author="LV" w:date="2026-07-22T17:35:31Z">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jc w:val="both"/>
            <w:textAlignment w:val="auto"/>
          </w:pPr>
        </w:pPrChange>
      </w:pPr>
      <w:del w:id="564" w:author="LV" w:date="2026-07-27T15:37:04Z">
        <w:r>
          <w:rPr>
            <w:rFonts w:hint="eastAsia" w:ascii="仿宋_GB2312" w:hAnsi="仿宋_GB2312" w:eastAsia="仿宋_GB2312" w:cs="仿宋_GB2312"/>
            <w:color w:val="auto"/>
            <w:kern w:val="0"/>
            <w:sz w:val="32"/>
            <w:szCs w:val="32"/>
            <w:rPrChange w:id="565" w:author="LV" w:date="2026-07-22T20:40:36Z">
              <w:rPr>
                <w:rFonts w:hint="eastAsia" w:ascii="仿宋_GB2312" w:hAnsi="仿宋_GB2312" w:eastAsia="仿宋_GB2312" w:cs="仿宋_GB2312"/>
                <w:kern w:val="0"/>
                <w:sz w:val="32"/>
                <w:szCs w:val="32"/>
              </w:rPr>
            </w:rPrChange>
          </w:rPr>
          <w:delText>（四）程序正当原则。严格遵守《中华人民共和国行政处罚法》规定的法定程序，充分听取当事人的意见，依法保障当事人的知情权、参与权和救济权。</w:delText>
        </w:r>
      </w:del>
    </w:p>
    <w:p w14:paraId="536D662B">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del w:id="567" w:author="LV" w:date="2026-07-27T15:37:04Z"/>
          <w:rFonts w:ascii="仿宋_GB2312" w:hAnsi="仿宋_GB2312" w:eastAsia="仿宋_GB2312" w:cs="仿宋_GB2312"/>
          <w:color w:val="auto"/>
          <w:kern w:val="0"/>
          <w:sz w:val="32"/>
          <w:szCs w:val="32"/>
          <w:rPrChange w:id="568" w:author="LV" w:date="2026-07-22T20:40:36Z">
            <w:rPr>
              <w:del w:id="569" w:author="LV" w:date="2026-07-27T15:37:04Z"/>
              <w:rFonts w:ascii="仿宋_GB2312" w:hAnsi="仿宋_GB2312" w:eastAsia="仿宋_GB2312" w:cs="仿宋_GB2312"/>
              <w:kern w:val="0"/>
              <w:sz w:val="32"/>
              <w:szCs w:val="32"/>
            </w:rPr>
          </w:rPrChange>
        </w:rPr>
        <w:pPrChange w:id="566" w:author="LV" w:date="2026-07-22T17:35:31Z">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jc w:val="both"/>
            <w:textAlignment w:val="auto"/>
          </w:pPr>
        </w:pPrChange>
      </w:pPr>
      <w:del w:id="570" w:author="LV" w:date="2026-07-27T15:37:04Z">
        <w:r>
          <w:rPr>
            <w:rFonts w:hint="eastAsia" w:ascii="仿宋_GB2312" w:hAnsi="仿宋_GB2312" w:eastAsia="仿宋_GB2312" w:cs="仿宋_GB2312"/>
            <w:color w:val="auto"/>
            <w:kern w:val="0"/>
            <w:sz w:val="32"/>
            <w:szCs w:val="32"/>
            <w:rPrChange w:id="571" w:author="LV" w:date="2026-07-22T20:40:36Z">
              <w:rPr>
                <w:rFonts w:hint="eastAsia" w:ascii="仿宋_GB2312" w:hAnsi="仿宋_GB2312" w:eastAsia="仿宋_GB2312" w:cs="仿宋_GB2312"/>
                <w:kern w:val="0"/>
                <w:sz w:val="32"/>
                <w:szCs w:val="32"/>
              </w:rPr>
            </w:rPrChange>
          </w:rPr>
          <w:delText>（五）综合裁量原则。在行使行政处罚裁量权时，应当综合分析违法行为的主体、客体、主观、客观及社会危害后果等因素，对违法行为是否处罚以及处罚的种类和幅度进行判断，并且作出相应的处罚决定。</w:delText>
        </w:r>
      </w:del>
    </w:p>
    <w:p w14:paraId="383D0572">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del w:id="573" w:author="LV" w:date="2026-07-27T15:37:04Z"/>
          <w:rFonts w:ascii="仿宋_GB2312" w:hAnsi="仿宋_GB2312" w:eastAsia="仿宋_GB2312" w:cs="仿宋_GB2312"/>
          <w:color w:val="auto"/>
          <w:kern w:val="0"/>
          <w:sz w:val="32"/>
          <w:szCs w:val="32"/>
          <w:rPrChange w:id="574" w:author="LV" w:date="2026-07-22T20:40:36Z">
            <w:rPr>
              <w:del w:id="575" w:author="LV" w:date="2026-07-27T15:37:04Z"/>
              <w:rFonts w:ascii="仿宋_GB2312" w:hAnsi="仿宋_GB2312" w:eastAsia="仿宋_GB2312" w:cs="仿宋_GB2312"/>
              <w:kern w:val="0"/>
              <w:sz w:val="32"/>
              <w:szCs w:val="32"/>
            </w:rPr>
          </w:rPrChange>
        </w:rPr>
        <w:pPrChange w:id="572" w:author="LV" w:date="2026-07-13T09:56:00Z">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jc w:val="both"/>
            <w:textAlignment w:val="auto"/>
          </w:pPr>
        </w:pPrChange>
      </w:pPr>
      <w:del w:id="576" w:author="LV" w:date="2026-07-27T15:37:04Z">
        <w:r>
          <w:rPr>
            <w:rFonts w:hint="eastAsia" w:ascii="黑体" w:hAnsi="黑体" w:eastAsia="黑体" w:cs="黑体"/>
            <w:color w:val="auto"/>
            <w:kern w:val="0"/>
            <w:sz w:val="32"/>
            <w:szCs w:val="32"/>
            <w:rPrChange w:id="577" w:author="LV" w:date="2026-07-22T20:40:36Z">
              <w:rPr>
                <w:rFonts w:hint="eastAsia" w:ascii="黑体" w:hAnsi="黑体" w:eastAsia="黑体" w:cs="黑体"/>
                <w:kern w:val="0"/>
                <w:sz w:val="32"/>
                <w:szCs w:val="32"/>
              </w:rPr>
            </w:rPrChange>
          </w:rPr>
          <w:delText>第五条</w:delText>
        </w:r>
      </w:del>
      <w:del w:id="578" w:author="LV" w:date="2026-07-27T15:37:04Z">
        <w:r>
          <w:rPr>
            <w:rFonts w:hint="eastAsia" w:ascii="仿宋_GB2312" w:hAnsi="仿宋_GB2312" w:eastAsia="仿宋_GB2312" w:cs="仿宋_GB2312"/>
            <w:color w:val="auto"/>
            <w:kern w:val="0"/>
            <w:sz w:val="32"/>
            <w:szCs w:val="32"/>
            <w:rPrChange w:id="579" w:author="LV" w:date="2026-07-22T20:40:36Z">
              <w:rPr>
                <w:rFonts w:hint="eastAsia" w:ascii="仿宋_GB2312" w:hAnsi="仿宋_GB2312" w:eastAsia="仿宋_GB2312" w:cs="仿宋_GB2312"/>
                <w:kern w:val="0"/>
                <w:sz w:val="32"/>
                <w:szCs w:val="32"/>
              </w:rPr>
            </w:rPrChange>
          </w:rPr>
          <w:delText xml:space="preserve">  行使行政处罚裁量权，应当综合考虑以下</w:delText>
        </w:r>
      </w:del>
      <w:del w:id="580" w:author="LV" w:date="2026-07-27T15:37:04Z">
        <w:r>
          <w:rPr>
            <w:rFonts w:hint="eastAsia" w:ascii="仿宋_GB2312" w:hAnsi="仿宋_GB2312" w:eastAsia="仿宋_GB2312" w:cs="仿宋_GB2312"/>
            <w:color w:val="auto"/>
            <w:kern w:val="0"/>
            <w:sz w:val="32"/>
            <w:szCs w:val="32"/>
            <w:lang w:eastAsia="zh-Hans"/>
            <w:rPrChange w:id="581" w:author="LV" w:date="2026-07-22T20:40:36Z">
              <w:rPr>
                <w:rFonts w:hint="eastAsia" w:ascii="仿宋_GB2312" w:hAnsi="仿宋_GB2312" w:eastAsia="仿宋_GB2312" w:cs="仿宋_GB2312"/>
                <w:kern w:val="0"/>
                <w:sz w:val="32"/>
                <w:szCs w:val="32"/>
                <w:lang w:eastAsia="zh-Hans"/>
              </w:rPr>
            </w:rPrChange>
          </w:rPr>
          <w:delText>因素</w:delText>
        </w:r>
      </w:del>
      <w:del w:id="582" w:author="LV" w:date="2026-07-27T15:37:04Z">
        <w:r>
          <w:rPr>
            <w:rFonts w:hint="eastAsia" w:ascii="仿宋_GB2312" w:hAnsi="仿宋_GB2312" w:eastAsia="仿宋_GB2312" w:cs="仿宋_GB2312"/>
            <w:color w:val="auto"/>
            <w:kern w:val="0"/>
            <w:sz w:val="32"/>
            <w:szCs w:val="32"/>
            <w:rPrChange w:id="583" w:author="LV" w:date="2026-07-22T20:40:36Z">
              <w:rPr>
                <w:rFonts w:hint="eastAsia" w:ascii="仿宋_GB2312" w:hAnsi="仿宋_GB2312" w:eastAsia="仿宋_GB2312" w:cs="仿宋_GB2312"/>
                <w:kern w:val="0"/>
                <w:sz w:val="32"/>
                <w:szCs w:val="32"/>
              </w:rPr>
            </w:rPrChange>
          </w:rPr>
          <w:delText>：</w:delText>
        </w:r>
      </w:del>
    </w:p>
    <w:p w14:paraId="0A13F6E8">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del w:id="585" w:author="LV" w:date="2026-07-27T15:37:04Z"/>
          <w:rFonts w:hint="eastAsia" w:ascii="仿宋_GB2312" w:hAnsi="仿宋_GB2312" w:eastAsia="仿宋_GB2312" w:cs="仿宋_GB2312"/>
          <w:color w:val="auto"/>
          <w:kern w:val="0"/>
          <w:sz w:val="32"/>
          <w:szCs w:val="32"/>
          <w:rPrChange w:id="586" w:author="LV" w:date="2026-07-22T20:40:36Z">
            <w:rPr>
              <w:del w:id="587" w:author="LV" w:date="2026-07-27T15:37:04Z"/>
              <w:rFonts w:hint="eastAsia" w:ascii="仿宋_GB2312" w:hAnsi="仿宋_GB2312" w:eastAsia="仿宋_GB2312" w:cs="仿宋_GB2312"/>
              <w:kern w:val="0"/>
              <w:sz w:val="32"/>
              <w:szCs w:val="32"/>
            </w:rPr>
          </w:rPrChange>
        </w:rPr>
        <w:pPrChange w:id="584" w:author="LV" w:date="2026-07-13T09:56:00Z">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jc w:val="both"/>
            <w:textAlignment w:val="auto"/>
          </w:pPr>
        </w:pPrChange>
      </w:pPr>
      <w:del w:id="588" w:author="LV" w:date="2026-07-27T15:37:04Z">
        <w:r>
          <w:rPr>
            <w:rFonts w:hint="eastAsia" w:ascii="仿宋_GB2312" w:hAnsi="仿宋_GB2312" w:eastAsia="仿宋_GB2312" w:cs="仿宋_GB2312"/>
            <w:color w:val="auto"/>
            <w:kern w:val="0"/>
            <w:sz w:val="32"/>
            <w:szCs w:val="32"/>
            <w:rPrChange w:id="589" w:author="LV" w:date="2026-07-22T20:40:36Z">
              <w:rPr>
                <w:rFonts w:hint="eastAsia" w:ascii="仿宋_GB2312" w:hAnsi="仿宋_GB2312" w:eastAsia="仿宋_GB2312" w:cs="仿宋_GB2312"/>
                <w:kern w:val="0"/>
                <w:sz w:val="32"/>
                <w:szCs w:val="32"/>
              </w:rPr>
            </w:rPrChange>
          </w:rPr>
          <w:delText>（一）违法行为人行为能力和责任能力</w:delText>
        </w:r>
      </w:del>
    </w:p>
    <w:p w14:paraId="51D94D28">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del w:id="591" w:author="LV" w:date="2026-07-27T15:37:04Z"/>
          <w:rFonts w:hint="eastAsia" w:ascii="仿宋_GB2312" w:hAnsi="仿宋_GB2312" w:eastAsia="仿宋_GB2312" w:cs="仿宋_GB2312"/>
          <w:color w:val="auto"/>
          <w:kern w:val="0"/>
          <w:sz w:val="32"/>
          <w:szCs w:val="32"/>
          <w:rPrChange w:id="592" w:author="LV" w:date="2026-07-22T20:40:36Z">
            <w:rPr>
              <w:del w:id="593" w:author="LV" w:date="2026-07-27T15:37:04Z"/>
              <w:rFonts w:hint="eastAsia" w:ascii="仿宋_GB2312" w:hAnsi="仿宋_GB2312" w:eastAsia="仿宋_GB2312" w:cs="仿宋_GB2312"/>
              <w:kern w:val="0"/>
              <w:sz w:val="32"/>
              <w:szCs w:val="32"/>
            </w:rPr>
          </w:rPrChange>
        </w:rPr>
        <w:pPrChange w:id="590" w:author="LV" w:date="2026-07-13T09:56:00Z">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jc w:val="both"/>
            <w:textAlignment w:val="auto"/>
          </w:pPr>
        </w:pPrChange>
      </w:pPr>
      <w:del w:id="594" w:author="LV" w:date="2026-07-27T15:37:04Z">
        <w:r>
          <w:rPr>
            <w:rFonts w:hint="eastAsia" w:ascii="仿宋_GB2312" w:hAnsi="仿宋_GB2312" w:eastAsia="仿宋_GB2312" w:cs="仿宋_GB2312"/>
            <w:color w:val="auto"/>
            <w:kern w:val="0"/>
            <w:sz w:val="32"/>
            <w:szCs w:val="32"/>
            <w:rPrChange w:id="595" w:author="LV" w:date="2026-07-22T20:40:36Z">
              <w:rPr>
                <w:rFonts w:hint="eastAsia" w:ascii="仿宋_GB2312" w:hAnsi="仿宋_GB2312" w:eastAsia="仿宋_GB2312" w:cs="仿宋_GB2312"/>
                <w:kern w:val="0"/>
                <w:sz w:val="32"/>
                <w:szCs w:val="32"/>
              </w:rPr>
            </w:rPrChange>
          </w:rPr>
          <w:delText>（二）违法行为的具体方法或手段；</w:delText>
        </w:r>
      </w:del>
    </w:p>
    <w:p w14:paraId="3F918E13">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del w:id="597" w:author="LV" w:date="2026-07-27T15:37:04Z"/>
          <w:rFonts w:hint="eastAsia" w:ascii="仿宋_GB2312" w:hAnsi="仿宋_GB2312" w:eastAsia="仿宋_GB2312" w:cs="仿宋_GB2312"/>
          <w:color w:val="auto"/>
          <w:kern w:val="0"/>
          <w:sz w:val="32"/>
          <w:szCs w:val="32"/>
          <w:rPrChange w:id="598" w:author="LV" w:date="2026-07-22T20:40:36Z">
            <w:rPr>
              <w:del w:id="599" w:author="LV" w:date="2026-07-27T15:37:04Z"/>
              <w:rFonts w:hint="eastAsia" w:ascii="仿宋_GB2312" w:hAnsi="仿宋_GB2312" w:eastAsia="仿宋_GB2312" w:cs="仿宋_GB2312"/>
              <w:kern w:val="0"/>
              <w:sz w:val="32"/>
              <w:szCs w:val="32"/>
            </w:rPr>
          </w:rPrChange>
        </w:rPr>
        <w:pPrChange w:id="596" w:author="LV" w:date="2026-07-13T09:56:00Z">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jc w:val="both"/>
            <w:textAlignment w:val="auto"/>
          </w:pPr>
        </w:pPrChange>
      </w:pPr>
      <w:del w:id="600" w:author="LV" w:date="2026-07-27T15:37:04Z">
        <w:r>
          <w:rPr>
            <w:rFonts w:hint="eastAsia" w:ascii="仿宋_GB2312" w:hAnsi="仿宋_GB2312" w:eastAsia="仿宋_GB2312" w:cs="仿宋_GB2312"/>
            <w:color w:val="auto"/>
            <w:kern w:val="0"/>
            <w:sz w:val="32"/>
            <w:szCs w:val="32"/>
            <w:rPrChange w:id="601" w:author="LV" w:date="2026-07-22T20:40:36Z">
              <w:rPr>
                <w:rFonts w:hint="eastAsia" w:ascii="仿宋_GB2312" w:hAnsi="仿宋_GB2312" w:eastAsia="仿宋_GB2312" w:cs="仿宋_GB2312"/>
                <w:kern w:val="0"/>
                <w:sz w:val="32"/>
                <w:szCs w:val="32"/>
              </w:rPr>
            </w:rPrChange>
          </w:rPr>
          <w:delText>（三）违法行为危害的具体对象；</w:delText>
        </w:r>
      </w:del>
    </w:p>
    <w:p w14:paraId="500EEBC1">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del w:id="603" w:author="LV" w:date="2026-07-27T15:37:04Z"/>
          <w:rFonts w:hint="eastAsia" w:ascii="仿宋_GB2312" w:hAnsi="仿宋_GB2312" w:eastAsia="仿宋_GB2312" w:cs="仿宋_GB2312"/>
          <w:color w:val="auto"/>
          <w:kern w:val="0"/>
          <w:sz w:val="32"/>
          <w:szCs w:val="32"/>
          <w:rPrChange w:id="604" w:author="LV" w:date="2026-07-22T20:40:36Z">
            <w:rPr>
              <w:del w:id="605" w:author="LV" w:date="2026-07-27T15:37:04Z"/>
              <w:rFonts w:hint="eastAsia" w:ascii="仿宋_GB2312" w:hAnsi="仿宋_GB2312" w:eastAsia="仿宋_GB2312" w:cs="仿宋_GB2312"/>
              <w:kern w:val="0"/>
              <w:sz w:val="32"/>
              <w:szCs w:val="32"/>
            </w:rPr>
          </w:rPrChange>
        </w:rPr>
        <w:pPrChange w:id="602" w:author="LV" w:date="2026-07-13T09:56:00Z">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jc w:val="both"/>
            <w:textAlignment w:val="auto"/>
          </w:pPr>
        </w:pPrChange>
      </w:pPr>
      <w:del w:id="606" w:author="LV" w:date="2026-07-27T15:37:04Z">
        <w:r>
          <w:rPr>
            <w:rFonts w:hint="eastAsia" w:ascii="仿宋_GB2312" w:hAnsi="仿宋_GB2312" w:eastAsia="仿宋_GB2312" w:cs="仿宋_GB2312"/>
            <w:color w:val="auto"/>
            <w:kern w:val="0"/>
            <w:sz w:val="32"/>
            <w:szCs w:val="32"/>
            <w:rPrChange w:id="607" w:author="LV" w:date="2026-07-22T20:40:36Z">
              <w:rPr>
                <w:rFonts w:hint="eastAsia" w:ascii="仿宋_GB2312" w:hAnsi="仿宋_GB2312" w:eastAsia="仿宋_GB2312" w:cs="仿宋_GB2312"/>
                <w:kern w:val="0"/>
                <w:sz w:val="32"/>
                <w:szCs w:val="32"/>
              </w:rPr>
            </w:rPrChange>
          </w:rPr>
          <w:delText>（四）违法行为的持续时间；</w:delText>
        </w:r>
      </w:del>
    </w:p>
    <w:p w14:paraId="66596815">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del w:id="609" w:author="LV" w:date="2026-07-27T15:37:04Z"/>
          <w:rFonts w:hint="eastAsia" w:ascii="仿宋_GB2312" w:hAnsi="仿宋_GB2312" w:eastAsia="仿宋_GB2312" w:cs="仿宋_GB2312"/>
          <w:color w:val="auto"/>
          <w:kern w:val="0"/>
          <w:sz w:val="32"/>
          <w:szCs w:val="32"/>
          <w:rPrChange w:id="610" w:author="LV" w:date="2026-07-22T20:40:36Z">
            <w:rPr>
              <w:del w:id="611" w:author="LV" w:date="2026-07-27T15:37:04Z"/>
              <w:rFonts w:hint="eastAsia" w:ascii="仿宋_GB2312" w:hAnsi="仿宋_GB2312" w:eastAsia="仿宋_GB2312" w:cs="仿宋_GB2312"/>
              <w:kern w:val="0"/>
              <w:sz w:val="32"/>
              <w:szCs w:val="32"/>
            </w:rPr>
          </w:rPrChange>
        </w:rPr>
        <w:pPrChange w:id="608" w:author="LV" w:date="2026-07-13T09:56:00Z">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jc w:val="both"/>
            <w:textAlignment w:val="auto"/>
          </w:pPr>
        </w:pPrChange>
      </w:pPr>
      <w:del w:id="612" w:author="LV" w:date="2026-07-27T15:37:04Z">
        <w:r>
          <w:rPr>
            <w:rFonts w:hint="eastAsia" w:ascii="仿宋_GB2312" w:hAnsi="仿宋_GB2312" w:eastAsia="仿宋_GB2312" w:cs="仿宋_GB2312"/>
            <w:color w:val="auto"/>
            <w:kern w:val="0"/>
            <w:sz w:val="32"/>
            <w:szCs w:val="32"/>
            <w:rPrChange w:id="613" w:author="LV" w:date="2026-07-22T20:40:36Z">
              <w:rPr>
                <w:rFonts w:hint="eastAsia" w:ascii="仿宋_GB2312" w:hAnsi="仿宋_GB2312" w:eastAsia="仿宋_GB2312" w:cs="仿宋_GB2312"/>
                <w:kern w:val="0"/>
                <w:sz w:val="32"/>
                <w:szCs w:val="32"/>
              </w:rPr>
            </w:rPrChange>
          </w:rPr>
          <w:delText>（五）违法行为造成的危害后果以及社会影响程度；</w:delText>
        </w:r>
      </w:del>
    </w:p>
    <w:p w14:paraId="52012B61">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del w:id="615" w:author="LV" w:date="2026-07-27T15:37:04Z"/>
          <w:rFonts w:hint="eastAsia" w:ascii="仿宋_GB2312" w:hAnsi="仿宋_GB2312" w:eastAsia="仿宋_GB2312" w:cs="仿宋_GB2312"/>
          <w:color w:val="auto"/>
          <w:kern w:val="0"/>
          <w:sz w:val="32"/>
          <w:szCs w:val="32"/>
          <w:rPrChange w:id="616" w:author="LV" w:date="2026-07-22T20:40:36Z">
            <w:rPr>
              <w:del w:id="617" w:author="LV" w:date="2026-07-27T15:37:04Z"/>
              <w:rFonts w:hint="eastAsia" w:ascii="仿宋_GB2312" w:hAnsi="仿宋_GB2312" w:eastAsia="仿宋_GB2312" w:cs="仿宋_GB2312"/>
              <w:kern w:val="0"/>
              <w:sz w:val="32"/>
              <w:szCs w:val="32"/>
            </w:rPr>
          </w:rPrChange>
        </w:rPr>
        <w:pPrChange w:id="614" w:author="LV" w:date="2026-07-13T09:56:00Z">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jc w:val="both"/>
            <w:textAlignment w:val="auto"/>
          </w:pPr>
        </w:pPrChange>
      </w:pPr>
      <w:del w:id="618" w:author="LV" w:date="2026-07-27T15:37:04Z">
        <w:r>
          <w:rPr>
            <w:rFonts w:hint="eastAsia" w:ascii="仿宋_GB2312" w:hAnsi="仿宋_GB2312" w:eastAsia="仿宋_GB2312" w:cs="仿宋_GB2312"/>
            <w:color w:val="auto"/>
            <w:kern w:val="0"/>
            <w:sz w:val="32"/>
            <w:szCs w:val="32"/>
            <w:rPrChange w:id="619" w:author="LV" w:date="2026-07-22T20:40:36Z">
              <w:rPr>
                <w:rFonts w:hint="eastAsia" w:ascii="仿宋_GB2312" w:hAnsi="仿宋_GB2312" w:eastAsia="仿宋_GB2312" w:cs="仿宋_GB2312"/>
                <w:kern w:val="0"/>
                <w:sz w:val="32"/>
                <w:szCs w:val="32"/>
              </w:rPr>
            </w:rPrChange>
          </w:rPr>
          <w:delText>（六）改正违法行为的态度和所采取的改正措施、效果；</w:delText>
        </w:r>
      </w:del>
    </w:p>
    <w:p w14:paraId="0C5B220E">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del w:id="621" w:author="LV" w:date="2026-07-27T15:37:04Z"/>
          <w:rFonts w:hint="eastAsia" w:ascii="仿宋_GB2312" w:hAnsi="仿宋_GB2312" w:eastAsia="仿宋_GB2312" w:cs="仿宋_GB2312"/>
          <w:color w:val="auto"/>
          <w:kern w:val="0"/>
          <w:sz w:val="32"/>
          <w:szCs w:val="32"/>
          <w:rPrChange w:id="622" w:author="LV" w:date="2026-07-22T20:40:36Z">
            <w:rPr>
              <w:del w:id="623" w:author="LV" w:date="2026-07-27T15:37:04Z"/>
              <w:rFonts w:hint="eastAsia" w:ascii="仿宋_GB2312" w:hAnsi="仿宋_GB2312" w:eastAsia="仿宋_GB2312" w:cs="仿宋_GB2312"/>
              <w:kern w:val="0"/>
              <w:sz w:val="32"/>
              <w:szCs w:val="32"/>
            </w:rPr>
          </w:rPrChange>
        </w:rPr>
        <w:pPrChange w:id="620" w:author="LV" w:date="2026-07-13T09:56:00Z">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jc w:val="both"/>
            <w:textAlignment w:val="auto"/>
          </w:pPr>
        </w:pPrChange>
      </w:pPr>
      <w:del w:id="624" w:author="LV" w:date="2026-07-27T15:37:04Z">
        <w:r>
          <w:rPr>
            <w:rFonts w:hint="eastAsia" w:ascii="仿宋_GB2312" w:hAnsi="仿宋_GB2312" w:eastAsia="仿宋_GB2312" w:cs="仿宋_GB2312"/>
            <w:color w:val="auto"/>
            <w:kern w:val="0"/>
            <w:sz w:val="32"/>
            <w:szCs w:val="32"/>
            <w:rPrChange w:id="625" w:author="LV" w:date="2026-07-22T20:40:36Z">
              <w:rPr>
                <w:rFonts w:hint="eastAsia" w:ascii="仿宋_GB2312" w:hAnsi="仿宋_GB2312" w:eastAsia="仿宋_GB2312" w:cs="仿宋_GB2312"/>
                <w:kern w:val="0"/>
                <w:sz w:val="32"/>
                <w:szCs w:val="32"/>
              </w:rPr>
            </w:rPrChange>
          </w:rPr>
          <w:delText>（七）违法行为人的主观过错程度；</w:delText>
        </w:r>
      </w:del>
    </w:p>
    <w:p w14:paraId="4BB4EAF5">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del w:id="627" w:author="LV" w:date="2026-07-27T15:37:04Z"/>
          <w:rFonts w:hint="eastAsia" w:ascii="仿宋_GB2312" w:hAnsi="仿宋_GB2312" w:eastAsia="仿宋_GB2312" w:cs="仿宋_GB2312"/>
          <w:color w:val="auto"/>
          <w:kern w:val="0"/>
          <w:sz w:val="32"/>
          <w:szCs w:val="32"/>
          <w:rPrChange w:id="628" w:author="LV" w:date="2026-07-22T20:40:36Z">
            <w:rPr>
              <w:del w:id="629" w:author="LV" w:date="2026-07-27T15:37:04Z"/>
              <w:rFonts w:hint="eastAsia" w:ascii="仿宋_GB2312" w:hAnsi="仿宋_GB2312" w:eastAsia="仿宋_GB2312" w:cs="仿宋_GB2312"/>
              <w:kern w:val="0"/>
              <w:sz w:val="32"/>
              <w:szCs w:val="32"/>
            </w:rPr>
          </w:rPrChange>
        </w:rPr>
        <w:pPrChange w:id="626" w:author="LV" w:date="2026-07-13T09:56:00Z">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jc w:val="both"/>
            <w:textAlignment w:val="auto"/>
          </w:pPr>
        </w:pPrChange>
      </w:pPr>
      <w:del w:id="630" w:author="LV" w:date="2026-07-27T15:37:04Z">
        <w:r>
          <w:rPr>
            <w:rFonts w:hint="eastAsia" w:ascii="仿宋_GB2312" w:hAnsi="仿宋_GB2312" w:eastAsia="仿宋_GB2312" w:cs="仿宋_GB2312"/>
            <w:color w:val="auto"/>
            <w:kern w:val="0"/>
            <w:sz w:val="32"/>
            <w:szCs w:val="32"/>
            <w:rPrChange w:id="631" w:author="LV" w:date="2026-07-22T20:40:36Z">
              <w:rPr>
                <w:rFonts w:hint="eastAsia" w:ascii="仿宋_GB2312" w:hAnsi="仿宋_GB2312" w:eastAsia="仿宋_GB2312" w:cs="仿宋_GB2312"/>
                <w:kern w:val="0"/>
                <w:sz w:val="32"/>
                <w:szCs w:val="32"/>
              </w:rPr>
            </w:rPrChange>
          </w:rPr>
          <w:delText>（八）违法行为人的生产经营规模；</w:delText>
        </w:r>
      </w:del>
    </w:p>
    <w:p w14:paraId="3D792B92">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del w:id="633" w:author="LV" w:date="2026-07-27T15:37:04Z"/>
          <w:rFonts w:hint="eastAsia" w:ascii="仿宋_GB2312" w:hAnsi="仿宋_GB2312" w:eastAsia="仿宋_GB2312" w:cs="仿宋_GB2312"/>
          <w:color w:val="auto"/>
          <w:kern w:val="0"/>
          <w:sz w:val="32"/>
          <w:szCs w:val="32"/>
          <w:rPrChange w:id="634" w:author="LV" w:date="2026-07-22T20:40:36Z">
            <w:rPr>
              <w:del w:id="635" w:author="LV" w:date="2026-07-27T15:37:04Z"/>
              <w:rFonts w:hint="eastAsia" w:ascii="仿宋_GB2312" w:hAnsi="仿宋_GB2312" w:eastAsia="仿宋_GB2312" w:cs="仿宋_GB2312"/>
              <w:kern w:val="0"/>
              <w:sz w:val="32"/>
              <w:szCs w:val="32"/>
            </w:rPr>
          </w:rPrChange>
        </w:rPr>
        <w:pPrChange w:id="632" w:author="LV" w:date="2026-07-13T09:56:00Z">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jc w:val="both"/>
            <w:textAlignment w:val="auto"/>
          </w:pPr>
        </w:pPrChange>
      </w:pPr>
      <w:del w:id="636" w:author="LV" w:date="2026-07-27T15:37:04Z">
        <w:r>
          <w:rPr>
            <w:rFonts w:hint="eastAsia" w:ascii="仿宋_GB2312" w:hAnsi="仿宋_GB2312" w:eastAsia="仿宋_GB2312" w:cs="仿宋_GB2312"/>
            <w:color w:val="auto"/>
            <w:kern w:val="0"/>
            <w:sz w:val="32"/>
            <w:szCs w:val="32"/>
            <w:rPrChange w:id="637" w:author="LV" w:date="2026-07-22T20:40:36Z">
              <w:rPr>
                <w:rFonts w:hint="eastAsia" w:ascii="仿宋_GB2312" w:hAnsi="仿宋_GB2312" w:eastAsia="仿宋_GB2312" w:cs="仿宋_GB2312"/>
                <w:kern w:val="0"/>
                <w:sz w:val="32"/>
                <w:szCs w:val="32"/>
              </w:rPr>
            </w:rPrChange>
          </w:rPr>
          <w:delText>（九）违法行为人违法次数和频率；</w:delText>
        </w:r>
      </w:del>
    </w:p>
    <w:p w14:paraId="1291351A">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del w:id="639" w:author="LV" w:date="2026-07-27T15:37:04Z"/>
          <w:rFonts w:hint="eastAsia" w:ascii="仿宋_GB2312" w:hAnsi="仿宋_GB2312" w:eastAsia="仿宋_GB2312" w:cs="仿宋_GB2312"/>
          <w:color w:val="auto"/>
          <w:kern w:val="0"/>
          <w:sz w:val="32"/>
          <w:szCs w:val="32"/>
          <w:rPrChange w:id="640" w:author="LV" w:date="2026-07-22T20:40:36Z">
            <w:rPr>
              <w:del w:id="641" w:author="LV" w:date="2026-07-27T15:37:04Z"/>
              <w:rFonts w:hint="eastAsia" w:ascii="仿宋_GB2312" w:hAnsi="仿宋_GB2312" w:eastAsia="仿宋_GB2312" w:cs="仿宋_GB2312"/>
              <w:kern w:val="0"/>
              <w:sz w:val="32"/>
              <w:szCs w:val="32"/>
            </w:rPr>
          </w:rPrChange>
        </w:rPr>
        <w:pPrChange w:id="638" w:author="LV" w:date="2026-07-13T09:56:00Z">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jc w:val="both"/>
            <w:textAlignment w:val="auto"/>
          </w:pPr>
        </w:pPrChange>
      </w:pPr>
      <w:del w:id="642" w:author="LV" w:date="2026-07-27T15:37:04Z">
        <w:r>
          <w:rPr>
            <w:rFonts w:hint="eastAsia" w:ascii="仿宋_GB2312" w:hAnsi="仿宋_GB2312" w:eastAsia="仿宋_GB2312" w:cs="仿宋_GB2312"/>
            <w:color w:val="auto"/>
            <w:kern w:val="0"/>
            <w:sz w:val="32"/>
            <w:szCs w:val="32"/>
            <w:rPrChange w:id="643" w:author="LV" w:date="2026-07-22T20:40:36Z">
              <w:rPr>
                <w:rFonts w:hint="eastAsia" w:ascii="仿宋_GB2312" w:hAnsi="仿宋_GB2312" w:eastAsia="仿宋_GB2312" w:cs="仿宋_GB2312"/>
                <w:kern w:val="0"/>
                <w:sz w:val="32"/>
                <w:szCs w:val="32"/>
              </w:rPr>
            </w:rPrChange>
          </w:rPr>
          <w:delText>（十）违法行为涉及的区域和范围；</w:delText>
        </w:r>
      </w:del>
    </w:p>
    <w:p w14:paraId="5856BDF0">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del w:id="645" w:author="LV" w:date="2026-07-27T15:37:04Z"/>
          <w:rFonts w:hint="eastAsia" w:ascii="仿宋_GB2312" w:hAnsi="仿宋_GB2312" w:eastAsia="仿宋_GB2312" w:cs="仿宋_GB2312"/>
          <w:color w:val="auto"/>
          <w:kern w:val="0"/>
          <w:sz w:val="32"/>
          <w:szCs w:val="32"/>
          <w:rPrChange w:id="646" w:author="LV" w:date="2026-07-22T20:40:36Z">
            <w:rPr>
              <w:del w:id="647" w:author="LV" w:date="2026-07-27T15:37:04Z"/>
              <w:rFonts w:hint="eastAsia" w:ascii="仿宋_GB2312" w:hAnsi="仿宋_GB2312" w:eastAsia="仿宋_GB2312" w:cs="仿宋_GB2312"/>
              <w:kern w:val="0"/>
              <w:sz w:val="32"/>
              <w:szCs w:val="32"/>
            </w:rPr>
          </w:rPrChange>
        </w:rPr>
        <w:pPrChange w:id="644" w:author="LV" w:date="2026-07-13T09:56:00Z">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jc w:val="both"/>
            <w:textAlignment w:val="auto"/>
          </w:pPr>
        </w:pPrChange>
      </w:pPr>
      <w:del w:id="648" w:author="LV" w:date="2026-07-27T15:37:04Z">
        <w:r>
          <w:rPr>
            <w:rFonts w:hint="eastAsia" w:ascii="仿宋_GB2312" w:hAnsi="仿宋_GB2312" w:eastAsia="仿宋_GB2312" w:cs="仿宋_GB2312"/>
            <w:color w:val="auto"/>
            <w:kern w:val="0"/>
            <w:sz w:val="32"/>
            <w:szCs w:val="32"/>
            <w:rPrChange w:id="649" w:author="LV" w:date="2026-07-22T20:40:36Z">
              <w:rPr>
                <w:rFonts w:hint="eastAsia" w:ascii="仿宋_GB2312" w:hAnsi="仿宋_GB2312" w:eastAsia="仿宋_GB2312" w:cs="仿宋_GB2312"/>
                <w:kern w:val="0"/>
                <w:sz w:val="32"/>
                <w:szCs w:val="32"/>
              </w:rPr>
            </w:rPrChange>
          </w:rPr>
          <w:delText>（十一）违法所得数量；</w:delText>
        </w:r>
      </w:del>
    </w:p>
    <w:p w14:paraId="2FDFA8BC">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del w:id="651" w:author="LV" w:date="2026-07-27T15:37:04Z"/>
          <w:rFonts w:hint="eastAsia" w:ascii="仿宋_GB2312" w:hAnsi="仿宋_GB2312" w:eastAsia="仿宋_GB2312" w:cs="仿宋_GB2312"/>
          <w:color w:val="auto"/>
          <w:kern w:val="0"/>
          <w:sz w:val="32"/>
          <w:szCs w:val="32"/>
          <w:rPrChange w:id="652" w:author="LV" w:date="2026-07-22T20:40:36Z">
            <w:rPr>
              <w:del w:id="653" w:author="LV" w:date="2026-07-27T15:37:04Z"/>
              <w:rFonts w:hint="eastAsia" w:ascii="仿宋_GB2312" w:hAnsi="仿宋_GB2312" w:eastAsia="仿宋_GB2312" w:cs="仿宋_GB2312"/>
              <w:kern w:val="0"/>
              <w:sz w:val="32"/>
              <w:szCs w:val="32"/>
            </w:rPr>
          </w:rPrChange>
        </w:rPr>
        <w:pPrChange w:id="650" w:author="LV" w:date="2026-07-13T09:56:00Z">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jc w:val="both"/>
            <w:textAlignment w:val="auto"/>
          </w:pPr>
        </w:pPrChange>
      </w:pPr>
      <w:del w:id="654" w:author="LV" w:date="2026-07-27T15:37:04Z">
        <w:r>
          <w:rPr>
            <w:rFonts w:hint="eastAsia" w:ascii="仿宋_GB2312" w:hAnsi="仿宋_GB2312" w:eastAsia="仿宋_GB2312" w:cs="仿宋_GB2312"/>
            <w:color w:val="auto"/>
            <w:kern w:val="0"/>
            <w:sz w:val="32"/>
            <w:szCs w:val="32"/>
            <w:rPrChange w:id="655" w:author="LV" w:date="2026-07-22T20:40:36Z">
              <w:rPr>
                <w:rFonts w:hint="eastAsia" w:ascii="仿宋_GB2312" w:hAnsi="仿宋_GB2312" w:eastAsia="仿宋_GB2312" w:cs="仿宋_GB2312"/>
                <w:kern w:val="0"/>
                <w:sz w:val="32"/>
                <w:szCs w:val="32"/>
              </w:rPr>
            </w:rPrChange>
          </w:rPr>
          <w:delText>（十二）其他依法应予考虑的因素。</w:delText>
        </w:r>
      </w:del>
    </w:p>
    <w:p w14:paraId="3808DC28">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del w:id="657" w:author="LV" w:date="2026-07-27T15:37:04Z"/>
          <w:rFonts w:ascii="仿宋_GB2312" w:hAnsi="仿宋_GB2312" w:eastAsia="仿宋_GB2312" w:cs="仿宋_GB2312"/>
          <w:color w:val="auto"/>
          <w:kern w:val="0"/>
          <w:sz w:val="32"/>
          <w:szCs w:val="32"/>
          <w:rPrChange w:id="658" w:author="LV" w:date="2026-07-22T20:40:36Z">
            <w:rPr>
              <w:del w:id="659" w:author="LV" w:date="2026-07-27T15:37:04Z"/>
              <w:rFonts w:ascii="仿宋_GB2312" w:hAnsi="仿宋_GB2312" w:eastAsia="仿宋_GB2312" w:cs="仿宋_GB2312"/>
              <w:kern w:val="0"/>
              <w:sz w:val="32"/>
              <w:szCs w:val="32"/>
            </w:rPr>
          </w:rPrChange>
        </w:rPr>
        <w:pPrChange w:id="656" w:author="LV" w:date="2026-07-13T09:56:00Z">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jc w:val="both"/>
            <w:textAlignment w:val="auto"/>
          </w:pPr>
        </w:pPrChange>
      </w:pPr>
      <w:del w:id="660" w:author="LV" w:date="2026-07-27T15:37:04Z">
        <w:r>
          <w:rPr>
            <w:rFonts w:hint="eastAsia" w:ascii="黑体" w:hAnsi="黑体" w:eastAsia="黑体" w:cs="黑体"/>
            <w:color w:val="auto"/>
            <w:kern w:val="0"/>
            <w:sz w:val="32"/>
            <w:szCs w:val="32"/>
            <w:rPrChange w:id="661" w:author="LV" w:date="2026-07-22T20:40:36Z">
              <w:rPr>
                <w:rFonts w:hint="eastAsia" w:ascii="黑体" w:hAnsi="黑体" w:eastAsia="黑体" w:cs="黑体"/>
                <w:kern w:val="0"/>
                <w:sz w:val="32"/>
                <w:szCs w:val="32"/>
              </w:rPr>
            </w:rPrChange>
          </w:rPr>
          <w:delText xml:space="preserve">第六条 </w:delText>
        </w:r>
      </w:del>
      <w:del w:id="662" w:author="LV" w:date="2026-07-27T15:37:04Z">
        <w:r>
          <w:rPr>
            <w:rFonts w:hint="eastAsia" w:ascii="仿宋_GB2312" w:hAnsi="仿宋_GB2312" w:eastAsia="仿宋_GB2312" w:cs="仿宋_GB2312"/>
            <w:color w:val="auto"/>
            <w:kern w:val="0"/>
            <w:sz w:val="32"/>
            <w:szCs w:val="32"/>
            <w:rPrChange w:id="663" w:author="LV" w:date="2026-07-22T20:40:36Z">
              <w:rPr>
                <w:rFonts w:hint="eastAsia" w:ascii="仿宋_GB2312" w:hAnsi="仿宋_GB2312" w:eastAsia="仿宋_GB2312" w:cs="仿宋_GB2312"/>
                <w:kern w:val="0"/>
                <w:sz w:val="32"/>
                <w:szCs w:val="32"/>
              </w:rPr>
            </w:rPrChange>
          </w:rPr>
          <w:delText xml:space="preserve"> 行政处罚实行分级裁量制，即划分为</w:delText>
        </w:r>
      </w:del>
      <w:del w:id="664" w:author="LV" w:date="2026-07-27T15:37:04Z">
        <w:r>
          <w:rPr>
            <w:rFonts w:hint="eastAsia" w:ascii="仿宋_GB2312" w:hAnsi="仿宋_GB2312" w:eastAsia="仿宋_GB2312" w:cs="仿宋_GB2312"/>
            <w:color w:val="auto"/>
            <w:kern w:val="0"/>
            <w:sz w:val="32"/>
            <w:szCs w:val="32"/>
            <w:lang w:bidi="ar"/>
          </w:rPr>
          <w:delText>不予</w:delText>
        </w:r>
      </w:del>
      <w:del w:id="665" w:author="LV" w:date="2026-07-27T15:37:04Z">
        <w:r>
          <w:rPr>
            <w:rFonts w:hint="eastAsia" w:ascii="仿宋_GB2312" w:hAnsi="仿宋_GB2312" w:eastAsia="仿宋_GB2312" w:cs="仿宋_GB2312"/>
            <w:color w:val="auto"/>
            <w:kern w:val="0"/>
            <w:sz w:val="32"/>
            <w:szCs w:val="32"/>
            <w:lang w:bidi="ar"/>
            <w:rPrChange w:id="666" w:author="LV" w:date="2026-07-22T20:40:36Z">
              <w:rPr>
                <w:rFonts w:hint="eastAsia" w:ascii="仿宋_GB2312" w:hAnsi="仿宋_GB2312" w:eastAsia="仿宋_GB2312" w:cs="仿宋_GB2312"/>
                <w:kern w:val="0"/>
                <w:sz w:val="32"/>
                <w:szCs w:val="32"/>
                <w:lang w:bidi="ar"/>
              </w:rPr>
            </w:rPrChange>
          </w:rPr>
          <w:delText>处罚</w:delText>
        </w:r>
      </w:del>
      <w:del w:id="667" w:author="LV" w:date="2026-07-27T15:37:04Z">
        <w:r>
          <w:rPr>
            <w:rFonts w:hint="eastAsia" w:ascii="仿宋_GB2312" w:hAnsi="仿宋_GB2312" w:eastAsia="仿宋_GB2312" w:cs="仿宋_GB2312"/>
            <w:color w:val="auto"/>
            <w:kern w:val="0"/>
            <w:sz w:val="32"/>
            <w:szCs w:val="32"/>
            <w:lang w:val="en-US" w:eastAsia="zh-CN"/>
            <w:rPrChange w:id="668" w:author="LV" w:date="2026-07-22T20:40:36Z">
              <w:rPr>
                <w:rFonts w:hint="eastAsia" w:ascii="仿宋_GB2312" w:hAnsi="仿宋_GB2312" w:eastAsia="仿宋_GB2312" w:cs="仿宋_GB2312"/>
                <w:kern w:val="0"/>
                <w:sz w:val="32"/>
                <w:szCs w:val="32"/>
                <w:lang w:val="en-US" w:eastAsia="zh-CN"/>
              </w:rPr>
            </w:rPrChange>
          </w:rPr>
          <w:delText>、免于</w:delText>
        </w:r>
      </w:del>
      <w:del w:id="669" w:author="LV" w:date="2026-07-27T15:37:04Z">
        <w:r>
          <w:rPr>
            <w:rFonts w:hint="eastAsia" w:ascii="仿宋_GB2312" w:hAnsi="仿宋_GB2312" w:eastAsia="仿宋_GB2312" w:cs="仿宋_GB2312"/>
            <w:color w:val="auto"/>
            <w:kern w:val="0"/>
            <w:sz w:val="32"/>
            <w:szCs w:val="32"/>
            <w:lang w:bidi="ar"/>
            <w:rPrChange w:id="670" w:author="LV" w:date="2026-07-22T20:40:36Z">
              <w:rPr>
                <w:rFonts w:hint="eastAsia" w:ascii="仿宋_GB2312" w:hAnsi="仿宋_GB2312" w:eastAsia="仿宋_GB2312" w:cs="仿宋_GB2312"/>
                <w:kern w:val="0"/>
                <w:sz w:val="32"/>
                <w:szCs w:val="32"/>
                <w:lang w:bidi="ar"/>
              </w:rPr>
            </w:rPrChange>
          </w:rPr>
          <w:delText>处罚</w:delText>
        </w:r>
      </w:del>
      <w:del w:id="671" w:author="LV" w:date="2026-07-27T15:37:04Z">
        <w:r>
          <w:rPr>
            <w:rFonts w:hint="eastAsia" w:ascii="仿宋_GB2312" w:hAnsi="仿宋_GB2312" w:eastAsia="仿宋_GB2312" w:cs="仿宋_GB2312"/>
            <w:color w:val="auto"/>
            <w:kern w:val="0"/>
            <w:sz w:val="32"/>
            <w:szCs w:val="32"/>
            <w:lang w:val="en-US" w:eastAsia="zh-CN"/>
            <w:rPrChange w:id="672" w:author="LV" w:date="2026-07-22T20:40:36Z">
              <w:rPr>
                <w:rFonts w:hint="eastAsia" w:ascii="仿宋_GB2312" w:hAnsi="仿宋_GB2312" w:eastAsia="仿宋_GB2312" w:cs="仿宋_GB2312"/>
                <w:kern w:val="0"/>
                <w:sz w:val="32"/>
                <w:szCs w:val="32"/>
                <w:lang w:val="en-US" w:eastAsia="zh-CN"/>
              </w:rPr>
            </w:rPrChange>
          </w:rPr>
          <w:delText>、</w:delText>
        </w:r>
      </w:del>
      <w:del w:id="673" w:author="LV" w:date="2026-07-27T15:37:04Z">
        <w:r>
          <w:rPr>
            <w:rFonts w:hint="eastAsia" w:ascii="仿宋_GB2312" w:hAnsi="仿宋_GB2312" w:eastAsia="仿宋_GB2312" w:cs="仿宋_GB2312"/>
            <w:color w:val="auto"/>
            <w:kern w:val="0"/>
            <w:sz w:val="32"/>
            <w:szCs w:val="32"/>
            <w:rPrChange w:id="674" w:author="LV" w:date="2026-07-22T20:40:36Z">
              <w:rPr>
                <w:rFonts w:hint="eastAsia" w:ascii="仿宋_GB2312" w:hAnsi="仿宋_GB2312" w:eastAsia="仿宋_GB2312" w:cs="仿宋_GB2312"/>
                <w:kern w:val="0"/>
                <w:sz w:val="32"/>
                <w:szCs w:val="32"/>
              </w:rPr>
            </w:rPrChange>
          </w:rPr>
          <w:delText>减轻处罚、从轻处罚、一般处罚、从重处罚等裁量等级。</w:delText>
        </w:r>
      </w:del>
    </w:p>
    <w:p w14:paraId="18A19313">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del w:id="676" w:author="LV" w:date="2026-07-27T15:37:04Z"/>
          <w:rFonts w:ascii="仿宋_GB2312" w:hAnsi="仿宋_GB2312" w:eastAsia="仿宋_GB2312" w:cs="仿宋_GB2312"/>
          <w:color w:val="auto"/>
          <w:kern w:val="0"/>
          <w:sz w:val="32"/>
          <w:szCs w:val="32"/>
          <w:rPrChange w:id="677" w:author="LV" w:date="2026-07-22T20:40:36Z">
            <w:rPr>
              <w:del w:id="678" w:author="LV" w:date="2026-07-27T15:37:04Z"/>
              <w:rFonts w:ascii="仿宋_GB2312" w:hAnsi="仿宋_GB2312" w:eastAsia="仿宋_GB2312" w:cs="仿宋_GB2312"/>
              <w:kern w:val="0"/>
              <w:sz w:val="32"/>
              <w:szCs w:val="32"/>
            </w:rPr>
          </w:rPrChange>
        </w:rPr>
        <w:pPrChange w:id="675" w:author="LV" w:date="2026-07-13T09:56:00Z">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jc w:val="both"/>
            <w:textAlignment w:val="auto"/>
          </w:pPr>
        </w:pPrChange>
      </w:pPr>
      <w:del w:id="679" w:author="LV" w:date="2026-07-27T15:37:04Z">
        <w:r>
          <w:rPr>
            <w:rFonts w:hint="eastAsia" w:ascii="仿宋_GB2312" w:hAnsi="仿宋_GB2312" w:eastAsia="仿宋_GB2312" w:cs="仿宋_GB2312"/>
            <w:color w:val="auto"/>
            <w:kern w:val="0"/>
            <w:sz w:val="32"/>
            <w:szCs w:val="32"/>
            <w:rPrChange w:id="680" w:author="LV" w:date="2026-07-22T20:40:36Z">
              <w:rPr>
                <w:rFonts w:hint="eastAsia" w:ascii="仿宋_GB2312" w:hAnsi="仿宋_GB2312" w:eastAsia="仿宋_GB2312" w:cs="仿宋_GB2312"/>
                <w:kern w:val="0"/>
                <w:sz w:val="32"/>
                <w:szCs w:val="32"/>
              </w:rPr>
            </w:rPrChange>
          </w:rPr>
          <w:delText>减轻处罚是指在法律、法规、规章规定的处罚幅度最低限以下，对当事人适用的行政处罚,包括在违法行为应当受到的一种或者几种处罚种类之外选择更轻的处罚种类，或者在应当并处时不并处，也包括在法定最低罚款限值以下确定罚款数额。</w:delText>
        </w:r>
      </w:del>
    </w:p>
    <w:p w14:paraId="3EBE9D86">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del w:id="682" w:author="LV" w:date="2026-07-27T15:37:04Z"/>
          <w:rFonts w:ascii="仿宋_GB2312" w:hAnsi="仿宋_GB2312" w:eastAsia="仿宋_GB2312" w:cs="仿宋_GB2312"/>
          <w:color w:val="auto"/>
          <w:kern w:val="0"/>
          <w:sz w:val="32"/>
          <w:szCs w:val="32"/>
          <w:rPrChange w:id="683" w:author="LV" w:date="2026-07-22T20:40:36Z">
            <w:rPr>
              <w:del w:id="684" w:author="LV" w:date="2026-07-27T15:37:04Z"/>
              <w:rFonts w:ascii="仿宋_GB2312" w:hAnsi="仿宋_GB2312" w:eastAsia="仿宋_GB2312" w:cs="仿宋_GB2312"/>
              <w:kern w:val="0"/>
              <w:sz w:val="32"/>
              <w:szCs w:val="32"/>
            </w:rPr>
          </w:rPrChange>
        </w:rPr>
        <w:pPrChange w:id="681" w:author="LV" w:date="2026-07-13T09:56:00Z">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jc w:val="both"/>
            <w:textAlignment w:val="auto"/>
          </w:pPr>
        </w:pPrChange>
      </w:pPr>
      <w:del w:id="685" w:author="LV" w:date="2026-07-27T15:37:04Z">
        <w:r>
          <w:rPr>
            <w:rFonts w:hint="eastAsia" w:ascii="仿宋_GB2312" w:hAnsi="仿宋_GB2312" w:eastAsia="仿宋_GB2312" w:cs="仿宋_GB2312"/>
            <w:color w:val="auto"/>
            <w:kern w:val="0"/>
            <w:sz w:val="32"/>
            <w:szCs w:val="32"/>
            <w:rPrChange w:id="686" w:author="LV" w:date="2026-07-22T20:40:36Z">
              <w:rPr>
                <w:rFonts w:hint="eastAsia" w:ascii="仿宋_GB2312" w:hAnsi="仿宋_GB2312" w:eastAsia="仿宋_GB2312" w:cs="仿宋_GB2312"/>
                <w:kern w:val="0"/>
                <w:sz w:val="32"/>
                <w:szCs w:val="32"/>
              </w:rPr>
            </w:rPrChange>
          </w:rPr>
          <w:delText>从轻处罚是指在法律、法规、规章规定的处罚种类和处罚幅度内，对当事人在几种可能的处罚种类内选择较轻的处罚方式，或者在一种处罚种类中法定幅度内选择较低限至中限进行处罚。</w:delText>
        </w:r>
      </w:del>
    </w:p>
    <w:p w14:paraId="210E74D8">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del w:id="688" w:author="LV" w:date="2026-07-27T15:37:04Z"/>
          <w:rFonts w:ascii="仿宋_GB2312" w:hAnsi="仿宋_GB2312" w:eastAsia="仿宋_GB2312" w:cs="仿宋_GB2312"/>
          <w:color w:val="auto"/>
          <w:kern w:val="0"/>
          <w:sz w:val="32"/>
          <w:szCs w:val="32"/>
          <w:rPrChange w:id="689" w:author="LV" w:date="2026-07-22T20:40:36Z">
            <w:rPr>
              <w:del w:id="690" w:author="LV" w:date="2026-07-27T15:37:04Z"/>
              <w:rFonts w:ascii="仿宋_GB2312" w:hAnsi="仿宋_GB2312" w:eastAsia="仿宋_GB2312" w:cs="仿宋_GB2312"/>
              <w:kern w:val="0"/>
              <w:sz w:val="32"/>
              <w:szCs w:val="32"/>
            </w:rPr>
          </w:rPrChange>
        </w:rPr>
        <w:pPrChange w:id="687" w:author="LV" w:date="2026-07-13T09:56:00Z">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jc w:val="both"/>
            <w:textAlignment w:val="auto"/>
          </w:pPr>
        </w:pPrChange>
      </w:pPr>
      <w:del w:id="691" w:author="LV" w:date="2026-07-27T15:37:04Z">
        <w:r>
          <w:rPr>
            <w:rFonts w:hint="eastAsia" w:ascii="仿宋_GB2312" w:hAnsi="仿宋_GB2312" w:eastAsia="仿宋_GB2312" w:cs="仿宋_GB2312"/>
            <w:color w:val="auto"/>
            <w:kern w:val="0"/>
            <w:sz w:val="32"/>
            <w:szCs w:val="32"/>
            <w:rPrChange w:id="692" w:author="LV" w:date="2026-07-22T20:40:36Z">
              <w:rPr>
                <w:rFonts w:hint="eastAsia" w:ascii="仿宋_GB2312" w:hAnsi="仿宋_GB2312" w:eastAsia="仿宋_GB2312" w:cs="仿宋_GB2312"/>
                <w:kern w:val="0"/>
                <w:sz w:val="32"/>
                <w:szCs w:val="32"/>
              </w:rPr>
            </w:rPrChange>
          </w:rPr>
          <w:delText>从重处罚是指在一种处罚种类中法定幅度内选择中限至高限进行处罚。</w:delText>
        </w:r>
      </w:del>
    </w:p>
    <w:p w14:paraId="47FE9839">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del w:id="694" w:author="LV" w:date="2026-07-27T15:37:04Z"/>
          <w:rFonts w:ascii="仿宋_GB2312" w:hAnsi="仿宋_GB2312" w:eastAsia="仿宋_GB2312" w:cs="仿宋_GB2312"/>
          <w:color w:val="auto"/>
          <w:kern w:val="0"/>
          <w:sz w:val="32"/>
          <w:szCs w:val="32"/>
          <w:rPrChange w:id="695" w:author="LV" w:date="2026-07-22T20:40:36Z">
            <w:rPr>
              <w:del w:id="696" w:author="LV" w:date="2026-07-27T15:37:04Z"/>
              <w:rFonts w:ascii="仿宋_GB2312" w:hAnsi="仿宋_GB2312" w:eastAsia="仿宋_GB2312" w:cs="仿宋_GB2312"/>
              <w:kern w:val="0"/>
              <w:sz w:val="32"/>
              <w:szCs w:val="32"/>
            </w:rPr>
          </w:rPrChange>
        </w:rPr>
        <w:pPrChange w:id="693" w:author="LV" w:date="2026-07-13T09:56:00Z">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jc w:val="both"/>
            <w:textAlignment w:val="auto"/>
          </w:pPr>
        </w:pPrChange>
      </w:pPr>
      <w:del w:id="697" w:author="LV" w:date="2026-07-27T15:37:04Z">
        <w:r>
          <w:rPr>
            <w:rFonts w:hint="eastAsia" w:ascii="黑体" w:hAnsi="黑体" w:eastAsia="黑体" w:cs="黑体"/>
            <w:color w:val="auto"/>
            <w:kern w:val="0"/>
            <w:sz w:val="32"/>
            <w:szCs w:val="32"/>
            <w:rPrChange w:id="698" w:author="LV" w:date="2026-07-22T20:40:36Z">
              <w:rPr>
                <w:rFonts w:hint="eastAsia" w:ascii="黑体" w:hAnsi="黑体" w:eastAsia="黑体" w:cs="黑体"/>
                <w:kern w:val="0"/>
                <w:sz w:val="32"/>
                <w:szCs w:val="32"/>
              </w:rPr>
            </w:rPrChange>
          </w:rPr>
          <w:delText>第</w:delText>
        </w:r>
      </w:del>
      <w:del w:id="699" w:author="LV" w:date="2026-07-27T15:37:04Z">
        <w:r>
          <w:rPr>
            <w:rFonts w:hint="eastAsia" w:ascii="黑体" w:hAnsi="黑体" w:eastAsia="黑体" w:cs="黑体"/>
            <w:color w:val="auto"/>
            <w:kern w:val="0"/>
            <w:sz w:val="32"/>
            <w:szCs w:val="32"/>
            <w:lang w:val="en-US" w:eastAsia="zh-CN"/>
            <w:rPrChange w:id="700" w:author="LV" w:date="2026-07-22T20:40:36Z">
              <w:rPr>
                <w:rFonts w:hint="eastAsia" w:ascii="黑体" w:hAnsi="黑体" w:eastAsia="黑体" w:cs="黑体"/>
                <w:kern w:val="0"/>
                <w:sz w:val="32"/>
                <w:szCs w:val="32"/>
                <w:lang w:val="en-US" w:eastAsia="zh-CN"/>
              </w:rPr>
            </w:rPrChange>
          </w:rPr>
          <w:delText>七</w:delText>
        </w:r>
      </w:del>
      <w:del w:id="701" w:author="LV" w:date="2026-07-27T15:37:04Z">
        <w:r>
          <w:rPr>
            <w:rFonts w:hint="eastAsia" w:ascii="黑体" w:hAnsi="黑体" w:eastAsia="黑体" w:cs="黑体"/>
            <w:color w:val="auto"/>
            <w:kern w:val="0"/>
            <w:sz w:val="32"/>
            <w:szCs w:val="32"/>
            <w:rPrChange w:id="702" w:author="LV" w:date="2026-07-22T20:40:36Z">
              <w:rPr>
                <w:rFonts w:hint="eastAsia" w:ascii="黑体" w:hAnsi="黑体" w:eastAsia="黑体" w:cs="黑体"/>
                <w:kern w:val="0"/>
                <w:sz w:val="32"/>
                <w:szCs w:val="32"/>
              </w:rPr>
            </w:rPrChange>
          </w:rPr>
          <w:delText>条</w:delText>
        </w:r>
      </w:del>
      <w:del w:id="703" w:author="LV" w:date="2026-07-27T15:37:04Z">
        <w:r>
          <w:rPr>
            <w:rFonts w:hint="eastAsia" w:ascii="仿宋_GB2312" w:hAnsi="仿宋_GB2312" w:eastAsia="仿宋_GB2312" w:cs="仿宋_GB2312"/>
            <w:color w:val="auto"/>
            <w:kern w:val="0"/>
            <w:sz w:val="32"/>
            <w:szCs w:val="32"/>
            <w:rPrChange w:id="704" w:author="LV" w:date="2026-07-22T20:40:36Z">
              <w:rPr>
                <w:rFonts w:hint="eastAsia" w:ascii="仿宋_GB2312" w:hAnsi="仿宋_GB2312" w:eastAsia="仿宋_GB2312" w:cs="仿宋_GB2312"/>
                <w:kern w:val="0"/>
                <w:sz w:val="32"/>
                <w:szCs w:val="32"/>
              </w:rPr>
            </w:rPrChange>
          </w:rPr>
          <w:delText xml:space="preserve">  当事人有下列情形之一的，依法不予处罚：</w:delText>
        </w:r>
      </w:del>
    </w:p>
    <w:p w14:paraId="59E5009F">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del w:id="706" w:author="LV" w:date="2026-07-27T15:37:04Z"/>
          <w:rFonts w:hint="eastAsia" w:ascii="仿宋_GB2312" w:hAnsi="仿宋_GB2312" w:eastAsia="仿宋_GB2312" w:cs="仿宋_GB2312"/>
          <w:color w:val="auto"/>
          <w:kern w:val="0"/>
          <w:sz w:val="32"/>
          <w:szCs w:val="32"/>
          <w:rPrChange w:id="707" w:author="LV" w:date="2026-07-22T20:40:36Z">
            <w:rPr>
              <w:del w:id="708" w:author="LV" w:date="2026-07-27T15:37:04Z"/>
              <w:rFonts w:hint="eastAsia" w:ascii="仿宋_GB2312" w:hAnsi="仿宋_GB2312" w:eastAsia="仿宋_GB2312" w:cs="仿宋_GB2312"/>
              <w:kern w:val="0"/>
              <w:sz w:val="32"/>
              <w:szCs w:val="32"/>
            </w:rPr>
          </w:rPrChange>
        </w:rPr>
        <w:pPrChange w:id="705" w:author="LV" w:date="2026-07-13T09:56:00Z">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jc w:val="both"/>
            <w:textAlignment w:val="auto"/>
          </w:pPr>
        </w:pPrChange>
      </w:pPr>
      <w:del w:id="709" w:author="LV" w:date="2026-07-27T15:37:04Z">
        <w:r>
          <w:rPr>
            <w:rFonts w:hint="eastAsia" w:ascii="仿宋_GB2312" w:hAnsi="仿宋_GB2312" w:eastAsia="仿宋_GB2312" w:cs="仿宋_GB2312"/>
            <w:color w:val="auto"/>
            <w:kern w:val="0"/>
            <w:sz w:val="32"/>
            <w:szCs w:val="32"/>
            <w:rPrChange w:id="710" w:author="LV" w:date="2026-07-22T20:40:36Z">
              <w:rPr>
                <w:rFonts w:hint="eastAsia" w:ascii="仿宋_GB2312" w:hAnsi="仿宋_GB2312" w:eastAsia="仿宋_GB2312" w:cs="仿宋_GB2312"/>
                <w:kern w:val="0"/>
                <w:sz w:val="32"/>
                <w:szCs w:val="32"/>
              </w:rPr>
            </w:rPrChange>
          </w:rPr>
          <w:delText>（一）不满十四周岁的未成年人有违法行为的；</w:delText>
        </w:r>
      </w:del>
    </w:p>
    <w:p w14:paraId="6C3DBCF7">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del w:id="712" w:author="LV" w:date="2026-07-27T15:37:04Z"/>
          <w:rFonts w:hint="eastAsia" w:ascii="仿宋_GB2312" w:hAnsi="仿宋_GB2312" w:eastAsia="仿宋_GB2312" w:cs="仿宋_GB2312"/>
          <w:color w:val="auto"/>
          <w:kern w:val="0"/>
          <w:sz w:val="32"/>
          <w:szCs w:val="32"/>
          <w:rPrChange w:id="713" w:author="LV" w:date="2026-07-22T20:40:36Z">
            <w:rPr>
              <w:del w:id="714" w:author="LV" w:date="2026-07-27T15:37:04Z"/>
              <w:rFonts w:hint="eastAsia" w:ascii="仿宋_GB2312" w:hAnsi="仿宋_GB2312" w:eastAsia="仿宋_GB2312" w:cs="仿宋_GB2312"/>
              <w:kern w:val="0"/>
              <w:sz w:val="32"/>
              <w:szCs w:val="32"/>
            </w:rPr>
          </w:rPrChange>
        </w:rPr>
        <w:pPrChange w:id="711" w:author="LV" w:date="2026-07-13T09:56:00Z">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jc w:val="both"/>
            <w:textAlignment w:val="auto"/>
          </w:pPr>
        </w:pPrChange>
      </w:pPr>
      <w:del w:id="715" w:author="LV" w:date="2026-07-27T15:37:04Z">
        <w:r>
          <w:rPr>
            <w:rFonts w:hint="eastAsia" w:ascii="仿宋_GB2312" w:hAnsi="仿宋_GB2312" w:eastAsia="仿宋_GB2312" w:cs="仿宋_GB2312"/>
            <w:color w:val="auto"/>
            <w:kern w:val="0"/>
            <w:sz w:val="32"/>
            <w:szCs w:val="32"/>
            <w:rPrChange w:id="716" w:author="LV" w:date="2026-07-22T20:40:36Z">
              <w:rPr>
                <w:rFonts w:hint="eastAsia" w:ascii="仿宋_GB2312" w:hAnsi="仿宋_GB2312" w:eastAsia="仿宋_GB2312" w:cs="仿宋_GB2312"/>
                <w:kern w:val="0"/>
                <w:sz w:val="32"/>
                <w:szCs w:val="32"/>
              </w:rPr>
            </w:rPrChange>
          </w:rPr>
          <w:delText>（二）精神病人、智力残疾人在不能辨认或者不能控制自己行为时有违法行为的；</w:delText>
        </w:r>
      </w:del>
    </w:p>
    <w:p w14:paraId="6078010F">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del w:id="718" w:author="LV" w:date="2026-07-27T15:37:04Z"/>
          <w:rFonts w:hint="eastAsia" w:ascii="仿宋_GB2312" w:hAnsi="仿宋_GB2312" w:eastAsia="仿宋_GB2312" w:cs="仿宋_GB2312"/>
          <w:color w:val="auto"/>
          <w:kern w:val="0"/>
          <w:sz w:val="32"/>
          <w:szCs w:val="32"/>
          <w:rPrChange w:id="719" w:author="LV" w:date="2026-07-22T20:40:36Z">
            <w:rPr>
              <w:del w:id="720" w:author="LV" w:date="2026-07-27T15:37:04Z"/>
              <w:rFonts w:hint="eastAsia" w:ascii="仿宋_GB2312" w:hAnsi="仿宋_GB2312" w:eastAsia="仿宋_GB2312" w:cs="仿宋_GB2312"/>
              <w:kern w:val="0"/>
              <w:sz w:val="32"/>
              <w:szCs w:val="32"/>
            </w:rPr>
          </w:rPrChange>
        </w:rPr>
        <w:pPrChange w:id="717" w:author="LV" w:date="2026-07-13T09:56:00Z">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jc w:val="both"/>
            <w:textAlignment w:val="auto"/>
          </w:pPr>
        </w:pPrChange>
      </w:pPr>
      <w:del w:id="721" w:author="LV" w:date="2026-07-27T15:37:04Z">
        <w:r>
          <w:rPr>
            <w:rFonts w:hint="eastAsia" w:ascii="仿宋_GB2312" w:hAnsi="仿宋_GB2312" w:eastAsia="仿宋_GB2312" w:cs="仿宋_GB2312"/>
            <w:color w:val="auto"/>
            <w:kern w:val="0"/>
            <w:sz w:val="32"/>
            <w:szCs w:val="32"/>
            <w:rPrChange w:id="722" w:author="LV" w:date="2026-07-22T20:40:36Z">
              <w:rPr>
                <w:rFonts w:hint="eastAsia" w:ascii="仿宋_GB2312" w:hAnsi="仿宋_GB2312" w:eastAsia="仿宋_GB2312" w:cs="仿宋_GB2312"/>
                <w:kern w:val="0"/>
                <w:sz w:val="32"/>
                <w:szCs w:val="32"/>
              </w:rPr>
            </w:rPrChange>
          </w:rPr>
          <w:delText>（二）违法行为轻微并及时改正，没有造成危害后果的；</w:delText>
        </w:r>
      </w:del>
    </w:p>
    <w:p w14:paraId="0C40FC9D">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del w:id="724" w:author="LV" w:date="2026-07-27T15:37:04Z"/>
          <w:rFonts w:hint="eastAsia" w:ascii="仿宋_GB2312" w:hAnsi="仿宋_GB2312" w:eastAsia="仿宋_GB2312" w:cs="仿宋_GB2312"/>
          <w:color w:val="auto"/>
          <w:kern w:val="0"/>
          <w:sz w:val="32"/>
          <w:szCs w:val="32"/>
          <w:rPrChange w:id="725" w:author="LV" w:date="2026-07-22T20:40:36Z">
            <w:rPr>
              <w:del w:id="726" w:author="LV" w:date="2026-07-27T15:37:04Z"/>
              <w:rFonts w:hint="eastAsia" w:ascii="仿宋_GB2312" w:hAnsi="仿宋_GB2312" w:eastAsia="仿宋_GB2312" w:cs="仿宋_GB2312"/>
              <w:kern w:val="0"/>
              <w:sz w:val="32"/>
              <w:szCs w:val="32"/>
            </w:rPr>
          </w:rPrChange>
        </w:rPr>
        <w:pPrChange w:id="723" w:author="LV" w:date="2026-07-13T09:56:00Z">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jc w:val="both"/>
            <w:textAlignment w:val="auto"/>
          </w:pPr>
        </w:pPrChange>
      </w:pPr>
      <w:del w:id="727" w:author="LV" w:date="2026-07-27T15:37:04Z">
        <w:r>
          <w:rPr>
            <w:rFonts w:hint="eastAsia" w:ascii="仿宋_GB2312" w:hAnsi="仿宋_GB2312" w:eastAsia="仿宋_GB2312" w:cs="仿宋_GB2312"/>
            <w:color w:val="auto"/>
            <w:kern w:val="0"/>
            <w:sz w:val="32"/>
            <w:szCs w:val="32"/>
            <w:rPrChange w:id="728" w:author="LV" w:date="2026-07-22T20:40:36Z">
              <w:rPr>
                <w:rFonts w:hint="eastAsia" w:ascii="仿宋_GB2312" w:hAnsi="仿宋_GB2312" w:eastAsia="仿宋_GB2312" w:cs="仿宋_GB2312"/>
                <w:kern w:val="0"/>
                <w:sz w:val="32"/>
                <w:szCs w:val="32"/>
              </w:rPr>
            </w:rPrChange>
          </w:rPr>
          <w:delText>（三）违法行为在二年内未被发现的；涉及公民生命健康安全、金融安全且有危害后果的，上述期限延长至五年，法律另有规定的除外；</w:delText>
        </w:r>
      </w:del>
    </w:p>
    <w:p w14:paraId="2100BE48">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del w:id="730" w:author="LV" w:date="2026-07-27T15:37:04Z"/>
          <w:rFonts w:hint="eastAsia" w:ascii="仿宋_GB2312" w:hAnsi="仿宋_GB2312" w:eastAsia="仿宋_GB2312" w:cs="仿宋_GB2312"/>
          <w:color w:val="auto"/>
          <w:kern w:val="0"/>
          <w:sz w:val="32"/>
          <w:szCs w:val="32"/>
          <w:rPrChange w:id="731" w:author="LV" w:date="2026-07-22T20:40:36Z">
            <w:rPr>
              <w:del w:id="732" w:author="LV" w:date="2026-07-27T15:37:04Z"/>
              <w:rFonts w:hint="eastAsia" w:ascii="仿宋_GB2312" w:hAnsi="仿宋_GB2312" w:eastAsia="仿宋_GB2312" w:cs="仿宋_GB2312"/>
              <w:kern w:val="0"/>
              <w:sz w:val="32"/>
              <w:szCs w:val="32"/>
            </w:rPr>
          </w:rPrChange>
        </w:rPr>
        <w:pPrChange w:id="729" w:author="LV" w:date="2026-07-13T09:56:00Z">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jc w:val="both"/>
            <w:textAlignment w:val="auto"/>
          </w:pPr>
        </w:pPrChange>
      </w:pPr>
      <w:del w:id="733" w:author="LV" w:date="2026-07-27T15:37:04Z">
        <w:r>
          <w:rPr>
            <w:rFonts w:hint="eastAsia" w:ascii="仿宋_GB2312" w:hAnsi="仿宋_GB2312" w:eastAsia="仿宋_GB2312" w:cs="仿宋_GB2312"/>
            <w:color w:val="auto"/>
            <w:kern w:val="0"/>
            <w:sz w:val="32"/>
            <w:szCs w:val="32"/>
            <w:rPrChange w:id="734" w:author="LV" w:date="2026-07-22T20:40:36Z">
              <w:rPr>
                <w:rFonts w:hint="eastAsia" w:ascii="仿宋_GB2312" w:hAnsi="仿宋_GB2312" w:eastAsia="仿宋_GB2312" w:cs="仿宋_GB2312"/>
                <w:kern w:val="0"/>
                <w:sz w:val="32"/>
                <w:szCs w:val="32"/>
              </w:rPr>
            </w:rPrChange>
          </w:rPr>
          <w:delText>（四）当事人有证据足以证明没有主观过错的，法律、行政法规另有规定的，从其规定；</w:delText>
        </w:r>
      </w:del>
    </w:p>
    <w:p w14:paraId="4060B07E">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del w:id="736" w:author="LV" w:date="2026-07-27T15:37:04Z"/>
          <w:rFonts w:hint="eastAsia" w:ascii="仿宋_GB2312" w:hAnsi="仿宋_GB2312" w:eastAsia="仿宋_GB2312" w:cs="仿宋_GB2312"/>
          <w:color w:val="auto"/>
          <w:kern w:val="0"/>
          <w:sz w:val="32"/>
          <w:szCs w:val="32"/>
          <w:lang w:val="en-US" w:eastAsia="zh-CN"/>
          <w:rPrChange w:id="737" w:author="LV" w:date="2026-07-22T20:40:36Z">
            <w:rPr>
              <w:del w:id="738" w:author="LV" w:date="2026-07-27T15:37:04Z"/>
              <w:rFonts w:hint="eastAsia" w:ascii="仿宋_GB2312" w:hAnsi="仿宋_GB2312" w:eastAsia="仿宋_GB2312" w:cs="仿宋_GB2312"/>
              <w:kern w:val="0"/>
              <w:sz w:val="32"/>
              <w:szCs w:val="32"/>
              <w:lang w:val="en-US" w:eastAsia="zh-CN"/>
            </w:rPr>
          </w:rPrChange>
        </w:rPr>
        <w:pPrChange w:id="735" w:author="LV" w:date="2026-07-13T09:56:00Z">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jc w:val="both"/>
            <w:textAlignment w:val="auto"/>
          </w:pPr>
        </w:pPrChange>
      </w:pPr>
      <w:del w:id="739" w:author="LV" w:date="2026-07-27T15:37:04Z">
        <w:r>
          <w:rPr>
            <w:rFonts w:hint="eastAsia" w:ascii="仿宋_GB2312" w:hAnsi="仿宋_GB2312" w:eastAsia="仿宋_GB2312" w:cs="仿宋_GB2312"/>
            <w:color w:val="auto"/>
            <w:kern w:val="0"/>
            <w:sz w:val="32"/>
            <w:szCs w:val="32"/>
            <w:rPrChange w:id="740" w:author="LV" w:date="2026-07-22T20:40:36Z">
              <w:rPr>
                <w:rFonts w:hint="eastAsia" w:ascii="仿宋_GB2312" w:hAnsi="仿宋_GB2312" w:eastAsia="仿宋_GB2312" w:cs="仿宋_GB2312"/>
                <w:kern w:val="0"/>
                <w:sz w:val="32"/>
                <w:szCs w:val="32"/>
              </w:rPr>
            </w:rPrChange>
          </w:rPr>
          <w:delText>（五）初次违法且危害后果轻微并及时改正的，可以不予行政处罚</w:delText>
        </w:r>
      </w:del>
      <w:del w:id="741" w:author="LV" w:date="2026-07-27T15:37:04Z">
        <w:r>
          <w:rPr>
            <w:rFonts w:hint="eastAsia" w:ascii="仿宋_GB2312" w:hAnsi="仿宋_GB2312" w:eastAsia="仿宋_GB2312" w:cs="仿宋_GB2312"/>
            <w:color w:val="auto"/>
            <w:kern w:val="0"/>
            <w:sz w:val="32"/>
            <w:szCs w:val="32"/>
            <w:lang w:val="en-US" w:eastAsia="zh-CN"/>
            <w:rPrChange w:id="742" w:author="LV" w:date="2026-07-22T20:40:36Z">
              <w:rPr>
                <w:rFonts w:hint="eastAsia" w:ascii="仿宋_GB2312" w:hAnsi="仿宋_GB2312" w:eastAsia="仿宋_GB2312" w:cs="仿宋_GB2312"/>
                <w:kern w:val="0"/>
                <w:sz w:val="32"/>
                <w:szCs w:val="32"/>
                <w:lang w:val="en-US" w:eastAsia="zh-CN"/>
              </w:rPr>
            </w:rPrChange>
          </w:rPr>
          <w:delText>；</w:delText>
        </w:r>
      </w:del>
    </w:p>
    <w:p w14:paraId="5D03B562">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del w:id="744" w:author="LV" w:date="2026-07-27T15:37:04Z"/>
          <w:rFonts w:hint="eastAsia" w:ascii="仿宋_GB2312" w:hAnsi="仿宋_GB2312" w:eastAsia="仿宋_GB2312" w:cs="仿宋_GB2312"/>
          <w:color w:val="auto"/>
          <w:kern w:val="0"/>
          <w:sz w:val="32"/>
          <w:szCs w:val="32"/>
          <w:rPrChange w:id="745" w:author="LV" w:date="2026-07-22T20:40:36Z">
            <w:rPr>
              <w:del w:id="746" w:author="LV" w:date="2026-07-27T15:37:04Z"/>
              <w:rFonts w:hint="eastAsia" w:ascii="仿宋_GB2312" w:hAnsi="仿宋_GB2312" w:eastAsia="仿宋_GB2312" w:cs="仿宋_GB2312"/>
              <w:kern w:val="0"/>
              <w:sz w:val="32"/>
              <w:szCs w:val="32"/>
            </w:rPr>
          </w:rPrChange>
        </w:rPr>
        <w:pPrChange w:id="743" w:author="LV" w:date="2026-07-13T09:56:00Z">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jc w:val="both"/>
            <w:textAlignment w:val="auto"/>
          </w:pPr>
        </w:pPrChange>
      </w:pPr>
      <w:del w:id="747" w:author="LV" w:date="2026-07-27T15:37:04Z">
        <w:r>
          <w:rPr>
            <w:rFonts w:hint="eastAsia" w:ascii="仿宋_GB2312" w:hAnsi="仿宋_GB2312" w:eastAsia="仿宋_GB2312" w:cs="仿宋_GB2312"/>
            <w:color w:val="auto"/>
            <w:kern w:val="0"/>
            <w:sz w:val="32"/>
            <w:szCs w:val="32"/>
            <w:lang w:eastAsia="zh-CN"/>
            <w:rPrChange w:id="748" w:author="LV" w:date="2026-07-22T20:40:36Z">
              <w:rPr>
                <w:rFonts w:hint="eastAsia" w:ascii="仿宋_GB2312" w:hAnsi="仿宋_GB2312" w:eastAsia="仿宋_GB2312" w:cs="仿宋_GB2312"/>
                <w:kern w:val="0"/>
                <w:sz w:val="32"/>
                <w:szCs w:val="32"/>
                <w:lang w:eastAsia="zh-CN"/>
              </w:rPr>
            </w:rPrChange>
          </w:rPr>
          <w:delText>（</w:delText>
        </w:r>
      </w:del>
      <w:del w:id="749" w:author="LV" w:date="2026-07-27T15:37:04Z">
        <w:r>
          <w:rPr>
            <w:rFonts w:hint="eastAsia" w:ascii="仿宋_GB2312" w:hAnsi="仿宋_GB2312" w:eastAsia="仿宋_GB2312" w:cs="仿宋_GB2312"/>
            <w:color w:val="auto"/>
            <w:kern w:val="0"/>
            <w:sz w:val="32"/>
            <w:szCs w:val="32"/>
            <w:lang w:val="en-US" w:eastAsia="zh-CN"/>
            <w:rPrChange w:id="750" w:author="LV" w:date="2026-07-22T20:40:36Z">
              <w:rPr>
                <w:rFonts w:hint="eastAsia" w:ascii="仿宋_GB2312" w:hAnsi="仿宋_GB2312" w:eastAsia="仿宋_GB2312" w:cs="仿宋_GB2312"/>
                <w:kern w:val="0"/>
                <w:sz w:val="32"/>
                <w:szCs w:val="32"/>
                <w:lang w:val="en-US" w:eastAsia="zh-CN"/>
              </w:rPr>
            </w:rPrChange>
          </w:rPr>
          <w:delText>六</w:delText>
        </w:r>
      </w:del>
      <w:del w:id="751" w:author="LV" w:date="2026-07-27T15:37:04Z">
        <w:r>
          <w:rPr>
            <w:rFonts w:hint="eastAsia" w:ascii="仿宋_GB2312" w:hAnsi="仿宋_GB2312" w:eastAsia="仿宋_GB2312" w:cs="仿宋_GB2312"/>
            <w:color w:val="auto"/>
            <w:kern w:val="0"/>
            <w:sz w:val="32"/>
            <w:szCs w:val="32"/>
            <w:lang w:eastAsia="zh-CN"/>
            <w:rPrChange w:id="752" w:author="LV" w:date="2026-07-22T20:40:36Z">
              <w:rPr>
                <w:rFonts w:hint="eastAsia" w:ascii="仿宋_GB2312" w:hAnsi="仿宋_GB2312" w:eastAsia="仿宋_GB2312" w:cs="仿宋_GB2312"/>
                <w:kern w:val="0"/>
                <w:sz w:val="32"/>
                <w:szCs w:val="32"/>
                <w:lang w:eastAsia="zh-CN"/>
              </w:rPr>
            </w:rPrChange>
          </w:rPr>
          <w:delText>）</w:delText>
        </w:r>
      </w:del>
      <w:del w:id="753" w:author="LV" w:date="2026-07-27T15:37:04Z">
        <w:r>
          <w:rPr>
            <w:rFonts w:hint="eastAsia" w:ascii="仿宋_GB2312" w:hAnsi="仿宋_GB2312" w:eastAsia="仿宋_GB2312" w:cs="仿宋_GB2312"/>
            <w:color w:val="auto"/>
            <w:kern w:val="0"/>
            <w:sz w:val="32"/>
            <w:szCs w:val="32"/>
            <w:rPrChange w:id="754" w:author="LV" w:date="2026-07-22T20:40:36Z">
              <w:rPr>
                <w:rFonts w:hint="eastAsia" w:ascii="仿宋_GB2312" w:hAnsi="仿宋_GB2312" w:eastAsia="仿宋_GB2312" w:cs="仿宋_GB2312"/>
                <w:kern w:val="0"/>
                <w:sz w:val="32"/>
                <w:szCs w:val="32"/>
              </w:rPr>
            </w:rPrChange>
          </w:rPr>
          <w:delText>其他应当不予处罚的情形。</w:delText>
        </w:r>
      </w:del>
    </w:p>
    <w:p w14:paraId="2EC18555">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del w:id="756" w:author="LV" w:date="2026-07-27T15:37:04Z"/>
          <w:rFonts w:ascii="仿宋_GB2312" w:hAnsi="仿宋_GB2312" w:eastAsia="仿宋_GB2312" w:cs="仿宋_GB2312"/>
          <w:color w:val="auto"/>
          <w:kern w:val="0"/>
          <w:sz w:val="32"/>
          <w:szCs w:val="32"/>
          <w:rPrChange w:id="757" w:author="LV" w:date="2026-07-22T20:40:36Z">
            <w:rPr>
              <w:del w:id="758" w:author="LV" w:date="2026-07-27T15:37:04Z"/>
              <w:rFonts w:ascii="仿宋_GB2312" w:hAnsi="仿宋_GB2312" w:eastAsia="仿宋_GB2312" w:cs="仿宋_GB2312"/>
              <w:kern w:val="0"/>
              <w:sz w:val="32"/>
              <w:szCs w:val="32"/>
            </w:rPr>
          </w:rPrChange>
        </w:rPr>
        <w:pPrChange w:id="755" w:author="LV" w:date="2026-07-13T09:56:00Z">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jc w:val="both"/>
            <w:textAlignment w:val="auto"/>
          </w:pPr>
        </w:pPrChange>
      </w:pPr>
      <w:del w:id="759" w:author="LV" w:date="2026-07-27T15:37:04Z">
        <w:r>
          <w:rPr>
            <w:rFonts w:hint="eastAsia" w:ascii="仿宋_GB2312" w:hAnsi="仿宋_GB2312" w:eastAsia="仿宋_GB2312" w:cs="仿宋_GB2312"/>
            <w:color w:val="auto"/>
            <w:kern w:val="0"/>
            <w:sz w:val="32"/>
            <w:szCs w:val="32"/>
            <w:rPrChange w:id="760" w:author="LV" w:date="2026-07-22T20:40:36Z">
              <w:rPr>
                <w:rFonts w:hint="eastAsia" w:ascii="仿宋_GB2312" w:hAnsi="仿宋_GB2312" w:eastAsia="仿宋_GB2312" w:cs="仿宋_GB2312"/>
                <w:kern w:val="0"/>
                <w:sz w:val="32"/>
                <w:szCs w:val="32"/>
              </w:rPr>
            </w:rPrChange>
          </w:rPr>
          <w:delText>对当事人的违法行为依法不予行政处罚的，应当对当事人进行教育。本条第一款第（一）项，应责令监护人加以管教；本条第一款第（二）项应责令其监护人严加看管和治疗，间歇性精神病人在精神正常时有违法行为的，应当给予行政处罚。本条第一款第（三）项规定的期限，从违法行为发生之日起计算；违法行为有连续或者继续状态的，从行为终了之日起计算。</w:delText>
        </w:r>
      </w:del>
    </w:p>
    <w:p w14:paraId="7DFE2866">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del w:id="762" w:author="LV" w:date="2026-07-27T15:37:04Z"/>
          <w:rFonts w:ascii="仿宋_GB2312" w:hAnsi="仿宋_GB2312" w:eastAsia="仿宋_GB2312" w:cs="仿宋_GB2312"/>
          <w:color w:val="auto"/>
          <w:kern w:val="0"/>
          <w:sz w:val="32"/>
          <w:szCs w:val="32"/>
          <w:rPrChange w:id="763" w:author="LV" w:date="2026-07-22T20:40:36Z">
            <w:rPr>
              <w:del w:id="764" w:author="LV" w:date="2026-07-27T15:37:04Z"/>
              <w:rFonts w:ascii="仿宋_GB2312" w:hAnsi="仿宋_GB2312" w:eastAsia="仿宋_GB2312" w:cs="仿宋_GB2312"/>
              <w:kern w:val="0"/>
              <w:sz w:val="32"/>
              <w:szCs w:val="32"/>
            </w:rPr>
          </w:rPrChange>
        </w:rPr>
        <w:pPrChange w:id="761" w:author="LV" w:date="2026-07-13T09:56:00Z">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jc w:val="both"/>
            <w:textAlignment w:val="auto"/>
          </w:pPr>
        </w:pPrChange>
      </w:pPr>
      <w:del w:id="765" w:author="LV" w:date="2026-07-27T15:37:04Z">
        <w:r>
          <w:rPr>
            <w:rFonts w:hint="eastAsia" w:ascii="黑体" w:hAnsi="黑体" w:eastAsia="黑体" w:cs="黑体"/>
            <w:color w:val="auto"/>
            <w:kern w:val="0"/>
            <w:sz w:val="32"/>
            <w:szCs w:val="32"/>
            <w:rPrChange w:id="766" w:author="LV" w:date="2026-07-22T20:40:36Z">
              <w:rPr>
                <w:rFonts w:hint="eastAsia" w:ascii="黑体" w:hAnsi="黑体" w:eastAsia="黑体" w:cs="黑体"/>
                <w:kern w:val="0"/>
                <w:sz w:val="32"/>
                <w:szCs w:val="32"/>
              </w:rPr>
            </w:rPrChange>
          </w:rPr>
          <w:delText>第</w:delText>
        </w:r>
      </w:del>
      <w:del w:id="767" w:author="LV" w:date="2026-07-27T15:37:04Z">
        <w:r>
          <w:rPr>
            <w:rFonts w:hint="eastAsia" w:ascii="黑体" w:hAnsi="黑体" w:eastAsia="黑体" w:cs="黑体"/>
            <w:color w:val="auto"/>
            <w:kern w:val="0"/>
            <w:sz w:val="32"/>
            <w:szCs w:val="32"/>
            <w:lang w:val="en-US" w:eastAsia="zh-CN"/>
            <w:rPrChange w:id="768" w:author="LV" w:date="2026-07-22T20:40:36Z">
              <w:rPr>
                <w:rFonts w:hint="eastAsia" w:ascii="黑体" w:hAnsi="黑体" w:eastAsia="黑体" w:cs="黑体"/>
                <w:kern w:val="0"/>
                <w:sz w:val="32"/>
                <w:szCs w:val="32"/>
                <w:lang w:val="en-US" w:eastAsia="zh-CN"/>
              </w:rPr>
            </w:rPrChange>
          </w:rPr>
          <w:delText>八</w:delText>
        </w:r>
      </w:del>
      <w:del w:id="769" w:author="LV" w:date="2026-07-27T15:37:04Z">
        <w:r>
          <w:rPr>
            <w:rFonts w:hint="eastAsia" w:ascii="黑体" w:hAnsi="黑体" w:eastAsia="黑体" w:cs="黑体"/>
            <w:color w:val="auto"/>
            <w:kern w:val="0"/>
            <w:sz w:val="32"/>
            <w:szCs w:val="32"/>
            <w:rPrChange w:id="770" w:author="LV" w:date="2026-07-22T20:40:36Z">
              <w:rPr>
                <w:rFonts w:hint="eastAsia" w:ascii="黑体" w:hAnsi="黑体" w:eastAsia="黑体" w:cs="黑体"/>
                <w:kern w:val="0"/>
                <w:sz w:val="32"/>
                <w:szCs w:val="32"/>
              </w:rPr>
            </w:rPrChange>
          </w:rPr>
          <w:delText>条</w:delText>
        </w:r>
      </w:del>
      <w:del w:id="771" w:author="LV" w:date="2026-07-27T15:37:04Z">
        <w:r>
          <w:rPr>
            <w:rFonts w:hint="eastAsia" w:ascii="仿宋_GB2312" w:hAnsi="仿宋_GB2312" w:eastAsia="仿宋_GB2312" w:cs="仿宋_GB2312"/>
            <w:color w:val="auto"/>
            <w:kern w:val="0"/>
            <w:sz w:val="32"/>
            <w:szCs w:val="32"/>
            <w:rPrChange w:id="772" w:author="LV" w:date="2026-07-22T20:40:36Z">
              <w:rPr>
                <w:rFonts w:hint="eastAsia" w:ascii="仿宋_GB2312" w:hAnsi="仿宋_GB2312" w:eastAsia="仿宋_GB2312" w:cs="仿宋_GB2312"/>
                <w:kern w:val="0"/>
                <w:sz w:val="32"/>
                <w:szCs w:val="32"/>
              </w:rPr>
            </w:rPrChange>
          </w:rPr>
          <w:delText xml:space="preserve">  当事人有下列情形之一，应当从轻或者减轻行政处罚：</w:delText>
        </w:r>
      </w:del>
    </w:p>
    <w:p w14:paraId="5256DE04">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del w:id="774" w:author="LV" w:date="2026-07-27T15:37:04Z"/>
          <w:rFonts w:hint="eastAsia" w:ascii="仿宋_GB2312" w:hAnsi="仿宋_GB2312" w:eastAsia="仿宋_GB2312" w:cs="仿宋_GB2312"/>
          <w:color w:val="auto"/>
          <w:kern w:val="0"/>
          <w:sz w:val="32"/>
          <w:szCs w:val="32"/>
          <w:rPrChange w:id="775" w:author="LV" w:date="2026-07-22T20:40:36Z">
            <w:rPr>
              <w:del w:id="776" w:author="LV" w:date="2026-07-27T15:37:04Z"/>
              <w:rFonts w:hint="eastAsia" w:ascii="仿宋_GB2312" w:hAnsi="仿宋_GB2312" w:eastAsia="仿宋_GB2312" w:cs="仿宋_GB2312"/>
              <w:kern w:val="0"/>
              <w:sz w:val="32"/>
              <w:szCs w:val="32"/>
            </w:rPr>
          </w:rPrChange>
        </w:rPr>
        <w:pPrChange w:id="773" w:author="LV" w:date="2026-07-13T09:56:00Z">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jc w:val="both"/>
            <w:textAlignment w:val="auto"/>
          </w:pPr>
        </w:pPrChange>
      </w:pPr>
      <w:del w:id="777" w:author="LV" w:date="2026-07-27T15:37:04Z">
        <w:r>
          <w:rPr>
            <w:rFonts w:hint="eastAsia" w:ascii="仿宋_GB2312" w:hAnsi="仿宋_GB2312" w:eastAsia="仿宋_GB2312" w:cs="仿宋_GB2312"/>
            <w:color w:val="auto"/>
            <w:kern w:val="0"/>
            <w:sz w:val="32"/>
            <w:szCs w:val="32"/>
            <w:rPrChange w:id="778" w:author="LV" w:date="2026-07-22T20:40:36Z">
              <w:rPr>
                <w:rFonts w:hint="eastAsia" w:ascii="仿宋_GB2312" w:hAnsi="仿宋_GB2312" w:eastAsia="仿宋_GB2312" w:cs="仿宋_GB2312"/>
                <w:kern w:val="0"/>
                <w:sz w:val="32"/>
                <w:szCs w:val="32"/>
              </w:rPr>
            </w:rPrChange>
          </w:rPr>
          <w:delText>（一）已满14周岁不满18周岁的未成年人实施违法行为的；</w:delText>
        </w:r>
      </w:del>
    </w:p>
    <w:p w14:paraId="422F4E31">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del w:id="780" w:author="LV" w:date="2026-07-27T15:37:04Z"/>
          <w:rFonts w:hint="eastAsia" w:ascii="仿宋_GB2312" w:hAnsi="仿宋_GB2312" w:eastAsia="仿宋_GB2312" w:cs="仿宋_GB2312"/>
          <w:color w:val="auto"/>
          <w:kern w:val="0"/>
          <w:sz w:val="32"/>
          <w:szCs w:val="32"/>
          <w:rPrChange w:id="781" w:author="LV" w:date="2026-07-22T20:40:36Z">
            <w:rPr>
              <w:del w:id="782" w:author="LV" w:date="2026-07-27T15:37:04Z"/>
              <w:rFonts w:hint="eastAsia" w:ascii="仿宋_GB2312" w:hAnsi="仿宋_GB2312" w:eastAsia="仿宋_GB2312" w:cs="仿宋_GB2312"/>
              <w:kern w:val="0"/>
              <w:sz w:val="32"/>
              <w:szCs w:val="32"/>
            </w:rPr>
          </w:rPrChange>
        </w:rPr>
        <w:pPrChange w:id="779" w:author="LV" w:date="2026-07-13T09:56:00Z">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jc w:val="both"/>
            <w:textAlignment w:val="auto"/>
          </w:pPr>
        </w:pPrChange>
      </w:pPr>
      <w:del w:id="783" w:author="LV" w:date="2026-07-27T15:37:04Z">
        <w:r>
          <w:rPr>
            <w:rFonts w:hint="eastAsia" w:ascii="仿宋_GB2312" w:hAnsi="仿宋_GB2312" w:eastAsia="仿宋_GB2312" w:cs="仿宋_GB2312"/>
            <w:color w:val="auto"/>
            <w:kern w:val="0"/>
            <w:sz w:val="32"/>
            <w:szCs w:val="32"/>
            <w:rPrChange w:id="784" w:author="LV" w:date="2026-07-22T20:40:36Z">
              <w:rPr>
                <w:rFonts w:hint="eastAsia" w:ascii="仿宋_GB2312" w:hAnsi="仿宋_GB2312" w:eastAsia="仿宋_GB2312" w:cs="仿宋_GB2312"/>
                <w:kern w:val="0"/>
                <w:sz w:val="32"/>
                <w:szCs w:val="32"/>
              </w:rPr>
            </w:rPrChange>
          </w:rPr>
          <w:delText>（二）主动消除或者减轻违法行为危害后果的；</w:delText>
        </w:r>
      </w:del>
    </w:p>
    <w:p w14:paraId="78C6A48D">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del w:id="786" w:author="LV" w:date="2026-07-27T15:37:04Z"/>
          <w:rFonts w:hint="eastAsia" w:ascii="仿宋_GB2312" w:hAnsi="仿宋_GB2312" w:eastAsia="仿宋_GB2312" w:cs="仿宋_GB2312"/>
          <w:color w:val="auto"/>
          <w:kern w:val="0"/>
          <w:sz w:val="32"/>
          <w:szCs w:val="32"/>
          <w:rPrChange w:id="787" w:author="LV" w:date="2026-07-22T20:40:36Z">
            <w:rPr>
              <w:del w:id="788" w:author="LV" w:date="2026-07-27T15:37:04Z"/>
              <w:rFonts w:hint="eastAsia" w:ascii="仿宋_GB2312" w:hAnsi="仿宋_GB2312" w:eastAsia="仿宋_GB2312" w:cs="仿宋_GB2312"/>
              <w:kern w:val="0"/>
              <w:sz w:val="32"/>
              <w:szCs w:val="32"/>
            </w:rPr>
          </w:rPrChange>
        </w:rPr>
        <w:pPrChange w:id="785" w:author="LV" w:date="2026-07-13T09:56:00Z">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jc w:val="both"/>
            <w:textAlignment w:val="auto"/>
          </w:pPr>
        </w:pPrChange>
      </w:pPr>
      <w:del w:id="789" w:author="LV" w:date="2026-07-27T15:37:04Z">
        <w:r>
          <w:rPr>
            <w:rFonts w:hint="eastAsia" w:ascii="仿宋_GB2312" w:hAnsi="仿宋_GB2312" w:eastAsia="仿宋_GB2312" w:cs="仿宋_GB2312"/>
            <w:color w:val="auto"/>
            <w:kern w:val="0"/>
            <w:sz w:val="32"/>
            <w:szCs w:val="32"/>
            <w:rPrChange w:id="790" w:author="LV" w:date="2026-07-22T20:40:36Z">
              <w:rPr>
                <w:rFonts w:hint="eastAsia" w:ascii="仿宋_GB2312" w:hAnsi="仿宋_GB2312" w:eastAsia="仿宋_GB2312" w:cs="仿宋_GB2312"/>
                <w:kern w:val="0"/>
                <w:sz w:val="32"/>
                <w:szCs w:val="32"/>
              </w:rPr>
            </w:rPrChange>
          </w:rPr>
          <w:delText>（三）受他人胁迫或者诱骗实施违法行为的；</w:delText>
        </w:r>
      </w:del>
    </w:p>
    <w:p w14:paraId="0A7F64AB">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del w:id="792" w:author="LV" w:date="2026-07-27T15:37:04Z"/>
          <w:rFonts w:hint="eastAsia" w:ascii="仿宋_GB2312" w:hAnsi="仿宋_GB2312" w:eastAsia="仿宋_GB2312" w:cs="仿宋_GB2312"/>
          <w:color w:val="auto"/>
          <w:kern w:val="0"/>
          <w:sz w:val="32"/>
          <w:szCs w:val="32"/>
          <w:rPrChange w:id="793" w:author="LV" w:date="2026-07-22T20:40:36Z">
            <w:rPr>
              <w:del w:id="794" w:author="LV" w:date="2026-07-27T15:37:04Z"/>
              <w:rFonts w:hint="eastAsia" w:ascii="仿宋_GB2312" w:hAnsi="仿宋_GB2312" w:eastAsia="仿宋_GB2312" w:cs="仿宋_GB2312"/>
              <w:kern w:val="0"/>
              <w:sz w:val="32"/>
              <w:szCs w:val="32"/>
            </w:rPr>
          </w:rPrChange>
        </w:rPr>
        <w:pPrChange w:id="791" w:author="LV" w:date="2026-07-13T09:56:00Z">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jc w:val="both"/>
            <w:textAlignment w:val="auto"/>
          </w:pPr>
        </w:pPrChange>
      </w:pPr>
      <w:del w:id="795" w:author="LV" w:date="2026-07-27T15:37:04Z">
        <w:r>
          <w:rPr>
            <w:rFonts w:hint="eastAsia" w:ascii="仿宋_GB2312" w:hAnsi="仿宋_GB2312" w:eastAsia="仿宋_GB2312" w:cs="仿宋_GB2312"/>
            <w:color w:val="auto"/>
            <w:kern w:val="0"/>
            <w:sz w:val="32"/>
            <w:szCs w:val="32"/>
            <w:rPrChange w:id="796" w:author="LV" w:date="2026-07-22T20:40:36Z">
              <w:rPr>
                <w:rFonts w:hint="eastAsia" w:ascii="仿宋_GB2312" w:hAnsi="仿宋_GB2312" w:eastAsia="仿宋_GB2312" w:cs="仿宋_GB2312"/>
                <w:kern w:val="0"/>
                <w:sz w:val="32"/>
                <w:szCs w:val="32"/>
              </w:rPr>
            </w:rPrChange>
          </w:rPr>
          <w:delText>（四）主动供述行政机关尚未掌握的违法行为的；</w:delText>
        </w:r>
      </w:del>
    </w:p>
    <w:p w14:paraId="0B93B40D">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del w:id="798" w:author="LV" w:date="2026-07-27T15:37:04Z"/>
          <w:rFonts w:hint="eastAsia" w:ascii="仿宋_GB2312" w:hAnsi="仿宋_GB2312" w:eastAsia="仿宋_GB2312" w:cs="仿宋_GB2312"/>
          <w:color w:val="auto"/>
          <w:kern w:val="0"/>
          <w:sz w:val="32"/>
          <w:szCs w:val="32"/>
          <w:rPrChange w:id="799" w:author="LV" w:date="2026-07-22T20:40:36Z">
            <w:rPr>
              <w:del w:id="800" w:author="LV" w:date="2026-07-27T15:37:04Z"/>
              <w:rFonts w:hint="eastAsia" w:ascii="仿宋_GB2312" w:hAnsi="仿宋_GB2312" w:eastAsia="仿宋_GB2312" w:cs="仿宋_GB2312"/>
              <w:kern w:val="0"/>
              <w:sz w:val="32"/>
              <w:szCs w:val="32"/>
            </w:rPr>
          </w:rPrChange>
        </w:rPr>
        <w:pPrChange w:id="797" w:author="LV" w:date="2026-07-13T09:56:00Z">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jc w:val="both"/>
            <w:textAlignment w:val="auto"/>
          </w:pPr>
        </w:pPrChange>
      </w:pPr>
      <w:del w:id="801" w:author="LV" w:date="2026-07-27T15:37:04Z">
        <w:r>
          <w:rPr>
            <w:rFonts w:hint="eastAsia" w:ascii="仿宋_GB2312" w:hAnsi="仿宋_GB2312" w:eastAsia="仿宋_GB2312" w:cs="仿宋_GB2312"/>
            <w:color w:val="auto"/>
            <w:kern w:val="0"/>
            <w:sz w:val="32"/>
            <w:szCs w:val="32"/>
            <w:rPrChange w:id="802" w:author="LV" w:date="2026-07-22T20:40:36Z">
              <w:rPr>
                <w:rFonts w:hint="eastAsia" w:ascii="仿宋_GB2312" w:hAnsi="仿宋_GB2312" w:eastAsia="仿宋_GB2312" w:cs="仿宋_GB2312"/>
                <w:kern w:val="0"/>
                <w:sz w:val="32"/>
                <w:szCs w:val="32"/>
              </w:rPr>
            </w:rPrChange>
          </w:rPr>
          <w:delText>（五）配合行政机关查处违法行为有立功表现的；</w:delText>
        </w:r>
      </w:del>
    </w:p>
    <w:p w14:paraId="4BF0A4F1">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del w:id="804" w:author="LV" w:date="2026-07-27T15:37:04Z"/>
          <w:rFonts w:hint="eastAsia" w:ascii="仿宋_GB2312" w:hAnsi="仿宋_GB2312" w:eastAsia="仿宋_GB2312" w:cs="仿宋_GB2312"/>
          <w:color w:val="auto"/>
          <w:kern w:val="0"/>
          <w:sz w:val="32"/>
          <w:szCs w:val="32"/>
          <w:rPrChange w:id="805" w:author="LV" w:date="2026-07-22T20:40:36Z">
            <w:rPr>
              <w:del w:id="806" w:author="LV" w:date="2026-07-27T15:37:04Z"/>
              <w:rFonts w:hint="eastAsia" w:ascii="仿宋_GB2312" w:hAnsi="仿宋_GB2312" w:eastAsia="仿宋_GB2312" w:cs="仿宋_GB2312"/>
              <w:kern w:val="0"/>
              <w:sz w:val="32"/>
              <w:szCs w:val="32"/>
            </w:rPr>
          </w:rPrChange>
        </w:rPr>
        <w:pPrChange w:id="803" w:author="LV" w:date="2026-07-13T09:56:00Z">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jc w:val="both"/>
            <w:textAlignment w:val="auto"/>
          </w:pPr>
        </w:pPrChange>
      </w:pPr>
      <w:del w:id="807" w:author="LV" w:date="2026-07-27T15:37:04Z">
        <w:r>
          <w:rPr>
            <w:rFonts w:hint="eastAsia" w:ascii="仿宋_GB2312" w:hAnsi="仿宋_GB2312" w:eastAsia="仿宋_GB2312" w:cs="仿宋_GB2312"/>
            <w:color w:val="auto"/>
            <w:kern w:val="0"/>
            <w:sz w:val="32"/>
            <w:szCs w:val="32"/>
            <w:rPrChange w:id="808" w:author="LV" w:date="2026-07-22T20:40:36Z">
              <w:rPr>
                <w:rFonts w:hint="eastAsia" w:ascii="仿宋_GB2312" w:hAnsi="仿宋_GB2312" w:eastAsia="仿宋_GB2312" w:cs="仿宋_GB2312"/>
                <w:kern w:val="0"/>
                <w:sz w:val="32"/>
                <w:szCs w:val="32"/>
              </w:rPr>
            </w:rPrChange>
          </w:rPr>
          <w:delText>（六）法律、法规、规章规定应当从轻或者减轻行政处罚的其他情形。</w:delText>
        </w:r>
      </w:del>
    </w:p>
    <w:p w14:paraId="125EEBE5">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del w:id="810" w:author="LV" w:date="2026-07-27T15:37:04Z"/>
          <w:rFonts w:ascii="仿宋_GB2312" w:hAnsi="仿宋_GB2312" w:eastAsia="仿宋_GB2312" w:cs="仿宋_GB2312"/>
          <w:color w:val="auto"/>
          <w:kern w:val="0"/>
          <w:sz w:val="32"/>
          <w:szCs w:val="32"/>
          <w:rPrChange w:id="811" w:author="LV" w:date="2026-07-22T20:40:36Z">
            <w:rPr>
              <w:del w:id="812" w:author="LV" w:date="2026-07-27T15:37:04Z"/>
              <w:rFonts w:ascii="仿宋_GB2312" w:hAnsi="仿宋_GB2312" w:eastAsia="仿宋_GB2312" w:cs="仿宋_GB2312"/>
              <w:kern w:val="0"/>
              <w:sz w:val="32"/>
              <w:szCs w:val="32"/>
            </w:rPr>
          </w:rPrChange>
        </w:rPr>
        <w:pPrChange w:id="809" w:author="LV" w:date="2026-07-13T09:56:00Z">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jc w:val="both"/>
            <w:textAlignment w:val="auto"/>
          </w:pPr>
        </w:pPrChange>
      </w:pPr>
      <w:del w:id="813" w:author="LV" w:date="2026-07-27T15:37:04Z">
        <w:r>
          <w:rPr>
            <w:rFonts w:hint="eastAsia" w:ascii="黑体" w:hAnsi="黑体" w:eastAsia="黑体" w:cs="黑体"/>
            <w:color w:val="auto"/>
            <w:kern w:val="0"/>
            <w:sz w:val="32"/>
            <w:szCs w:val="32"/>
            <w:rPrChange w:id="814" w:author="LV" w:date="2026-07-22T20:40:36Z">
              <w:rPr>
                <w:rFonts w:hint="eastAsia" w:ascii="黑体" w:hAnsi="黑体" w:eastAsia="黑体" w:cs="黑体"/>
                <w:kern w:val="0"/>
                <w:sz w:val="32"/>
                <w:szCs w:val="32"/>
              </w:rPr>
            </w:rPrChange>
          </w:rPr>
          <w:delText>第</w:delText>
        </w:r>
      </w:del>
      <w:del w:id="815" w:author="LV" w:date="2026-07-27T15:37:04Z">
        <w:r>
          <w:rPr>
            <w:rFonts w:hint="eastAsia" w:ascii="黑体" w:hAnsi="黑体" w:eastAsia="黑体" w:cs="黑体"/>
            <w:color w:val="auto"/>
            <w:kern w:val="0"/>
            <w:sz w:val="32"/>
            <w:szCs w:val="32"/>
            <w:lang w:val="en-US" w:eastAsia="zh-CN"/>
            <w:rPrChange w:id="816" w:author="LV" w:date="2026-07-22T20:40:36Z">
              <w:rPr>
                <w:rFonts w:hint="eastAsia" w:ascii="黑体" w:hAnsi="黑体" w:eastAsia="黑体" w:cs="黑体"/>
                <w:kern w:val="0"/>
                <w:sz w:val="32"/>
                <w:szCs w:val="32"/>
                <w:lang w:val="en-US" w:eastAsia="zh-CN"/>
              </w:rPr>
            </w:rPrChange>
          </w:rPr>
          <w:delText>九</w:delText>
        </w:r>
      </w:del>
      <w:del w:id="817" w:author="LV" w:date="2026-07-27T15:37:04Z">
        <w:r>
          <w:rPr>
            <w:rFonts w:hint="eastAsia" w:ascii="黑体" w:hAnsi="黑体" w:eastAsia="黑体" w:cs="黑体"/>
            <w:color w:val="auto"/>
            <w:kern w:val="0"/>
            <w:sz w:val="32"/>
            <w:szCs w:val="32"/>
            <w:rPrChange w:id="818" w:author="LV" w:date="2026-07-22T20:40:36Z">
              <w:rPr>
                <w:rFonts w:hint="eastAsia" w:ascii="黑体" w:hAnsi="黑体" w:eastAsia="黑体" w:cs="黑体"/>
                <w:kern w:val="0"/>
                <w:sz w:val="32"/>
                <w:szCs w:val="32"/>
              </w:rPr>
            </w:rPrChange>
          </w:rPr>
          <w:delText>条</w:delText>
        </w:r>
      </w:del>
      <w:del w:id="819" w:author="LV" w:date="2026-07-27T15:37:04Z">
        <w:r>
          <w:rPr>
            <w:rFonts w:hint="eastAsia" w:ascii="仿宋_GB2312" w:hAnsi="仿宋_GB2312" w:eastAsia="仿宋_GB2312" w:cs="仿宋_GB2312"/>
            <w:color w:val="auto"/>
            <w:kern w:val="0"/>
            <w:sz w:val="32"/>
            <w:szCs w:val="32"/>
            <w:rPrChange w:id="820" w:author="LV" w:date="2026-07-22T20:40:36Z">
              <w:rPr>
                <w:rFonts w:hint="eastAsia" w:ascii="仿宋_GB2312" w:hAnsi="仿宋_GB2312" w:eastAsia="仿宋_GB2312" w:cs="仿宋_GB2312"/>
                <w:kern w:val="0"/>
                <w:sz w:val="32"/>
                <w:szCs w:val="32"/>
              </w:rPr>
            </w:rPrChange>
          </w:rPr>
          <w:delText xml:space="preserve">  当事人有下列情形之一的，应当依法从重处罚：</w:delText>
        </w:r>
      </w:del>
    </w:p>
    <w:p w14:paraId="41198FA1">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del w:id="822" w:author="LV" w:date="2026-07-27T15:37:04Z"/>
          <w:rFonts w:hint="eastAsia" w:ascii="仿宋_GB2312" w:hAnsi="仿宋_GB2312" w:eastAsia="仿宋_GB2312" w:cs="仿宋_GB2312"/>
          <w:color w:val="auto"/>
          <w:kern w:val="0"/>
          <w:sz w:val="32"/>
          <w:szCs w:val="32"/>
          <w:rPrChange w:id="823" w:author="LV" w:date="2026-07-22T20:40:36Z">
            <w:rPr>
              <w:del w:id="824" w:author="LV" w:date="2026-07-27T15:37:04Z"/>
              <w:rFonts w:hint="eastAsia" w:ascii="仿宋_GB2312" w:hAnsi="仿宋_GB2312" w:eastAsia="仿宋_GB2312" w:cs="仿宋_GB2312"/>
              <w:kern w:val="0"/>
              <w:sz w:val="32"/>
              <w:szCs w:val="32"/>
            </w:rPr>
          </w:rPrChange>
        </w:rPr>
        <w:pPrChange w:id="821" w:author="LV" w:date="2026-07-13T09:56:00Z">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jc w:val="both"/>
            <w:textAlignment w:val="auto"/>
          </w:pPr>
        </w:pPrChange>
      </w:pPr>
      <w:del w:id="825" w:author="LV" w:date="2026-07-27T15:37:04Z">
        <w:r>
          <w:rPr>
            <w:rFonts w:hint="eastAsia" w:ascii="仿宋_GB2312" w:hAnsi="仿宋_GB2312" w:eastAsia="仿宋_GB2312" w:cs="仿宋_GB2312"/>
            <w:color w:val="auto"/>
            <w:kern w:val="0"/>
            <w:sz w:val="32"/>
            <w:szCs w:val="32"/>
            <w:rPrChange w:id="826" w:author="LV" w:date="2026-07-22T20:40:36Z">
              <w:rPr>
                <w:rFonts w:hint="eastAsia" w:ascii="仿宋_GB2312" w:hAnsi="仿宋_GB2312" w:eastAsia="仿宋_GB2312" w:cs="仿宋_GB2312"/>
                <w:kern w:val="0"/>
                <w:sz w:val="32"/>
                <w:szCs w:val="32"/>
              </w:rPr>
            </w:rPrChange>
          </w:rPr>
          <w:delText>（一）因同一违法行为受过刑事处罚</w:delText>
        </w:r>
      </w:del>
      <w:del w:id="827" w:author="LV" w:date="2026-07-27T15:37:04Z">
        <w:r>
          <w:rPr>
            <w:rFonts w:hint="eastAsia" w:ascii="仿宋_GB2312" w:hAnsi="仿宋_GB2312" w:eastAsia="仿宋_GB2312" w:cs="仿宋_GB2312"/>
            <w:strike w:val="0"/>
            <w:color w:val="auto"/>
            <w:kern w:val="0"/>
            <w:sz w:val="32"/>
            <w:szCs w:val="32"/>
            <w:rPrChange w:id="828" w:author="LV" w:date="2026-07-22T20:40:36Z">
              <w:rPr>
                <w:rFonts w:hint="eastAsia" w:ascii="仿宋_GB2312" w:hAnsi="仿宋_GB2312" w:eastAsia="仿宋_GB2312" w:cs="仿宋_GB2312"/>
                <w:strike/>
                <w:kern w:val="0"/>
                <w:sz w:val="32"/>
                <w:szCs w:val="32"/>
              </w:rPr>
            </w:rPrChange>
          </w:rPr>
          <w:delText>，或者一年内因同一种违法行为受过行政处罚</w:delText>
        </w:r>
      </w:del>
      <w:del w:id="829" w:author="LV" w:date="2026-07-27T15:37:04Z">
        <w:r>
          <w:rPr>
            <w:rFonts w:hint="eastAsia" w:ascii="仿宋_GB2312" w:hAnsi="仿宋_GB2312" w:eastAsia="仿宋_GB2312" w:cs="仿宋_GB2312"/>
            <w:strike w:val="0"/>
            <w:color w:val="auto"/>
            <w:kern w:val="0"/>
            <w:sz w:val="32"/>
            <w:szCs w:val="32"/>
            <w:rPrChange w:id="830" w:author="LV" w:date="2026-07-22T20:40:36Z">
              <w:rPr>
                <w:rFonts w:hint="eastAsia" w:ascii="仿宋_GB2312" w:hAnsi="仿宋_GB2312" w:eastAsia="仿宋_GB2312" w:cs="仿宋_GB2312"/>
                <w:strike w:val="0"/>
                <w:kern w:val="0"/>
                <w:sz w:val="32"/>
                <w:szCs w:val="32"/>
              </w:rPr>
            </w:rPrChange>
          </w:rPr>
          <w:delText>的</w:delText>
        </w:r>
      </w:del>
      <w:del w:id="831" w:author="LV" w:date="2026-07-27T15:37:04Z">
        <w:r>
          <w:rPr>
            <w:rFonts w:hint="eastAsia" w:ascii="仿宋_GB2312" w:hAnsi="仿宋_GB2312" w:eastAsia="仿宋_GB2312" w:cs="仿宋_GB2312"/>
            <w:color w:val="auto"/>
            <w:kern w:val="0"/>
            <w:sz w:val="32"/>
            <w:szCs w:val="32"/>
            <w:rPrChange w:id="832" w:author="LV" w:date="2026-07-22T20:40:36Z">
              <w:rPr>
                <w:rFonts w:hint="eastAsia" w:ascii="仿宋_GB2312" w:hAnsi="仿宋_GB2312" w:eastAsia="仿宋_GB2312" w:cs="仿宋_GB2312"/>
                <w:kern w:val="0"/>
                <w:sz w:val="32"/>
                <w:szCs w:val="32"/>
              </w:rPr>
            </w:rPrChange>
          </w:rPr>
          <w:delText>；</w:delText>
        </w:r>
      </w:del>
    </w:p>
    <w:p w14:paraId="61D7D879">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del w:id="834" w:author="LV" w:date="2026-07-27T15:37:04Z"/>
          <w:rFonts w:hint="eastAsia" w:ascii="仿宋_GB2312" w:hAnsi="仿宋_GB2312" w:eastAsia="仿宋_GB2312" w:cs="仿宋_GB2312"/>
          <w:color w:val="auto"/>
          <w:kern w:val="0"/>
          <w:sz w:val="32"/>
          <w:szCs w:val="32"/>
          <w:rPrChange w:id="835" w:author="LV" w:date="2026-07-22T20:40:36Z">
            <w:rPr>
              <w:del w:id="836" w:author="LV" w:date="2026-07-27T15:37:04Z"/>
              <w:rFonts w:hint="eastAsia" w:ascii="仿宋_GB2312" w:hAnsi="仿宋_GB2312" w:eastAsia="仿宋_GB2312" w:cs="仿宋_GB2312"/>
              <w:kern w:val="0"/>
              <w:sz w:val="32"/>
              <w:szCs w:val="32"/>
            </w:rPr>
          </w:rPrChange>
        </w:rPr>
        <w:pPrChange w:id="833" w:author="LV" w:date="2026-07-13T09:56:00Z">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jc w:val="both"/>
            <w:textAlignment w:val="auto"/>
          </w:pPr>
        </w:pPrChange>
      </w:pPr>
      <w:del w:id="837" w:author="LV" w:date="2026-07-27T15:37:04Z">
        <w:r>
          <w:rPr>
            <w:rFonts w:hint="eastAsia" w:ascii="仿宋_GB2312" w:hAnsi="仿宋_GB2312" w:eastAsia="仿宋_GB2312" w:cs="仿宋_GB2312"/>
            <w:color w:val="auto"/>
            <w:kern w:val="0"/>
            <w:sz w:val="32"/>
            <w:szCs w:val="32"/>
            <w:rPrChange w:id="838" w:author="LV" w:date="2026-07-22T20:40:36Z">
              <w:rPr>
                <w:rFonts w:hint="eastAsia" w:ascii="仿宋_GB2312" w:hAnsi="仿宋_GB2312" w:eastAsia="仿宋_GB2312" w:cs="仿宋_GB2312"/>
                <w:kern w:val="0"/>
                <w:sz w:val="32"/>
                <w:szCs w:val="32"/>
              </w:rPr>
            </w:rPrChange>
          </w:rPr>
          <w:delText>（二）违法情节恶劣，影响较大或者造成严重后果的；</w:delText>
        </w:r>
      </w:del>
    </w:p>
    <w:p w14:paraId="46332B5C">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del w:id="840" w:author="LV" w:date="2026-07-27T15:37:04Z"/>
          <w:rFonts w:hint="eastAsia" w:ascii="仿宋_GB2312" w:hAnsi="仿宋_GB2312" w:eastAsia="仿宋_GB2312" w:cs="仿宋_GB2312"/>
          <w:color w:val="auto"/>
          <w:kern w:val="0"/>
          <w:sz w:val="32"/>
          <w:szCs w:val="32"/>
          <w:rPrChange w:id="841" w:author="LV" w:date="2026-07-22T20:40:36Z">
            <w:rPr>
              <w:del w:id="842" w:author="LV" w:date="2026-07-27T15:37:04Z"/>
              <w:rFonts w:hint="eastAsia" w:ascii="仿宋_GB2312" w:hAnsi="仿宋_GB2312" w:eastAsia="仿宋_GB2312" w:cs="仿宋_GB2312"/>
              <w:kern w:val="0"/>
              <w:sz w:val="32"/>
              <w:szCs w:val="32"/>
            </w:rPr>
          </w:rPrChange>
        </w:rPr>
        <w:pPrChange w:id="839" w:author="LV" w:date="2026-07-13T09:56:00Z">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jc w:val="both"/>
            <w:textAlignment w:val="auto"/>
          </w:pPr>
        </w:pPrChange>
      </w:pPr>
      <w:del w:id="843" w:author="LV" w:date="2026-07-27T15:37:04Z">
        <w:r>
          <w:rPr>
            <w:rFonts w:hint="eastAsia" w:ascii="仿宋_GB2312" w:hAnsi="仿宋_GB2312" w:eastAsia="仿宋_GB2312" w:cs="仿宋_GB2312"/>
            <w:color w:val="auto"/>
            <w:kern w:val="0"/>
            <w:sz w:val="32"/>
            <w:szCs w:val="32"/>
            <w:rPrChange w:id="844" w:author="LV" w:date="2026-07-22T20:40:36Z">
              <w:rPr>
                <w:rFonts w:hint="eastAsia" w:ascii="仿宋_GB2312" w:hAnsi="仿宋_GB2312" w:eastAsia="仿宋_GB2312" w:cs="仿宋_GB2312"/>
                <w:kern w:val="0"/>
                <w:sz w:val="32"/>
                <w:szCs w:val="32"/>
              </w:rPr>
            </w:rPrChange>
          </w:rPr>
          <w:delText>（三）违法行为违法案值大或者违法所得数额较大的；</w:delText>
        </w:r>
      </w:del>
    </w:p>
    <w:p w14:paraId="14605B73">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del w:id="846" w:author="LV" w:date="2026-07-27T15:37:04Z"/>
          <w:rFonts w:hint="eastAsia" w:ascii="仿宋_GB2312" w:hAnsi="仿宋_GB2312" w:eastAsia="仿宋_GB2312" w:cs="仿宋_GB2312"/>
          <w:color w:val="auto"/>
          <w:kern w:val="0"/>
          <w:sz w:val="32"/>
          <w:szCs w:val="32"/>
          <w:rPrChange w:id="847" w:author="LV" w:date="2026-07-22T20:40:36Z">
            <w:rPr>
              <w:del w:id="848" w:author="LV" w:date="2026-07-27T15:37:04Z"/>
              <w:rFonts w:hint="eastAsia" w:ascii="仿宋_GB2312" w:hAnsi="仿宋_GB2312" w:eastAsia="仿宋_GB2312" w:cs="仿宋_GB2312"/>
              <w:kern w:val="0"/>
              <w:sz w:val="32"/>
              <w:szCs w:val="32"/>
            </w:rPr>
          </w:rPrChange>
        </w:rPr>
        <w:pPrChange w:id="845" w:author="LV" w:date="2026-07-13T09:56:00Z">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jc w:val="both"/>
            <w:textAlignment w:val="auto"/>
          </w:pPr>
        </w:pPrChange>
      </w:pPr>
      <w:del w:id="849" w:author="LV" w:date="2026-07-27T15:37:04Z">
        <w:r>
          <w:rPr>
            <w:rFonts w:hint="eastAsia" w:ascii="仿宋_GB2312" w:hAnsi="仿宋_GB2312" w:eastAsia="仿宋_GB2312" w:cs="仿宋_GB2312"/>
            <w:color w:val="auto"/>
            <w:kern w:val="0"/>
            <w:sz w:val="32"/>
            <w:szCs w:val="32"/>
            <w:rPrChange w:id="850" w:author="LV" w:date="2026-07-22T20:40:36Z">
              <w:rPr>
                <w:rFonts w:hint="eastAsia" w:ascii="仿宋_GB2312" w:hAnsi="仿宋_GB2312" w:eastAsia="仿宋_GB2312" w:cs="仿宋_GB2312"/>
                <w:kern w:val="0"/>
                <w:sz w:val="32"/>
                <w:szCs w:val="32"/>
              </w:rPr>
            </w:rPrChange>
          </w:rPr>
          <w:delText>（四）经执法人员责令停止、责令改正违法行为后，继续实施违法行为的；</w:delText>
        </w:r>
      </w:del>
    </w:p>
    <w:p w14:paraId="2DFFBA37">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del w:id="852" w:author="LV" w:date="2026-07-27T15:37:04Z"/>
          <w:rFonts w:hint="eastAsia" w:ascii="仿宋_GB2312" w:hAnsi="仿宋_GB2312" w:eastAsia="仿宋_GB2312" w:cs="仿宋_GB2312"/>
          <w:color w:val="auto"/>
          <w:kern w:val="0"/>
          <w:sz w:val="32"/>
          <w:szCs w:val="32"/>
          <w:rPrChange w:id="853" w:author="LV" w:date="2026-07-22T20:40:36Z">
            <w:rPr>
              <w:del w:id="854" w:author="LV" w:date="2026-07-27T15:37:04Z"/>
              <w:rFonts w:hint="eastAsia" w:ascii="仿宋_GB2312" w:hAnsi="仿宋_GB2312" w:eastAsia="仿宋_GB2312" w:cs="仿宋_GB2312"/>
              <w:kern w:val="0"/>
              <w:sz w:val="32"/>
              <w:szCs w:val="32"/>
            </w:rPr>
          </w:rPrChange>
        </w:rPr>
        <w:pPrChange w:id="851" w:author="LV" w:date="2026-07-13T09:56:00Z">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jc w:val="both"/>
            <w:textAlignment w:val="auto"/>
          </w:pPr>
        </w:pPrChange>
      </w:pPr>
      <w:del w:id="855" w:author="LV" w:date="2026-07-27T15:37:04Z">
        <w:r>
          <w:rPr>
            <w:rFonts w:hint="eastAsia" w:ascii="仿宋_GB2312" w:hAnsi="仿宋_GB2312" w:eastAsia="仿宋_GB2312" w:cs="仿宋_GB2312"/>
            <w:color w:val="auto"/>
            <w:kern w:val="0"/>
            <w:sz w:val="32"/>
            <w:szCs w:val="32"/>
            <w:rPrChange w:id="856" w:author="LV" w:date="2026-07-22T20:40:36Z">
              <w:rPr>
                <w:rFonts w:hint="eastAsia" w:ascii="仿宋_GB2312" w:hAnsi="仿宋_GB2312" w:eastAsia="仿宋_GB2312" w:cs="仿宋_GB2312"/>
                <w:kern w:val="0"/>
                <w:sz w:val="32"/>
                <w:szCs w:val="32"/>
              </w:rPr>
            </w:rPrChange>
          </w:rPr>
          <w:delText>（五）伪造、涂改或者隐匿、销毁违法行为证据的；</w:delText>
        </w:r>
      </w:del>
    </w:p>
    <w:p w14:paraId="0BA7B070">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del w:id="858" w:author="LV" w:date="2026-07-27T15:37:04Z"/>
          <w:rFonts w:hint="eastAsia" w:ascii="仿宋_GB2312" w:hAnsi="仿宋_GB2312" w:eastAsia="仿宋_GB2312" w:cs="仿宋_GB2312"/>
          <w:color w:val="auto"/>
          <w:kern w:val="0"/>
          <w:sz w:val="32"/>
          <w:szCs w:val="32"/>
          <w:rPrChange w:id="859" w:author="LV" w:date="2026-07-22T20:40:36Z">
            <w:rPr>
              <w:del w:id="860" w:author="LV" w:date="2026-07-27T15:37:04Z"/>
              <w:rFonts w:hint="eastAsia" w:ascii="仿宋_GB2312" w:hAnsi="仿宋_GB2312" w:eastAsia="仿宋_GB2312" w:cs="仿宋_GB2312"/>
              <w:kern w:val="0"/>
              <w:sz w:val="32"/>
              <w:szCs w:val="32"/>
            </w:rPr>
          </w:rPrChange>
        </w:rPr>
        <w:pPrChange w:id="857" w:author="LV" w:date="2026-07-13T09:56:00Z">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jc w:val="both"/>
            <w:textAlignment w:val="auto"/>
          </w:pPr>
        </w:pPrChange>
      </w:pPr>
      <w:del w:id="861" w:author="LV" w:date="2026-07-27T15:37:04Z">
        <w:r>
          <w:rPr>
            <w:rFonts w:hint="eastAsia" w:ascii="仿宋_GB2312" w:hAnsi="仿宋_GB2312" w:eastAsia="仿宋_GB2312" w:cs="仿宋_GB2312"/>
            <w:color w:val="auto"/>
            <w:kern w:val="0"/>
            <w:sz w:val="32"/>
            <w:szCs w:val="32"/>
            <w:rPrChange w:id="862" w:author="LV" w:date="2026-07-22T20:40:36Z">
              <w:rPr>
                <w:rFonts w:hint="eastAsia" w:ascii="仿宋_GB2312" w:hAnsi="仿宋_GB2312" w:eastAsia="仿宋_GB2312" w:cs="仿宋_GB2312"/>
                <w:kern w:val="0"/>
                <w:sz w:val="32"/>
                <w:szCs w:val="32"/>
              </w:rPr>
            </w:rPrChange>
          </w:rPr>
          <w:delText>（六）共同违法行为中起主要作用或者教唆、胁迫、诱骗他人实施违法行为的；</w:delText>
        </w:r>
      </w:del>
    </w:p>
    <w:p w14:paraId="40B6003D">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del w:id="864" w:author="LV" w:date="2026-07-27T15:37:04Z"/>
          <w:rFonts w:hint="eastAsia" w:ascii="仿宋_GB2312" w:hAnsi="仿宋_GB2312" w:eastAsia="仿宋_GB2312" w:cs="仿宋_GB2312"/>
          <w:color w:val="auto"/>
          <w:kern w:val="0"/>
          <w:sz w:val="32"/>
          <w:szCs w:val="32"/>
          <w:rPrChange w:id="865" w:author="LV" w:date="2026-07-22T20:40:36Z">
            <w:rPr>
              <w:del w:id="866" w:author="LV" w:date="2026-07-27T15:37:04Z"/>
              <w:rFonts w:hint="eastAsia" w:ascii="仿宋_GB2312" w:hAnsi="仿宋_GB2312" w:eastAsia="仿宋_GB2312" w:cs="仿宋_GB2312"/>
              <w:kern w:val="0"/>
              <w:sz w:val="32"/>
              <w:szCs w:val="32"/>
            </w:rPr>
          </w:rPrChange>
        </w:rPr>
        <w:pPrChange w:id="863" w:author="LV" w:date="2026-07-13T09:56:00Z">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jc w:val="both"/>
            <w:textAlignment w:val="auto"/>
          </w:pPr>
        </w:pPrChange>
      </w:pPr>
      <w:del w:id="867" w:author="LV" w:date="2026-07-27T15:37:04Z">
        <w:r>
          <w:rPr>
            <w:rFonts w:hint="eastAsia" w:ascii="仿宋_GB2312" w:hAnsi="仿宋_GB2312" w:eastAsia="仿宋_GB2312" w:cs="仿宋_GB2312"/>
            <w:color w:val="auto"/>
            <w:kern w:val="0"/>
            <w:sz w:val="32"/>
            <w:szCs w:val="32"/>
            <w:rPrChange w:id="868" w:author="LV" w:date="2026-07-22T20:40:36Z">
              <w:rPr>
                <w:rFonts w:hint="eastAsia" w:ascii="仿宋_GB2312" w:hAnsi="仿宋_GB2312" w:eastAsia="仿宋_GB2312" w:cs="仿宋_GB2312"/>
                <w:kern w:val="0"/>
                <w:sz w:val="32"/>
                <w:szCs w:val="32"/>
              </w:rPr>
            </w:rPrChange>
          </w:rPr>
          <w:delText>（七）对举报人、证人打击报复的；</w:delText>
        </w:r>
      </w:del>
    </w:p>
    <w:p w14:paraId="2133B0F4">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del w:id="870" w:author="LV" w:date="2026-07-27T15:37:04Z"/>
          <w:rFonts w:hint="eastAsia" w:ascii="仿宋_GB2312" w:hAnsi="仿宋_GB2312" w:eastAsia="仿宋_GB2312" w:cs="仿宋_GB2312"/>
          <w:color w:val="auto"/>
          <w:kern w:val="0"/>
          <w:sz w:val="32"/>
          <w:szCs w:val="32"/>
          <w:rPrChange w:id="871" w:author="LV" w:date="2026-07-22T20:40:36Z">
            <w:rPr>
              <w:del w:id="872" w:author="LV" w:date="2026-07-27T15:37:04Z"/>
              <w:rFonts w:hint="eastAsia" w:ascii="仿宋_GB2312" w:hAnsi="仿宋_GB2312" w:eastAsia="仿宋_GB2312" w:cs="仿宋_GB2312"/>
              <w:kern w:val="0"/>
              <w:sz w:val="32"/>
              <w:szCs w:val="32"/>
            </w:rPr>
          </w:rPrChange>
        </w:rPr>
        <w:pPrChange w:id="869" w:author="LV" w:date="2026-07-13T09:56:00Z">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jc w:val="both"/>
            <w:textAlignment w:val="auto"/>
          </w:pPr>
        </w:pPrChange>
      </w:pPr>
      <w:del w:id="873" w:author="LV" w:date="2026-07-27T15:37:04Z">
        <w:r>
          <w:rPr>
            <w:rFonts w:hint="eastAsia" w:ascii="仿宋_GB2312" w:hAnsi="仿宋_GB2312" w:eastAsia="仿宋_GB2312" w:cs="仿宋_GB2312"/>
            <w:color w:val="auto"/>
            <w:kern w:val="0"/>
            <w:sz w:val="32"/>
            <w:szCs w:val="32"/>
            <w:rPrChange w:id="874" w:author="LV" w:date="2026-07-22T20:40:36Z">
              <w:rPr>
                <w:rFonts w:hint="eastAsia" w:ascii="仿宋_GB2312" w:hAnsi="仿宋_GB2312" w:eastAsia="仿宋_GB2312" w:cs="仿宋_GB2312"/>
                <w:kern w:val="0"/>
                <w:sz w:val="32"/>
                <w:szCs w:val="32"/>
              </w:rPr>
            </w:rPrChange>
          </w:rPr>
          <w:delText>（八）以暴力或者其他手段阻碍执法人员检查、调查或者查处违法行为的；</w:delText>
        </w:r>
      </w:del>
    </w:p>
    <w:p w14:paraId="0334B54F">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del w:id="876" w:author="LV" w:date="2026-07-27T15:37:04Z"/>
          <w:rFonts w:hint="eastAsia" w:ascii="仿宋_GB2312" w:hAnsi="仿宋_GB2312" w:eastAsia="仿宋_GB2312" w:cs="仿宋_GB2312"/>
          <w:color w:val="auto"/>
          <w:kern w:val="0"/>
          <w:sz w:val="32"/>
          <w:szCs w:val="32"/>
          <w:rPrChange w:id="877" w:author="LV" w:date="2026-07-22T20:40:36Z">
            <w:rPr>
              <w:del w:id="878" w:author="LV" w:date="2026-07-27T15:37:04Z"/>
              <w:rFonts w:hint="eastAsia" w:ascii="仿宋_GB2312" w:hAnsi="仿宋_GB2312" w:eastAsia="仿宋_GB2312" w:cs="仿宋_GB2312"/>
              <w:kern w:val="0"/>
              <w:sz w:val="32"/>
              <w:szCs w:val="32"/>
            </w:rPr>
          </w:rPrChange>
        </w:rPr>
        <w:pPrChange w:id="875" w:author="LV" w:date="2026-07-13T09:56:00Z">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jc w:val="both"/>
            <w:textAlignment w:val="auto"/>
          </w:pPr>
        </w:pPrChange>
      </w:pPr>
      <w:del w:id="879" w:author="LV" w:date="2026-07-27T15:37:04Z">
        <w:r>
          <w:rPr>
            <w:rFonts w:hint="eastAsia" w:ascii="仿宋_GB2312" w:hAnsi="仿宋_GB2312" w:eastAsia="仿宋_GB2312" w:cs="仿宋_GB2312"/>
            <w:color w:val="auto"/>
            <w:kern w:val="0"/>
            <w:sz w:val="32"/>
            <w:szCs w:val="32"/>
            <w:rPrChange w:id="880" w:author="LV" w:date="2026-07-22T20:40:36Z">
              <w:rPr>
                <w:rFonts w:hint="eastAsia" w:ascii="仿宋_GB2312" w:hAnsi="仿宋_GB2312" w:eastAsia="仿宋_GB2312" w:cs="仿宋_GB2312"/>
                <w:kern w:val="0"/>
                <w:sz w:val="32"/>
                <w:szCs w:val="32"/>
              </w:rPr>
            </w:rPrChange>
          </w:rPr>
          <w:delText>（九）其他应当从重处罚的情形。</w:delText>
        </w:r>
      </w:del>
    </w:p>
    <w:p w14:paraId="1A456917">
      <w:pPr>
        <w:keepNext w:val="0"/>
        <w:keepLines w:val="0"/>
        <w:widowControl/>
        <w:suppressLineNumbers w:val="0"/>
        <w:spacing w:line="560" w:lineRule="exact"/>
        <w:ind w:firstLine="640" w:firstLineChars="200"/>
        <w:jc w:val="left"/>
        <w:rPr>
          <w:del w:id="882" w:author="LV" w:date="2026-07-27T15:37:04Z"/>
          <w:rFonts w:hint="eastAsia" w:ascii="仿宋_GB2312" w:hAnsi="仿宋_GB2312" w:eastAsia="仿宋_GB2312" w:cs="仿宋_GB2312"/>
          <w:b w:val="0"/>
          <w:bCs w:val="0"/>
          <w:color w:val="auto"/>
          <w:sz w:val="32"/>
          <w:szCs w:val="32"/>
          <w:rPrChange w:id="883" w:author="LV" w:date="2026-07-22T20:40:36Z">
            <w:rPr>
              <w:del w:id="884" w:author="LV" w:date="2026-07-27T15:37:04Z"/>
              <w:rFonts w:hint="eastAsia" w:ascii="仿宋_GB2312" w:hAnsi="仿宋_GB2312" w:eastAsia="仿宋_GB2312" w:cs="仿宋_GB2312"/>
              <w:b w:val="0"/>
              <w:bCs w:val="0"/>
              <w:sz w:val="32"/>
              <w:szCs w:val="32"/>
            </w:rPr>
          </w:rPrChange>
        </w:rPr>
        <w:pPrChange w:id="881" w:author="LV" w:date="2026-07-13T09:56:00Z">
          <w:pPr>
            <w:keepNext w:val="0"/>
            <w:keepLines w:val="0"/>
            <w:widowControl/>
            <w:suppressLineNumbers w:val="0"/>
            <w:ind w:firstLine="640" w:firstLineChars="200"/>
            <w:jc w:val="left"/>
          </w:pPr>
        </w:pPrChange>
      </w:pPr>
      <w:del w:id="885" w:author="LV" w:date="2026-07-27T15:37:04Z">
        <w:r>
          <w:rPr>
            <w:rFonts w:hint="eastAsia" w:ascii="黑体" w:hAnsi="黑体" w:eastAsia="黑体" w:cs="黑体"/>
            <w:color w:val="auto"/>
            <w:kern w:val="0"/>
            <w:sz w:val="32"/>
            <w:szCs w:val="32"/>
            <w:lang w:val="en-US" w:eastAsia="zh-CN"/>
            <w:rPrChange w:id="886" w:author="LV" w:date="2026-07-13T09:58:07Z">
              <w:rPr>
                <w:rFonts w:hint="eastAsia" w:ascii="黑体" w:hAnsi="黑体" w:eastAsia="黑体" w:cs="黑体"/>
                <w:color w:val="FF0000"/>
                <w:kern w:val="0"/>
                <w:sz w:val="32"/>
                <w:szCs w:val="32"/>
                <w:lang w:val="en-US" w:eastAsia="zh-CN"/>
              </w:rPr>
            </w:rPrChange>
          </w:rPr>
          <w:delText>第十条</w:delText>
        </w:r>
      </w:del>
      <w:del w:id="887" w:author="LV" w:date="2026-07-27T15:37:04Z">
        <w:r>
          <w:rPr>
            <w:rFonts w:hint="eastAsia" w:ascii="仿宋_GB2312" w:hAnsi="仿宋_GB2312" w:eastAsia="仿宋_GB2312" w:cs="仿宋_GB2312"/>
            <w:color w:val="auto"/>
            <w:kern w:val="0"/>
            <w:sz w:val="32"/>
            <w:szCs w:val="32"/>
            <w:lang w:val="en-US" w:eastAsia="zh-CN"/>
            <w:rPrChange w:id="888" w:author="LV" w:date="2026-07-22T20:40:36Z">
              <w:rPr>
                <w:rFonts w:hint="eastAsia" w:ascii="仿宋_GB2312" w:hAnsi="仿宋_GB2312" w:eastAsia="仿宋_GB2312" w:cs="仿宋_GB2312"/>
                <w:color w:val="FF0000"/>
                <w:kern w:val="0"/>
                <w:sz w:val="32"/>
                <w:szCs w:val="32"/>
                <w:lang w:val="en-US" w:eastAsia="zh-CN"/>
              </w:rPr>
            </w:rPrChange>
          </w:rPr>
          <w:delText xml:space="preserve"> </w:delText>
        </w:r>
      </w:del>
      <w:del w:id="889" w:author="LV" w:date="2026-07-27T15:37:04Z">
        <w:r>
          <w:rPr>
            <w:rFonts w:hint="eastAsia" w:ascii="仿宋_GB2312" w:hAnsi="仿宋_GB2312" w:eastAsia="仿宋_GB2312" w:cs="仿宋_GB2312"/>
            <w:color w:val="auto"/>
            <w:kern w:val="0"/>
            <w:sz w:val="32"/>
            <w:szCs w:val="32"/>
            <w:lang w:val="en-US" w:eastAsia="zh-CN"/>
            <w:rPrChange w:id="890" w:author="LV" w:date="2026-07-22T20:40:36Z">
              <w:rPr>
                <w:rFonts w:hint="eastAsia" w:ascii="仿宋_GB2312" w:hAnsi="仿宋_GB2312" w:eastAsia="仿宋_GB2312" w:cs="仿宋_GB2312"/>
                <w:kern w:val="0"/>
                <w:sz w:val="32"/>
                <w:szCs w:val="32"/>
                <w:lang w:val="en-US" w:eastAsia="zh-CN"/>
              </w:rPr>
            </w:rPrChange>
          </w:rPr>
          <w:delText xml:space="preserve"> </w:delText>
        </w:r>
      </w:del>
      <w:del w:id="891" w:author="LV" w:date="2026-07-27T15:37:04Z">
        <w:r>
          <w:rPr>
            <w:rFonts w:hint="eastAsia" w:ascii="仿宋_GB2312" w:hAnsi="仿宋_GB2312" w:eastAsia="仿宋_GB2312" w:cs="仿宋_GB2312"/>
            <w:b w:val="0"/>
            <w:bCs w:val="0"/>
            <w:color w:val="auto"/>
            <w:sz w:val="32"/>
            <w:szCs w:val="32"/>
            <w:vertAlign w:val="baseline"/>
            <w:lang w:val="en-US" w:eastAsia="zh-CN"/>
            <w:rPrChange w:id="892" w:author="LV" w:date="2026-07-22T20:40:36Z">
              <w:rPr>
                <w:rFonts w:hint="eastAsia" w:ascii="仿宋_GB2312" w:hAnsi="仿宋_GB2312" w:eastAsia="仿宋_GB2312" w:cs="仿宋_GB2312"/>
                <w:b w:val="0"/>
                <w:bCs w:val="0"/>
                <w:sz w:val="32"/>
                <w:szCs w:val="32"/>
                <w:vertAlign w:val="baseline"/>
                <w:lang w:val="en-US" w:eastAsia="zh-CN"/>
              </w:rPr>
            </w:rPrChange>
          </w:rPr>
          <w:delText>一事不二罚原则，</w:delText>
        </w:r>
      </w:del>
      <w:del w:id="893" w:author="LV" w:date="2026-07-27T15:37:04Z">
        <w:r>
          <w:rPr>
            <w:rFonts w:hint="eastAsia" w:ascii="仿宋_GB2312" w:hAnsi="仿宋_GB2312" w:eastAsia="仿宋_GB2312" w:cs="仿宋_GB2312"/>
            <w:b w:val="0"/>
            <w:bCs w:val="0"/>
            <w:color w:val="auto"/>
            <w:kern w:val="0"/>
            <w:sz w:val="32"/>
            <w:szCs w:val="32"/>
            <w:lang w:val="en-US" w:eastAsia="zh-CN" w:bidi="ar"/>
            <w:rPrChange w:id="894" w:author="LV" w:date="2026-07-22T20:40:36Z">
              <w:rPr>
                <w:rFonts w:hint="eastAsia" w:ascii="仿宋_GB2312" w:hAnsi="仿宋_GB2312" w:eastAsia="仿宋_GB2312" w:cs="仿宋_GB2312"/>
                <w:b w:val="0"/>
                <w:bCs w:val="0"/>
                <w:color w:val="000000"/>
                <w:kern w:val="0"/>
                <w:sz w:val="32"/>
                <w:szCs w:val="32"/>
                <w:lang w:val="en-US" w:eastAsia="zh-CN" w:bidi="ar"/>
              </w:rPr>
            </w:rPrChange>
          </w:rPr>
          <w:delText>对当事人的同一个违法行为，不得给予两次以上罚款的行政处罚。同一个违法行为违反多个法律规范应当给予罚款处罚的，按照罚款数额高的规定处罚。如果不同法律规定中，有的法律规定的罚款为某一具体数额或者某一具体数额以下，或者某一具体数额以上另一具体数额以下，有的法律规定的罚款为百分比，则应根据个案确定法律适用。</w:delText>
        </w:r>
      </w:del>
    </w:p>
    <w:p w14:paraId="19418C94">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del w:id="896" w:author="LV" w:date="2026-07-27T15:37:04Z"/>
          <w:rFonts w:ascii="仿宋_GB2312" w:hAnsi="仿宋_GB2312" w:eastAsia="仿宋_GB2312" w:cs="仿宋_GB2312"/>
          <w:color w:val="auto"/>
          <w:kern w:val="0"/>
          <w:sz w:val="32"/>
          <w:szCs w:val="32"/>
          <w:rPrChange w:id="897" w:author="LV" w:date="2026-07-22T20:40:36Z">
            <w:rPr>
              <w:del w:id="898" w:author="LV" w:date="2026-07-27T15:37:04Z"/>
              <w:rFonts w:ascii="仿宋_GB2312" w:hAnsi="仿宋_GB2312" w:eastAsia="仿宋_GB2312" w:cs="仿宋_GB2312"/>
              <w:kern w:val="0"/>
              <w:sz w:val="32"/>
              <w:szCs w:val="32"/>
            </w:rPr>
          </w:rPrChange>
        </w:rPr>
        <w:pPrChange w:id="895" w:author="LV" w:date="2026-07-13T09:56:00Z">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jc w:val="both"/>
            <w:textAlignment w:val="auto"/>
          </w:pPr>
        </w:pPrChange>
      </w:pPr>
      <w:del w:id="899" w:author="LV" w:date="2026-07-27T15:37:04Z">
        <w:r>
          <w:rPr>
            <w:rFonts w:hint="eastAsia" w:ascii="仿宋_GB2312" w:hAnsi="仿宋_GB2312" w:eastAsia="仿宋_GB2312" w:cs="仿宋_GB2312"/>
            <w:b w:val="0"/>
            <w:bCs w:val="0"/>
            <w:color w:val="auto"/>
            <w:kern w:val="0"/>
            <w:sz w:val="32"/>
            <w:szCs w:val="32"/>
            <w:lang w:val="en-US" w:eastAsia="zh-CN" w:bidi="ar"/>
            <w:rPrChange w:id="900" w:author="LV" w:date="2026-07-22T20:40:36Z">
              <w:rPr>
                <w:rFonts w:hint="eastAsia" w:ascii="仿宋_GB2312" w:hAnsi="仿宋_GB2312" w:eastAsia="仿宋_GB2312" w:cs="仿宋_GB2312"/>
                <w:b w:val="0"/>
                <w:bCs w:val="0"/>
                <w:color w:val="000000"/>
                <w:kern w:val="0"/>
                <w:sz w:val="32"/>
                <w:szCs w:val="32"/>
                <w:lang w:val="en-US" w:eastAsia="zh-CN" w:bidi="ar"/>
              </w:rPr>
            </w:rPrChange>
          </w:rPr>
          <w:delText>同一违法行为是指当事人的行为违反了同一个法律规范。当事人存在多个违法事实但违反了同一个法律规范的，仍属于同一违法行为。同一法律条款不等于同一法律规范，同一法律条款中可能包含数个法律规范。认定同一违法行为时，应考虑违法行为的时间、空间等因素。</w:delText>
        </w:r>
      </w:del>
    </w:p>
    <w:p w14:paraId="68807DED">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del w:id="902" w:author="LV" w:date="2026-07-27T15:37:04Z"/>
          <w:rFonts w:ascii="仿宋_GB2312" w:hAnsi="仿宋_GB2312" w:eastAsia="仿宋_GB2312" w:cs="仿宋_GB2312"/>
          <w:color w:val="auto"/>
          <w:kern w:val="0"/>
          <w:sz w:val="32"/>
          <w:szCs w:val="32"/>
          <w:rPrChange w:id="903" w:author="LV" w:date="2026-07-22T20:40:36Z">
            <w:rPr>
              <w:del w:id="904" w:author="LV" w:date="2026-07-27T15:37:04Z"/>
              <w:rFonts w:ascii="仿宋_GB2312" w:hAnsi="仿宋_GB2312" w:eastAsia="仿宋_GB2312" w:cs="仿宋_GB2312"/>
              <w:kern w:val="0"/>
              <w:sz w:val="32"/>
              <w:szCs w:val="32"/>
            </w:rPr>
          </w:rPrChange>
        </w:rPr>
        <w:pPrChange w:id="901" w:author="LV" w:date="2026-07-13T09:56:00Z">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jc w:val="both"/>
            <w:textAlignment w:val="auto"/>
          </w:pPr>
        </w:pPrChange>
      </w:pPr>
      <w:del w:id="905" w:author="LV" w:date="2026-07-27T15:37:04Z">
        <w:r>
          <w:rPr>
            <w:rFonts w:hint="eastAsia" w:ascii="黑体" w:hAnsi="黑体" w:eastAsia="黑体" w:cs="黑体"/>
            <w:color w:val="auto"/>
            <w:kern w:val="0"/>
            <w:sz w:val="32"/>
            <w:szCs w:val="32"/>
            <w:rPrChange w:id="906" w:author="LV" w:date="2026-07-22T20:40:36Z">
              <w:rPr>
                <w:rFonts w:hint="eastAsia" w:ascii="黑体" w:hAnsi="黑体" w:eastAsia="黑体" w:cs="黑体"/>
                <w:kern w:val="0"/>
                <w:sz w:val="32"/>
                <w:szCs w:val="32"/>
              </w:rPr>
            </w:rPrChange>
          </w:rPr>
          <w:delText>第十</w:delText>
        </w:r>
      </w:del>
      <w:del w:id="907" w:author="LV" w:date="2026-07-27T15:37:04Z">
        <w:r>
          <w:rPr>
            <w:rFonts w:hint="eastAsia" w:ascii="黑体" w:hAnsi="黑体" w:eastAsia="黑体" w:cs="黑体"/>
            <w:color w:val="auto"/>
            <w:kern w:val="0"/>
            <w:sz w:val="32"/>
            <w:szCs w:val="32"/>
            <w:lang w:eastAsia="zh-Hans"/>
            <w:rPrChange w:id="908" w:author="LV" w:date="2026-07-22T20:40:36Z">
              <w:rPr>
                <w:rFonts w:hint="eastAsia" w:ascii="黑体" w:hAnsi="黑体" w:eastAsia="黑体" w:cs="黑体"/>
                <w:kern w:val="0"/>
                <w:sz w:val="32"/>
                <w:szCs w:val="32"/>
                <w:lang w:eastAsia="zh-Hans"/>
              </w:rPr>
            </w:rPrChange>
          </w:rPr>
          <w:delText>一</w:delText>
        </w:r>
      </w:del>
      <w:del w:id="909" w:author="LV" w:date="2026-07-27T15:37:04Z">
        <w:r>
          <w:rPr>
            <w:rFonts w:hint="eastAsia" w:ascii="黑体" w:hAnsi="黑体" w:eastAsia="黑体" w:cs="黑体"/>
            <w:color w:val="auto"/>
            <w:kern w:val="0"/>
            <w:sz w:val="32"/>
            <w:szCs w:val="32"/>
            <w:rPrChange w:id="910" w:author="LV" w:date="2026-07-22T20:40:36Z">
              <w:rPr>
                <w:rFonts w:hint="eastAsia" w:ascii="黑体" w:hAnsi="黑体" w:eastAsia="黑体" w:cs="黑体"/>
                <w:kern w:val="0"/>
                <w:sz w:val="32"/>
                <w:szCs w:val="32"/>
              </w:rPr>
            </w:rPrChange>
          </w:rPr>
          <w:delText>条</w:delText>
        </w:r>
      </w:del>
      <w:del w:id="911" w:author="LV" w:date="2026-07-27T15:37:04Z">
        <w:r>
          <w:rPr>
            <w:rFonts w:hint="eastAsia" w:ascii="仿宋_GB2312" w:hAnsi="仿宋_GB2312" w:eastAsia="仿宋_GB2312" w:cs="仿宋_GB2312"/>
            <w:color w:val="auto"/>
            <w:kern w:val="0"/>
            <w:sz w:val="32"/>
            <w:szCs w:val="32"/>
            <w:rPrChange w:id="912" w:author="LV" w:date="2026-07-22T20:40:36Z">
              <w:rPr>
                <w:rFonts w:hint="eastAsia" w:ascii="仿宋_GB2312" w:hAnsi="仿宋_GB2312" w:eastAsia="仿宋_GB2312" w:cs="仿宋_GB2312"/>
                <w:kern w:val="0"/>
                <w:sz w:val="32"/>
                <w:szCs w:val="32"/>
              </w:rPr>
            </w:rPrChange>
          </w:rPr>
          <w:delText xml:space="preserve">  当事人同时具有两个或者两个以上从重处罚情形、且不具有从轻或者减轻处罚情形的，应当按照法定处罚种类和最高处罚幅度实施行政处罚；同时具有两个或者两个以上应当从轻或者减轻处罚情形、且不具有从重处罚情形的，应当减轻处罚；同时具有从重、从轻或者减轻处罚情形的，应当综合考虑各情节，给予相应的处罚。</w:delText>
        </w:r>
      </w:del>
    </w:p>
    <w:p w14:paraId="05E6F4AC">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del w:id="914" w:author="LV" w:date="2026-07-27T15:37:04Z"/>
          <w:rFonts w:ascii="仿宋_GB2312" w:hAnsi="仿宋_GB2312" w:eastAsia="仿宋_GB2312" w:cs="仿宋_GB2312"/>
          <w:color w:val="auto"/>
          <w:kern w:val="0"/>
          <w:sz w:val="32"/>
          <w:szCs w:val="32"/>
          <w:rPrChange w:id="915" w:author="LV" w:date="2026-07-22T20:40:36Z">
            <w:rPr>
              <w:del w:id="916" w:author="LV" w:date="2026-07-27T15:37:04Z"/>
              <w:rFonts w:ascii="仿宋_GB2312" w:hAnsi="仿宋_GB2312" w:eastAsia="仿宋_GB2312" w:cs="仿宋_GB2312"/>
              <w:kern w:val="0"/>
              <w:sz w:val="32"/>
              <w:szCs w:val="32"/>
            </w:rPr>
          </w:rPrChange>
        </w:rPr>
        <w:pPrChange w:id="913" w:author="LV" w:date="2026-07-13T09:56:00Z">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jc w:val="both"/>
            <w:textAlignment w:val="auto"/>
          </w:pPr>
        </w:pPrChange>
      </w:pPr>
      <w:del w:id="917" w:author="LV" w:date="2026-07-27T15:37:04Z">
        <w:r>
          <w:rPr>
            <w:rFonts w:hint="eastAsia" w:ascii="黑体" w:hAnsi="黑体" w:eastAsia="黑体" w:cs="黑体"/>
            <w:color w:val="auto"/>
            <w:kern w:val="0"/>
            <w:sz w:val="32"/>
            <w:szCs w:val="32"/>
            <w:rPrChange w:id="918" w:author="LV" w:date="2026-07-22T20:40:36Z">
              <w:rPr>
                <w:rFonts w:hint="eastAsia" w:ascii="黑体" w:hAnsi="黑体" w:eastAsia="黑体" w:cs="黑体"/>
                <w:kern w:val="0"/>
                <w:sz w:val="32"/>
                <w:szCs w:val="32"/>
              </w:rPr>
            </w:rPrChange>
          </w:rPr>
          <w:delText>第十</w:delText>
        </w:r>
      </w:del>
      <w:del w:id="919" w:author="LV" w:date="2026-07-27T15:37:04Z">
        <w:r>
          <w:rPr>
            <w:rFonts w:hint="eastAsia" w:ascii="黑体" w:hAnsi="黑体" w:eastAsia="黑体" w:cs="黑体"/>
            <w:color w:val="auto"/>
            <w:kern w:val="0"/>
            <w:sz w:val="32"/>
            <w:szCs w:val="32"/>
            <w:lang w:eastAsia="zh-Hans"/>
            <w:rPrChange w:id="920" w:author="LV" w:date="2026-07-22T20:40:36Z">
              <w:rPr>
                <w:rFonts w:hint="eastAsia" w:ascii="黑体" w:hAnsi="黑体" w:eastAsia="黑体" w:cs="黑体"/>
                <w:kern w:val="0"/>
                <w:sz w:val="32"/>
                <w:szCs w:val="32"/>
                <w:lang w:eastAsia="zh-Hans"/>
              </w:rPr>
            </w:rPrChange>
          </w:rPr>
          <w:delText>二</w:delText>
        </w:r>
      </w:del>
      <w:del w:id="921" w:author="LV" w:date="2026-07-27T15:37:04Z">
        <w:r>
          <w:rPr>
            <w:rFonts w:hint="eastAsia" w:ascii="黑体" w:hAnsi="黑体" w:eastAsia="黑体" w:cs="黑体"/>
            <w:color w:val="auto"/>
            <w:kern w:val="0"/>
            <w:sz w:val="32"/>
            <w:szCs w:val="32"/>
            <w:rPrChange w:id="922" w:author="LV" w:date="2026-07-22T20:40:36Z">
              <w:rPr>
                <w:rFonts w:hint="eastAsia" w:ascii="黑体" w:hAnsi="黑体" w:eastAsia="黑体" w:cs="黑体"/>
                <w:kern w:val="0"/>
                <w:sz w:val="32"/>
                <w:szCs w:val="32"/>
              </w:rPr>
            </w:rPrChange>
          </w:rPr>
          <w:delText xml:space="preserve">条 </w:delText>
        </w:r>
      </w:del>
      <w:del w:id="923" w:author="LV" w:date="2026-07-27T15:37:04Z">
        <w:r>
          <w:rPr>
            <w:rFonts w:hint="eastAsia" w:ascii="仿宋_GB2312" w:hAnsi="仿宋_GB2312" w:eastAsia="仿宋_GB2312" w:cs="仿宋_GB2312"/>
            <w:color w:val="auto"/>
            <w:kern w:val="0"/>
            <w:sz w:val="32"/>
            <w:szCs w:val="32"/>
            <w:rPrChange w:id="924" w:author="LV" w:date="2026-07-22T20:40:36Z">
              <w:rPr>
                <w:rFonts w:hint="eastAsia" w:ascii="仿宋_GB2312" w:hAnsi="仿宋_GB2312" w:eastAsia="仿宋_GB2312" w:cs="仿宋_GB2312"/>
                <w:kern w:val="0"/>
                <w:sz w:val="32"/>
                <w:szCs w:val="32"/>
              </w:rPr>
            </w:rPrChange>
          </w:rPr>
          <w:delText xml:space="preserve"> 法律、法规、规章规定可以并处罚款的，对于减轻处罚情形不再并处罚款；对于从轻处罚情形可以不并处罚款；对于一般处罚和从重处罚情形应当并处罚款。</w:delText>
        </w:r>
      </w:del>
    </w:p>
    <w:p w14:paraId="60FE98EB">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del w:id="926" w:author="LV" w:date="2026-07-27T15:37:04Z"/>
          <w:rFonts w:ascii="仿宋_GB2312" w:hAnsi="仿宋_GB2312" w:eastAsia="仿宋_GB2312" w:cs="仿宋_GB2312"/>
          <w:color w:val="auto"/>
          <w:kern w:val="0"/>
          <w:sz w:val="32"/>
          <w:szCs w:val="32"/>
          <w:rPrChange w:id="927" w:author="LV" w:date="2026-07-22T20:40:36Z">
            <w:rPr>
              <w:del w:id="928" w:author="LV" w:date="2026-07-27T15:37:04Z"/>
              <w:rFonts w:ascii="仿宋_GB2312" w:hAnsi="仿宋_GB2312" w:eastAsia="仿宋_GB2312" w:cs="仿宋_GB2312"/>
              <w:kern w:val="0"/>
              <w:sz w:val="32"/>
              <w:szCs w:val="32"/>
            </w:rPr>
          </w:rPrChange>
        </w:rPr>
        <w:pPrChange w:id="925" w:author="LV" w:date="2026-07-13T09:56:00Z">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jc w:val="both"/>
            <w:textAlignment w:val="auto"/>
          </w:pPr>
        </w:pPrChange>
      </w:pPr>
      <w:del w:id="929" w:author="LV" w:date="2026-07-27T15:37:04Z">
        <w:r>
          <w:rPr>
            <w:rFonts w:hint="eastAsia" w:ascii="仿宋_GB2312" w:hAnsi="仿宋_GB2312" w:eastAsia="仿宋_GB2312" w:cs="仿宋_GB2312"/>
            <w:color w:val="auto"/>
            <w:kern w:val="0"/>
            <w:sz w:val="32"/>
            <w:szCs w:val="32"/>
            <w:rPrChange w:id="930" w:author="LV" w:date="2026-07-22T20:40:36Z">
              <w:rPr>
                <w:rFonts w:hint="eastAsia" w:ascii="仿宋_GB2312" w:hAnsi="仿宋_GB2312" w:eastAsia="仿宋_GB2312" w:cs="仿宋_GB2312"/>
                <w:kern w:val="0"/>
                <w:sz w:val="32"/>
                <w:szCs w:val="32"/>
              </w:rPr>
            </w:rPrChange>
          </w:rPr>
          <w:delText>法律、法规、规章规定应当并处罚款的，对于减轻处罚情形可处以低于规定处罚幅度的罚款，但最低不得低于罚款最低限额的20%；对于从轻处罚、一般处罚和从重处罚情形应当在规定处罚幅度内并处罚款。</w:delText>
        </w:r>
      </w:del>
    </w:p>
    <w:p w14:paraId="2F13F6DD">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del w:id="932" w:author="LV" w:date="2026-07-27T15:37:04Z"/>
          <w:rFonts w:ascii="仿宋_GB2312" w:hAnsi="仿宋_GB2312" w:eastAsia="仿宋_GB2312" w:cs="仿宋_GB2312"/>
          <w:color w:val="auto"/>
          <w:kern w:val="0"/>
          <w:sz w:val="32"/>
          <w:szCs w:val="32"/>
          <w:lang w:eastAsia="zh-Hans"/>
          <w:rPrChange w:id="933" w:author="LV" w:date="2026-07-22T20:40:36Z">
            <w:rPr>
              <w:del w:id="934" w:author="LV" w:date="2026-07-27T15:37:04Z"/>
              <w:rFonts w:ascii="仿宋_GB2312" w:hAnsi="仿宋_GB2312" w:eastAsia="仿宋_GB2312" w:cs="仿宋_GB2312"/>
              <w:kern w:val="0"/>
              <w:sz w:val="32"/>
              <w:szCs w:val="32"/>
              <w:lang w:eastAsia="zh-Hans"/>
            </w:rPr>
          </w:rPrChange>
        </w:rPr>
        <w:pPrChange w:id="931" w:author="LV" w:date="2026-07-13T09:56:00Z">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jc w:val="both"/>
            <w:textAlignment w:val="auto"/>
          </w:pPr>
        </w:pPrChange>
      </w:pPr>
      <w:del w:id="935" w:author="LV" w:date="2026-07-27T15:37:04Z">
        <w:r>
          <w:rPr>
            <w:rFonts w:hint="eastAsia" w:ascii="黑体" w:hAnsi="黑体" w:eastAsia="黑体" w:cs="黑体"/>
            <w:color w:val="auto"/>
            <w:kern w:val="0"/>
            <w:sz w:val="32"/>
            <w:szCs w:val="32"/>
            <w:rPrChange w:id="936" w:author="LV" w:date="2026-07-22T20:40:36Z">
              <w:rPr>
                <w:rFonts w:hint="eastAsia" w:ascii="黑体" w:hAnsi="黑体" w:eastAsia="黑体" w:cs="黑体"/>
                <w:kern w:val="0"/>
                <w:sz w:val="32"/>
                <w:szCs w:val="32"/>
              </w:rPr>
            </w:rPrChange>
          </w:rPr>
          <w:delText>第十</w:delText>
        </w:r>
      </w:del>
      <w:del w:id="937" w:author="LV" w:date="2026-07-27T15:37:04Z">
        <w:r>
          <w:rPr>
            <w:rFonts w:hint="eastAsia" w:ascii="黑体" w:hAnsi="黑体" w:eastAsia="黑体" w:cs="黑体"/>
            <w:color w:val="auto"/>
            <w:kern w:val="0"/>
            <w:sz w:val="32"/>
            <w:szCs w:val="32"/>
            <w:lang w:eastAsia="zh-Hans"/>
            <w:rPrChange w:id="938" w:author="LV" w:date="2026-07-22T20:40:36Z">
              <w:rPr>
                <w:rFonts w:hint="eastAsia" w:ascii="黑体" w:hAnsi="黑体" w:eastAsia="黑体" w:cs="黑体"/>
                <w:kern w:val="0"/>
                <w:sz w:val="32"/>
                <w:szCs w:val="32"/>
                <w:lang w:eastAsia="zh-Hans"/>
              </w:rPr>
            </w:rPrChange>
          </w:rPr>
          <w:delText>三</w:delText>
        </w:r>
      </w:del>
      <w:del w:id="939" w:author="LV" w:date="2026-07-27T15:37:04Z">
        <w:r>
          <w:rPr>
            <w:rFonts w:hint="eastAsia" w:ascii="黑体" w:hAnsi="黑体" w:eastAsia="黑体" w:cs="黑体"/>
            <w:color w:val="auto"/>
            <w:kern w:val="0"/>
            <w:sz w:val="32"/>
            <w:szCs w:val="32"/>
            <w:rPrChange w:id="940" w:author="LV" w:date="2026-07-22T20:40:36Z">
              <w:rPr>
                <w:rFonts w:hint="eastAsia" w:ascii="黑体" w:hAnsi="黑体" w:eastAsia="黑体" w:cs="黑体"/>
                <w:kern w:val="0"/>
                <w:sz w:val="32"/>
                <w:szCs w:val="32"/>
              </w:rPr>
            </w:rPrChange>
          </w:rPr>
          <w:delText xml:space="preserve">条 </w:delText>
        </w:r>
      </w:del>
      <w:del w:id="941" w:author="LV" w:date="2026-07-27T15:37:04Z">
        <w:r>
          <w:rPr>
            <w:rFonts w:hint="eastAsia" w:ascii="仿宋_GB2312" w:hAnsi="仿宋_GB2312" w:eastAsia="仿宋_GB2312" w:cs="仿宋_GB2312"/>
            <w:color w:val="auto"/>
            <w:kern w:val="0"/>
            <w:sz w:val="32"/>
            <w:szCs w:val="32"/>
            <w:rPrChange w:id="942" w:author="LV" w:date="2026-07-22T20:40:36Z">
              <w:rPr>
                <w:rFonts w:hint="eastAsia" w:ascii="仿宋_GB2312" w:hAnsi="仿宋_GB2312" w:eastAsia="仿宋_GB2312" w:cs="仿宋_GB2312"/>
                <w:kern w:val="0"/>
                <w:sz w:val="32"/>
                <w:szCs w:val="32"/>
              </w:rPr>
            </w:rPrChange>
          </w:rPr>
          <w:delText xml:space="preserve"> 当事人违反不同的法律规定，或者违反同一条款的不同违法情形，有两个以上应当给予行政处罚的违法行为的，应当适用不同的法律规定或者同一法律条款规定的不同违法情形，分别裁量，合并处罚。</w:delText>
        </w:r>
      </w:del>
    </w:p>
    <w:p w14:paraId="329A2612">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del w:id="944" w:author="LV" w:date="2026-07-27T15:37:04Z"/>
          <w:rFonts w:ascii="仿宋_GB2312" w:hAnsi="仿宋_GB2312" w:eastAsia="仿宋_GB2312" w:cs="仿宋_GB2312"/>
          <w:color w:val="auto"/>
          <w:kern w:val="0"/>
          <w:sz w:val="32"/>
          <w:szCs w:val="32"/>
          <w:rPrChange w:id="945" w:author="LV" w:date="2026-07-22T20:40:36Z">
            <w:rPr>
              <w:del w:id="946" w:author="LV" w:date="2026-07-27T15:37:04Z"/>
              <w:rFonts w:ascii="仿宋_GB2312" w:hAnsi="仿宋_GB2312" w:eastAsia="仿宋_GB2312" w:cs="仿宋_GB2312"/>
              <w:kern w:val="0"/>
              <w:sz w:val="32"/>
              <w:szCs w:val="32"/>
            </w:rPr>
          </w:rPrChange>
        </w:rPr>
        <w:pPrChange w:id="943" w:author="LV" w:date="2026-07-13T09:56:00Z">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jc w:val="both"/>
            <w:textAlignment w:val="auto"/>
          </w:pPr>
        </w:pPrChange>
      </w:pPr>
      <w:del w:id="947" w:author="LV" w:date="2026-07-27T15:37:04Z">
        <w:r>
          <w:rPr>
            <w:rFonts w:hint="eastAsia" w:ascii="黑体" w:hAnsi="黑体" w:eastAsia="黑体" w:cs="黑体"/>
            <w:color w:val="auto"/>
            <w:kern w:val="0"/>
            <w:sz w:val="32"/>
            <w:szCs w:val="32"/>
            <w:lang w:eastAsia="zh-Hans"/>
            <w:rPrChange w:id="948" w:author="LV" w:date="2026-07-22T20:40:36Z">
              <w:rPr>
                <w:rFonts w:hint="eastAsia" w:ascii="黑体" w:hAnsi="黑体" w:eastAsia="黑体" w:cs="黑体"/>
                <w:kern w:val="0"/>
                <w:sz w:val="32"/>
                <w:szCs w:val="32"/>
                <w:lang w:eastAsia="zh-Hans"/>
              </w:rPr>
            </w:rPrChange>
          </w:rPr>
          <w:delText xml:space="preserve">第十四条 </w:delText>
        </w:r>
      </w:del>
      <w:del w:id="949" w:author="LV" w:date="2026-07-27T15:37:04Z">
        <w:r>
          <w:rPr>
            <w:rFonts w:hint="eastAsia" w:ascii="仿宋_GB2312" w:hAnsi="仿宋_GB2312" w:eastAsia="仿宋_GB2312" w:cs="仿宋_GB2312"/>
            <w:color w:val="auto"/>
            <w:kern w:val="0"/>
            <w:sz w:val="32"/>
            <w:szCs w:val="32"/>
            <w:lang w:eastAsia="zh-Hans"/>
            <w:rPrChange w:id="950" w:author="LV" w:date="2026-07-22T20:40:36Z">
              <w:rPr>
                <w:rFonts w:hint="eastAsia" w:ascii="仿宋_GB2312" w:hAnsi="仿宋_GB2312" w:eastAsia="仿宋_GB2312" w:cs="仿宋_GB2312"/>
                <w:kern w:val="0"/>
                <w:sz w:val="32"/>
                <w:szCs w:val="32"/>
                <w:lang w:eastAsia="zh-Hans"/>
              </w:rPr>
            </w:rPrChange>
          </w:rPr>
          <w:delText xml:space="preserve"> </w:delText>
        </w:r>
      </w:del>
      <w:del w:id="951" w:author="LV" w:date="2026-07-27T15:37:04Z">
        <w:r>
          <w:rPr>
            <w:rFonts w:hint="eastAsia" w:ascii="仿宋_GB2312" w:hAnsi="仿宋_GB2312" w:eastAsia="仿宋_GB2312" w:cs="仿宋_GB2312"/>
            <w:color w:val="auto"/>
            <w:kern w:val="0"/>
            <w:sz w:val="32"/>
            <w:szCs w:val="32"/>
            <w:rPrChange w:id="952" w:author="LV" w:date="2026-07-22T20:40:36Z">
              <w:rPr>
                <w:rFonts w:hint="eastAsia" w:ascii="仿宋_GB2312" w:hAnsi="仿宋_GB2312" w:eastAsia="仿宋_GB2312" w:cs="仿宋_GB2312"/>
                <w:kern w:val="0"/>
                <w:sz w:val="32"/>
                <w:szCs w:val="32"/>
              </w:rPr>
            </w:rPrChange>
          </w:rPr>
          <w:delText>法律、行政法规、部门规章对同一违法行为的行政处罚作出不同规定时，应按照下列顺序选择适用法律：</w:delText>
        </w:r>
      </w:del>
    </w:p>
    <w:p w14:paraId="13E45532">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del w:id="954" w:author="LV" w:date="2026-07-27T15:37:04Z"/>
          <w:rFonts w:ascii="仿宋_GB2312" w:hAnsi="仿宋_GB2312" w:eastAsia="仿宋_GB2312" w:cs="仿宋_GB2312"/>
          <w:color w:val="auto"/>
          <w:kern w:val="0"/>
          <w:sz w:val="32"/>
          <w:szCs w:val="32"/>
          <w:rPrChange w:id="955" w:author="LV" w:date="2026-07-22T20:40:36Z">
            <w:rPr>
              <w:del w:id="956" w:author="LV" w:date="2026-07-27T15:37:04Z"/>
              <w:rFonts w:ascii="仿宋_GB2312" w:hAnsi="仿宋_GB2312" w:eastAsia="仿宋_GB2312" w:cs="仿宋_GB2312"/>
              <w:kern w:val="0"/>
              <w:sz w:val="32"/>
              <w:szCs w:val="32"/>
            </w:rPr>
          </w:rPrChange>
        </w:rPr>
        <w:pPrChange w:id="953" w:author="LV" w:date="2026-07-13T09:56:00Z">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jc w:val="both"/>
            <w:textAlignment w:val="auto"/>
          </w:pPr>
        </w:pPrChange>
      </w:pPr>
      <w:del w:id="957" w:author="LV" w:date="2026-07-27T15:37:04Z">
        <w:r>
          <w:rPr>
            <w:rFonts w:hint="eastAsia" w:ascii="仿宋_GB2312" w:hAnsi="仿宋_GB2312" w:eastAsia="仿宋_GB2312" w:cs="仿宋_GB2312"/>
            <w:color w:val="auto"/>
            <w:kern w:val="0"/>
            <w:sz w:val="32"/>
            <w:szCs w:val="32"/>
            <w:rPrChange w:id="958" w:author="LV" w:date="2026-07-22T20:40:36Z">
              <w:rPr>
                <w:rFonts w:hint="eastAsia" w:ascii="仿宋_GB2312" w:hAnsi="仿宋_GB2312" w:eastAsia="仿宋_GB2312" w:cs="仿宋_GB2312"/>
                <w:kern w:val="0"/>
                <w:sz w:val="32"/>
                <w:szCs w:val="32"/>
              </w:rPr>
            </w:rPrChange>
          </w:rPr>
          <w:delText>（一）优先选择效力层次高的法律适用；</w:delText>
        </w:r>
      </w:del>
    </w:p>
    <w:p w14:paraId="2F8CA71B">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del w:id="960" w:author="LV" w:date="2026-07-27T15:37:04Z"/>
          <w:rFonts w:ascii="仿宋_GB2312" w:hAnsi="仿宋_GB2312" w:eastAsia="仿宋_GB2312" w:cs="仿宋_GB2312"/>
          <w:color w:val="auto"/>
          <w:kern w:val="0"/>
          <w:sz w:val="32"/>
          <w:szCs w:val="32"/>
          <w:rPrChange w:id="961" w:author="LV" w:date="2026-07-22T20:40:36Z">
            <w:rPr>
              <w:del w:id="962" w:author="LV" w:date="2026-07-27T15:37:04Z"/>
              <w:rFonts w:ascii="仿宋_GB2312" w:hAnsi="仿宋_GB2312" w:eastAsia="仿宋_GB2312" w:cs="仿宋_GB2312"/>
              <w:kern w:val="0"/>
              <w:sz w:val="32"/>
              <w:szCs w:val="32"/>
            </w:rPr>
          </w:rPrChange>
        </w:rPr>
        <w:pPrChange w:id="959" w:author="LV" w:date="2026-07-13T09:56:00Z">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jc w:val="both"/>
            <w:textAlignment w:val="auto"/>
          </w:pPr>
        </w:pPrChange>
      </w:pPr>
      <w:del w:id="963" w:author="LV" w:date="2026-07-27T15:37:04Z">
        <w:r>
          <w:rPr>
            <w:rFonts w:hint="eastAsia" w:ascii="仿宋_GB2312" w:hAnsi="仿宋_GB2312" w:eastAsia="仿宋_GB2312" w:cs="仿宋_GB2312"/>
            <w:color w:val="auto"/>
            <w:kern w:val="0"/>
            <w:sz w:val="32"/>
            <w:szCs w:val="32"/>
            <w:rPrChange w:id="964" w:author="LV" w:date="2026-07-22T20:40:36Z">
              <w:rPr>
                <w:rFonts w:hint="eastAsia" w:ascii="仿宋_GB2312" w:hAnsi="仿宋_GB2312" w:eastAsia="仿宋_GB2312" w:cs="仿宋_GB2312"/>
                <w:kern w:val="0"/>
                <w:sz w:val="32"/>
                <w:szCs w:val="32"/>
              </w:rPr>
            </w:rPrChange>
          </w:rPr>
          <w:delText>（二）效力层次相同的，后颁布实施的优先于先颁布实施的；</w:delText>
        </w:r>
      </w:del>
    </w:p>
    <w:p w14:paraId="2A7920DE">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del w:id="966" w:author="LV" w:date="2026-07-27T15:37:04Z"/>
          <w:rFonts w:ascii="仿宋_GB2312" w:hAnsi="仿宋_GB2312" w:eastAsia="仿宋_GB2312" w:cs="仿宋_GB2312"/>
          <w:color w:val="auto"/>
          <w:kern w:val="0"/>
          <w:sz w:val="32"/>
          <w:szCs w:val="32"/>
          <w:rPrChange w:id="967" w:author="LV" w:date="2026-07-22T20:40:36Z">
            <w:rPr>
              <w:del w:id="968" w:author="LV" w:date="2026-07-27T15:37:04Z"/>
              <w:rFonts w:ascii="仿宋_GB2312" w:hAnsi="仿宋_GB2312" w:eastAsia="仿宋_GB2312" w:cs="仿宋_GB2312"/>
              <w:kern w:val="0"/>
              <w:sz w:val="32"/>
              <w:szCs w:val="32"/>
            </w:rPr>
          </w:rPrChange>
        </w:rPr>
        <w:pPrChange w:id="965" w:author="LV" w:date="2026-07-13T09:56:00Z">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jc w:val="both"/>
            <w:textAlignment w:val="auto"/>
          </w:pPr>
        </w:pPrChange>
      </w:pPr>
      <w:del w:id="969" w:author="LV" w:date="2026-07-27T15:37:04Z">
        <w:r>
          <w:rPr>
            <w:rFonts w:hint="eastAsia" w:ascii="仿宋_GB2312" w:hAnsi="仿宋_GB2312" w:eastAsia="仿宋_GB2312" w:cs="仿宋_GB2312"/>
            <w:color w:val="auto"/>
            <w:kern w:val="0"/>
            <w:sz w:val="32"/>
            <w:szCs w:val="32"/>
            <w:rPrChange w:id="970" w:author="LV" w:date="2026-07-22T20:40:36Z">
              <w:rPr>
                <w:rFonts w:hint="eastAsia" w:ascii="仿宋_GB2312" w:hAnsi="仿宋_GB2312" w:eastAsia="仿宋_GB2312" w:cs="仿宋_GB2312"/>
                <w:kern w:val="0"/>
                <w:sz w:val="32"/>
                <w:szCs w:val="32"/>
              </w:rPr>
            </w:rPrChange>
          </w:rPr>
          <w:delText>（三）效力层次相同的，特别的规定优先于一般的规定。</w:delText>
        </w:r>
      </w:del>
    </w:p>
    <w:p w14:paraId="2F155DE0">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del w:id="972" w:author="LV" w:date="2026-07-27T15:37:04Z"/>
          <w:rFonts w:ascii="仿宋_GB2312" w:hAnsi="仿宋_GB2312" w:eastAsia="仿宋_GB2312" w:cs="仿宋_GB2312"/>
          <w:color w:val="auto"/>
          <w:kern w:val="0"/>
          <w:sz w:val="32"/>
          <w:szCs w:val="32"/>
          <w:rPrChange w:id="973" w:author="LV" w:date="2026-07-22T20:40:36Z">
            <w:rPr>
              <w:del w:id="974" w:author="LV" w:date="2026-07-27T15:37:04Z"/>
              <w:rFonts w:ascii="仿宋_GB2312" w:hAnsi="仿宋_GB2312" w:eastAsia="仿宋_GB2312" w:cs="仿宋_GB2312"/>
              <w:kern w:val="0"/>
              <w:sz w:val="32"/>
              <w:szCs w:val="32"/>
            </w:rPr>
          </w:rPrChange>
        </w:rPr>
        <w:pPrChange w:id="971" w:author="LV" w:date="2026-07-13T09:56:00Z">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jc w:val="both"/>
            <w:textAlignment w:val="auto"/>
          </w:pPr>
        </w:pPrChange>
      </w:pPr>
      <w:del w:id="975" w:author="LV" w:date="2026-07-27T15:37:04Z">
        <w:r>
          <w:rPr>
            <w:rFonts w:hint="eastAsia" w:ascii="黑体" w:hAnsi="黑体" w:eastAsia="黑体" w:cs="黑体"/>
            <w:color w:val="auto"/>
            <w:kern w:val="0"/>
            <w:sz w:val="32"/>
            <w:szCs w:val="32"/>
            <w:rPrChange w:id="976" w:author="LV" w:date="2026-07-22T20:40:36Z">
              <w:rPr>
                <w:rFonts w:hint="eastAsia" w:ascii="黑体" w:hAnsi="黑体" w:eastAsia="黑体" w:cs="黑体"/>
                <w:kern w:val="0"/>
                <w:sz w:val="32"/>
                <w:szCs w:val="32"/>
              </w:rPr>
            </w:rPrChange>
          </w:rPr>
          <w:delText>第十</w:delText>
        </w:r>
      </w:del>
      <w:del w:id="977" w:author="LV" w:date="2026-07-27T15:37:04Z">
        <w:r>
          <w:rPr>
            <w:rFonts w:hint="eastAsia" w:ascii="黑体" w:hAnsi="黑体" w:eastAsia="黑体" w:cs="黑体"/>
            <w:color w:val="auto"/>
            <w:kern w:val="0"/>
            <w:sz w:val="32"/>
            <w:szCs w:val="32"/>
            <w:lang w:eastAsia="zh-Hans"/>
            <w:rPrChange w:id="978" w:author="LV" w:date="2026-07-22T20:40:36Z">
              <w:rPr>
                <w:rFonts w:hint="eastAsia" w:ascii="黑体" w:hAnsi="黑体" w:eastAsia="黑体" w:cs="黑体"/>
                <w:kern w:val="0"/>
                <w:sz w:val="32"/>
                <w:szCs w:val="32"/>
                <w:lang w:eastAsia="zh-Hans"/>
              </w:rPr>
            </w:rPrChange>
          </w:rPr>
          <w:delText>五</w:delText>
        </w:r>
      </w:del>
      <w:del w:id="979" w:author="LV" w:date="2026-07-27T15:37:04Z">
        <w:r>
          <w:rPr>
            <w:rFonts w:hint="eastAsia" w:ascii="黑体" w:hAnsi="黑体" w:eastAsia="黑体" w:cs="黑体"/>
            <w:color w:val="auto"/>
            <w:kern w:val="0"/>
            <w:sz w:val="32"/>
            <w:szCs w:val="32"/>
            <w:rPrChange w:id="980" w:author="LV" w:date="2026-07-22T20:40:36Z">
              <w:rPr>
                <w:rFonts w:hint="eastAsia" w:ascii="黑体" w:hAnsi="黑体" w:eastAsia="黑体" w:cs="黑体"/>
                <w:kern w:val="0"/>
                <w:sz w:val="32"/>
                <w:szCs w:val="32"/>
              </w:rPr>
            </w:rPrChange>
          </w:rPr>
          <w:delText xml:space="preserve">条 </w:delText>
        </w:r>
      </w:del>
      <w:del w:id="981" w:author="LV" w:date="2026-07-27T15:37:04Z">
        <w:r>
          <w:rPr>
            <w:rFonts w:hint="eastAsia" w:ascii="仿宋_GB2312" w:hAnsi="仿宋_GB2312" w:eastAsia="仿宋_GB2312" w:cs="仿宋_GB2312"/>
            <w:color w:val="auto"/>
            <w:kern w:val="0"/>
            <w:sz w:val="32"/>
            <w:szCs w:val="32"/>
            <w:rPrChange w:id="982" w:author="LV" w:date="2026-07-22T20:40:36Z">
              <w:rPr>
                <w:rFonts w:hint="eastAsia" w:ascii="仿宋_GB2312" w:hAnsi="仿宋_GB2312" w:eastAsia="仿宋_GB2312" w:cs="仿宋_GB2312"/>
                <w:kern w:val="0"/>
                <w:sz w:val="32"/>
                <w:szCs w:val="32"/>
              </w:rPr>
            </w:rPrChange>
          </w:rPr>
          <w:delText xml:space="preserve"> 法律、法规、规章规定应当先责令当事人改正或者限期改正违法行为的，应当先责令改正或者限期改正；当事人拒不改正或者逾期不改正的，依法作出相应的行政处罚。</w:delText>
        </w:r>
      </w:del>
    </w:p>
    <w:p w14:paraId="05FA6929">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del w:id="984" w:author="LV" w:date="2026-07-27T15:37:04Z"/>
          <w:rFonts w:ascii="仿宋_GB2312" w:hAnsi="仿宋_GB2312" w:eastAsia="仿宋_GB2312" w:cs="仿宋_GB2312"/>
          <w:color w:val="auto"/>
          <w:kern w:val="0"/>
          <w:sz w:val="32"/>
          <w:szCs w:val="32"/>
          <w:rPrChange w:id="985" w:author="LV" w:date="2026-07-22T20:40:36Z">
            <w:rPr>
              <w:del w:id="986" w:author="LV" w:date="2026-07-27T15:37:04Z"/>
              <w:rFonts w:ascii="仿宋_GB2312" w:hAnsi="仿宋_GB2312" w:eastAsia="仿宋_GB2312" w:cs="仿宋_GB2312"/>
              <w:kern w:val="0"/>
              <w:sz w:val="32"/>
              <w:szCs w:val="32"/>
            </w:rPr>
          </w:rPrChange>
        </w:rPr>
        <w:pPrChange w:id="983" w:author="LV" w:date="2026-07-13T09:56:00Z">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jc w:val="both"/>
            <w:textAlignment w:val="auto"/>
          </w:pPr>
        </w:pPrChange>
      </w:pPr>
      <w:del w:id="987" w:author="LV" w:date="2026-07-27T15:37:04Z">
        <w:r>
          <w:rPr>
            <w:rFonts w:hint="eastAsia" w:ascii="仿宋_GB2312" w:hAnsi="仿宋_GB2312" w:eastAsia="仿宋_GB2312" w:cs="仿宋_GB2312"/>
            <w:color w:val="auto"/>
            <w:kern w:val="0"/>
            <w:sz w:val="32"/>
            <w:szCs w:val="32"/>
            <w:rPrChange w:id="988" w:author="LV" w:date="2026-07-22T20:40:36Z">
              <w:rPr>
                <w:rFonts w:hint="eastAsia" w:ascii="仿宋_GB2312" w:hAnsi="仿宋_GB2312" w:eastAsia="仿宋_GB2312" w:cs="仿宋_GB2312"/>
                <w:kern w:val="0"/>
                <w:sz w:val="32"/>
                <w:szCs w:val="32"/>
              </w:rPr>
            </w:rPrChange>
          </w:rPr>
          <w:delText>法律、法规、规章对责令改正或者限期办理没有明确期限规定的，应当给予合理期限。</w:delText>
        </w:r>
      </w:del>
    </w:p>
    <w:p w14:paraId="2CEE9BFD">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del w:id="990" w:author="LV" w:date="2026-07-27T15:37:04Z"/>
          <w:rFonts w:ascii="仿宋_GB2312" w:hAnsi="仿宋_GB2312" w:eastAsia="仿宋_GB2312" w:cs="仿宋_GB2312"/>
          <w:color w:val="auto"/>
          <w:kern w:val="0"/>
          <w:sz w:val="32"/>
          <w:szCs w:val="32"/>
          <w:lang w:eastAsia="zh-Hans"/>
          <w:rPrChange w:id="991" w:author="LV" w:date="2026-07-22T20:40:36Z">
            <w:rPr>
              <w:del w:id="992" w:author="LV" w:date="2026-07-27T15:37:04Z"/>
              <w:rFonts w:ascii="仿宋_GB2312" w:hAnsi="仿宋_GB2312" w:eastAsia="仿宋_GB2312" w:cs="仿宋_GB2312"/>
              <w:kern w:val="0"/>
              <w:sz w:val="32"/>
              <w:szCs w:val="32"/>
              <w:lang w:eastAsia="zh-Hans"/>
            </w:rPr>
          </w:rPrChange>
        </w:rPr>
        <w:pPrChange w:id="989" w:author="LV" w:date="2026-07-13T09:56:00Z">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jc w:val="both"/>
            <w:textAlignment w:val="auto"/>
          </w:pPr>
        </w:pPrChange>
      </w:pPr>
      <w:del w:id="993" w:author="LV" w:date="2026-07-27T15:37:04Z">
        <w:r>
          <w:rPr>
            <w:rFonts w:hint="eastAsia" w:ascii="黑体" w:hAnsi="黑体" w:eastAsia="黑体" w:cs="黑体"/>
            <w:color w:val="auto"/>
            <w:kern w:val="0"/>
            <w:sz w:val="32"/>
            <w:szCs w:val="32"/>
            <w:rPrChange w:id="994" w:author="LV" w:date="2026-07-22T20:40:36Z">
              <w:rPr>
                <w:rFonts w:hint="eastAsia" w:ascii="黑体" w:hAnsi="黑体" w:eastAsia="黑体" w:cs="黑体"/>
                <w:kern w:val="0"/>
                <w:sz w:val="32"/>
                <w:szCs w:val="32"/>
              </w:rPr>
            </w:rPrChange>
          </w:rPr>
          <w:delText>第十</w:delText>
        </w:r>
      </w:del>
      <w:del w:id="995" w:author="LV" w:date="2026-07-27T15:37:04Z">
        <w:r>
          <w:rPr>
            <w:rFonts w:hint="eastAsia" w:ascii="黑体" w:hAnsi="黑体" w:eastAsia="黑体" w:cs="黑体"/>
            <w:color w:val="auto"/>
            <w:kern w:val="0"/>
            <w:sz w:val="32"/>
            <w:szCs w:val="32"/>
            <w:lang w:eastAsia="zh-Hans"/>
            <w:rPrChange w:id="996" w:author="LV" w:date="2026-07-22T20:40:36Z">
              <w:rPr>
                <w:rFonts w:hint="eastAsia" w:ascii="黑体" w:hAnsi="黑体" w:eastAsia="黑体" w:cs="黑体"/>
                <w:kern w:val="0"/>
                <w:sz w:val="32"/>
                <w:szCs w:val="32"/>
                <w:lang w:eastAsia="zh-Hans"/>
              </w:rPr>
            </w:rPrChange>
          </w:rPr>
          <w:delText>六</w:delText>
        </w:r>
      </w:del>
      <w:del w:id="997" w:author="LV" w:date="2026-07-27T15:37:04Z">
        <w:r>
          <w:rPr>
            <w:rFonts w:hint="eastAsia" w:ascii="黑体" w:hAnsi="黑体" w:eastAsia="黑体" w:cs="黑体"/>
            <w:color w:val="auto"/>
            <w:kern w:val="0"/>
            <w:sz w:val="32"/>
            <w:szCs w:val="32"/>
            <w:rPrChange w:id="998" w:author="LV" w:date="2026-07-22T20:40:36Z">
              <w:rPr>
                <w:rFonts w:hint="eastAsia" w:ascii="黑体" w:hAnsi="黑体" w:eastAsia="黑体" w:cs="黑体"/>
                <w:kern w:val="0"/>
                <w:sz w:val="32"/>
                <w:szCs w:val="32"/>
              </w:rPr>
            </w:rPrChange>
          </w:rPr>
          <w:delText xml:space="preserve">条 </w:delText>
        </w:r>
      </w:del>
      <w:del w:id="999" w:author="LV" w:date="2026-07-27T15:37:04Z">
        <w:r>
          <w:rPr>
            <w:rFonts w:hint="eastAsia" w:ascii="仿宋_GB2312" w:hAnsi="仿宋_GB2312" w:eastAsia="仿宋_GB2312" w:cs="仿宋_GB2312"/>
            <w:color w:val="auto"/>
            <w:kern w:val="0"/>
            <w:sz w:val="32"/>
            <w:szCs w:val="32"/>
            <w:rPrChange w:id="1000" w:author="LV" w:date="2026-07-22T20:40:36Z">
              <w:rPr>
                <w:rFonts w:hint="eastAsia" w:ascii="仿宋_GB2312" w:hAnsi="仿宋_GB2312" w:eastAsia="仿宋_GB2312" w:cs="仿宋_GB2312"/>
                <w:kern w:val="0"/>
                <w:sz w:val="32"/>
                <w:szCs w:val="32"/>
              </w:rPr>
            </w:rPrChange>
          </w:rPr>
          <w:delText xml:space="preserve"> 违法行为涉嫌犯罪的，应当及时将案件移送司法机关，依法追究刑事责任，不得以行政处罚代替刑事处罚。对于已移交公安部门处理的涉嫌犯罪案件（不含移送线索案件），除依法应当给予暂扣或吊销许可证、责令停产停业的行政处罚外，暂不作出其他类型的行政处罚。对依法不需要追究刑事责任或者免除刑事处罚，但应当给予行政处罚的，待案件材料退回后再行处罚。</w:delText>
        </w:r>
      </w:del>
    </w:p>
    <w:p w14:paraId="67B827E7">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del w:id="1002" w:author="LV" w:date="2026-07-27T15:37:04Z"/>
          <w:rFonts w:ascii="仿宋_GB2312" w:hAnsi="仿宋_GB2312" w:eastAsia="仿宋_GB2312" w:cs="仿宋_GB2312"/>
          <w:color w:val="auto"/>
          <w:kern w:val="0"/>
          <w:sz w:val="32"/>
          <w:szCs w:val="32"/>
          <w:rPrChange w:id="1003" w:author="LV" w:date="2026-07-22T20:40:36Z">
            <w:rPr>
              <w:del w:id="1004" w:author="LV" w:date="2026-07-27T15:37:04Z"/>
              <w:rFonts w:ascii="仿宋_GB2312" w:hAnsi="仿宋_GB2312" w:eastAsia="仿宋_GB2312" w:cs="仿宋_GB2312"/>
              <w:kern w:val="0"/>
              <w:sz w:val="32"/>
              <w:szCs w:val="32"/>
            </w:rPr>
          </w:rPrChange>
        </w:rPr>
        <w:pPrChange w:id="1001" w:author="LV" w:date="2026-07-13T09:56:00Z">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jc w:val="both"/>
            <w:textAlignment w:val="auto"/>
          </w:pPr>
        </w:pPrChange>
      </w:pPr>
      <w:del w:id="1005" w:author="LV" w:date="2026-07-27T15:37:04Z">
        <w:r>
          <w:rPr>
            <w:rFonts w:hint="eastAsia" w:ascii="黑体" w:hAnsi="黑体" w:eastAsia="黑体" w:cs="黑体"/>
            <w:color w:val="auto"/>
            <w:kern w:val="0"/>
            <w:sz w:val="32"/>
            <w:szCs w:val="32"/>
            <w:rPrChange w:id="1006" w:author="LV" w:date="2026-07-22T20:40:36Z">
              <w:rPr>
                <w:rFonts w:hint="eastAsia" w:ascii="黑体" w:hAnsi="黑体" w:eastAsia="黑体" w:cs="黑体"/>
                <w:kern w:val="0"/>
                <w:sz w:val="32"/>
                <w:szCs w:val="32"/>
              </w:rPr>
            </w:rPrChange>
          </w:rPr>
          <w:delText>第十</w:delText>
        </w:r>
      </w:del>
      <w:del w:id="1007" w:author="LV" w:date="2026-07-27T15:37:04Z">
        <w:r>
          <w:rPr>
            <w:rFonts w:hint="eastAsia" w:ascii="黑体" w:hAnsi="黑体" w:eastAsia="黑体" w:cs="黑体"/>
            <w:color w:val="auto"/>
            <w:kern w:val="0"/>
            <w:sz w:val="32"/>
            <w:szCs w:val="32"/>
            <w:lang w:eastAsia="zh-Hans"/>
            <w:rPrChange w:id="1008" w:author="LV" w:date="2026-07-22T20:40:36Z">
              <w:rPr>
                <w:rFonts w:hint="eastAsia" w:ascii="黑体" w:hAnsi="黑体" w:eastAsia="黑体" w:cs="黑体"/>
                <w:kern w:val="0"/>
                <w:sz w:val="32"/>
                <w:szCs w:val="32"/>
                <w:lang w:eastAsia="zh-Hans"/>
              </w:rPr>
            </w:rPrChange>
          </w:rPr>
          <w:delText>七</w:delText>
        </w:r>
      </w:del>
      <w:del w:id="1009" w:author="LV" w:date="2026-07-27T15:37:04Z">
        <w:r>
          <w:rPr>
            <w:rFonts w:hint="eastAsia" w:ascii="黑体" w:hAnsi="黑体" w:eastAsia="黑体" w:cs="黑体"/>
            <w:color w:val="auto"/>
            <w:kern w:val="0"/>
            <w:sz w:val="32"/>
            <w:szCs w:val="32"/>
            <w:rPrChange w:id="1010" w:author="LV" w:date="2026-07-22T20:40:36Z">
              <w:rPr>
                <w:rFonts w:hint="eastAsia" w:ascii="黑体" w:hAnsi="黑体" w:eastAsia="黑体" w:cs="黑体"/>
                <w:kern w:val="0"/>
                <w:sz w:val="32"/>
                <w:szCs w:val="32"/>
              </w:rPr>
            </w:rPrChange>
          </w:rPr>
          <w:delText xml:space="preserve">条 </w:delText>
        </w:r>
      </w:del>
      <w:del w:id="1011" w:author="LV" w:date="2026-07-27T15:37:04Z">
        <w:r>
          <w:rPr>
            <w:rFonts w:hint="eastAsia" w:ascii="仿宋_GB2312" w:hAnsi="仿宋_GB2312" w:eastAsia="仿宋_GB2312" w:cs="仿宋_GB2312"/>
            <w:color w:val="auto"/>
            <w:kern w:val="0"/>
            <w:sz w:val="32"/>
            <w:szCs w:val="32"/>
            <w:rPrChange w:id="1012" w:author="LV" w:date="2026-07-22T20:40:36Z">
              <w:rPr>
                <w:rFonts w:hint="eastAsia" w:ascii="仿宋_GB2312" w:hAnsi="仿宋_GB2312" w:eastAsia="仿宋_GB2312" w:cs="仿宋_GB2312"/>
                <w:kern w:val="0"/>
                <w:sz w:val="32"/>
                <w:szCs w:val="32"/>
              </w:rPr>
            </w:rPrChange>
          </w:rPr>
          <w:delText xml:space="preserve"> 行使裁量权、做出行政处罚决定之前，应当充分听取行政相对人的陈述、申辩，并根据违法事实和从重、从轻、减轻情节，做出行政处罚决定。</w:delText>
        </w:r>
      </w:del>
    </w:p>
    <w:p w14:paraId="44DC6725">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del w:id="1014" w:author="LV" w:date="2026-07-27T15:37:04Z"/>
          <w:rFonts w:ascii="仿宋_GB2312" w:hAnsi="仿宋_GB2312" w:eastAsia="仿宋_GB2312" w:cs="仿宋_GB2312"/>
          <w:color w:val="auto"/>
          <w:kern w:val="0"/>
          <w:sz w:val="32"/>
          <w:szCs w:val="32"/>
          <w:rPrChange w:id="1015" w:author="LV" w:date="2026-07-22T20:40:36Z">
            <w:rPr>
              <w:del w:id="1016" w:author="LV" w:date="2026-07-27T15:37:04Z"/>
              <w:rFonts w:ascii="仿宋_GB2312" w:hAnsi="仿宋_GB2312" w:eastAsia="仿宋_GB2312" w:cs="仿宋_GB2312"/>
              <w:kern w:val="0"/>
              <w:sz w:val="32"/>
              <w:szCs w:val="32"/>
            </w:rPr>
          </w:rPrChange>
        </w:rPr>
        <w:pPrChange w:id="1013" w:author="LV" w:date="2026-07-13T09:56:00Z">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jc w:val="both"/>
            <w:textAlignment w:val="auto"/>
          </w:pPr>
        </w:pPrChange>
      </w:pPr>
      <w:del w:id="1017" w:author="LV" w:date="2026-07-27T15:37:04Z">
        <w:r>
          <w:rPr>
            <w:rFonts w:hint="eastAsia" w:ascii="黑体" w:hAnsi="黑体" w:eastAsia="黑体" w:cs="黑体"/>
            <w:color w:val="auto"/>
            <w:kern w:val="0"/>
            <w:sz w:val="32"/>
            <w:szCs w:val="32"/>
            <w:rPrChange w:id="1018" w:author="LV" w:date="2026-07-22T20:40:36Z">
              <w:rPr>
                <w:rFonts w:hint="eastAsia" w:ascii="黑体" w:hAnsi="黑体" w:eastAsia="黑体" w:cs="黑体"/>
                <w:kern w:val="0"/>
                <w:sz w:val="32"/>
                <w:szCs w:val="32"/>
              </w:rPr>
            </w:rPrChange>
          </w:rPr>
          <w:delText>第</w:delText>
        </w:r>
      </w:del>
      <w:del w:id="1019" w:author="LV" w:date="2026-07-27T15:37:04Z">
        <w:r>
          <w:rPr>
            <w:rFonts w:hint="eastAsia" w:ascii="黑体" w:hAnsi="黑体" w:eastAsia="黑体" w:cs="黑体"/>
            <w:color w:val="auto"/>
            <w:kern w:val="0"/>
            <w:sz w:val="32"/>
            <w:szCs w:val="32"/>
            <w:lang w:eastAsia="zh-Hans"/>
            <w:rPrChange w:id="1020" w:author="LV" w:date="2026-07-22T20:40:36Z">
              <w:rPr>
                <w:rFonts w:hint="eastAsia" w:ascii="黑体" w:hAnsi="黑体" w:eastAsia="黑体" w:cs="黑体"/>
                <w:kern w:val="0"/>
                <w:sz w:val="32"/>
                <w:szCs w:val="32"/>
                <w:lang w:eastAsia="zh-Hans"/>
              </w:rPr>
            </w:rPrChange>
          </w:rPr>
          <w:delText>十八</w:delText>
        </w:r>
      </w:del>
      <w:del w:id="1021" w:author="LV" w:date="2026-07-27T15:37:04Z">
        <w:r>
          <w:rPr>
            <w:rFonts w:hint="eastAsia" w:ascii="黑体" w:hAnsi="黑体" w:eastAsia="黑体" w:cs="黑体"/>
            <w:color w:val="auto"/>
            <w:kern w:val="0"/>
            <w:sz w:val="32"/>
            <w:szCs w:val="32"/>
            <w:rPrChange w:id="1022" w:author="LV" w:date="2026-07-22T20:40:36Z">
              <w:rPr>
                <w:rFonts w:hint="eastAsia" w:ascii="黑体" w:hAnsi="黑体" w:eastAsia="黑体" w:cs="黑体"/>
                <w:kern w:val="0"/>
                <w:sz w:val="32"/>
                <w:szCs w:val="32"/>
              </w:rPr>
            </w:rPrChange>
          </w:rPr>
          <w:delText>条</w:delText>
        </w:r>
      </w:del>
      <w:del w:id="1023" w:author="LV" w:date="2026-07-27T15:37:04Z">
        <w:r>
          <w:rPr>
            <w:rFonts w:hint="eastAsia" w:ascii="仿宋_GB2312" w:hAnsi="仿宋_GB2312" w:eastAsia="仿宋_GB2312" w:cs="仿宋_GB2312"/>
            <w:color w:val="auto"/>
            <w:kern w:val="0"/>
            <w:sz w:val="32"/>
            <w:szCs w:val="32"/>
            <w:rPrChange w:id="1024" w:author="LV" w:date="2026-07-22T20:40:36Z">
              <w:rPr>
                <w:rFonts w:hint="eastAsia" w:ascii="仿宋_GB2312" w:hAnsi="仿宋_GB2312" w:eastAsia="仿宋_GB2312" w:cs="仿宋_GB2312"/>
                <w:kern w:val="0"/>
                <w:sz w:val="32"/>
                <w:szCs w:val="32"/>
              </w:rPr>
            </w:rPrChange>
          </w:rPr>
          <w:delText xml:space="preserve">  </w:delText>
        </w:r>
      </w:del>
      <w:del w:id="1025" w:author="LV" w:date="2026-07-27T15:37:04Z">
        <w:r>
          <w:rPr>
            <w:rFonts w:hint="eastAsia" w:ascii="仿宋_GB2312" w:hAnsi="仿宋_GB2312" w:eastAsia="仿宋_GB2312" w:cs="仿宋_GB2312"/>
            <w:color w:val="auto"/>
            <w:kern w:val="0"/>
            <w:sz w:val="32"/>
            <w:szCs w:val="32"/>
            <w:lang w:eastAsia="zh-Hans"/>
            <w:rPrChange w:id="1026" w:author="LV" w:date="2026-07-22T20:40:36Z">
              <w:rPr>
                <w:rFonts w:hint="eastAsia" w:ascii="仿宋_GB2312" w:hAnsi="仿宋_GB2312" w:eastAsia="仿宋_GB2312" w:cs="仿宋_GB2312"/>
                <w:kern w:val="0"/>
                <w:sz w:val="32"/>
                <w:szCs w:val="32"/>
                <w:lang w:eastAsia="zh-Hans"/>
              </w:rPr>
            </w:rPrChange>
          </w:rPr>
          <w:delText>各市能源执法机关</w:delText>
        </w:r>
      </w:del>
      <w:del w:id="1027" w:author="LV" w:date="2026-07-27T15:37:04Z">
        <w:r>
          <w:rPr>
            <w:rFonts w:hint="eastAsia" w:ascii="仿宋_GB2312" w:hAnsi="仿宋_GB2312" w:eastAsia="仿宋_GB2312" w:cs="仿宋_GB2312"/>
            <w:color w:val="auto"/>
            <w:kern w:val="0"/>
            <w:sz w:val="32"/>
            <w:szCs w:val="32"/>
            <w:rPrChange w:id="1028" w:author="LV" w:date="2026-07-22T20:40:36Z">
              <w:rPr>
                <w:rFonts w:hint="eastAsia" w:ascii="仿宋_GB2312" w:hAnsi="仿宋_GB2312" w:eastAsia="仿宋_GB2312" w:cs="仿宋_GB2312"/>
                <w:kern w:val="0"/>
                <w:sz w:val="32"/>
                <w:szCs w:val="32"/>
              </w:rPr>
            </w:rPrChange>
          </w:rPr>
          <w:delText>可以结合本地实际，统筹考虑经济、社会发展的差异，在《基准》规定的幅度内，对《基准》进一步细化、量化。</w:delText>
        </w:r>
      </w:del>
    </w:p>
    <w:p w14:paraId="2716D443">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del w:id="1030" w:author="LV" w:date="2026-07-27T15:37:04Z"/>
          <w:rFonts w:ascii="仿宋_GB2312" w:hAnsi="仿宋_GB2312" w:eastAsia="仿宋_GB2312" w:cs="仿宋_GB2312"/>
          <w:color w:val="auto"/>
          <w:kern w:val="0"/>
          <w:sz w:val="32"/>
          <w:szCs w:val="32"/>
          <w:rPrChange w:id="1031" w:author="LV" w:date="2026-07-22T20:40:36Z">
            <w:rPr>
              <w:del w:id="1032" w:author="LV" w:date="2026-07-27T15:37:04Z"/>
              <w:rFonts w:ascii="仿宋_GB2312" w:hAnsi="仿宋_GB2312" w:eastAsia="仿宋_GB2312" w:cs="仿宋_GB2312"/>
              <w:kern w:val="0"/>
              <w:sz w:val="32"/>
              <w:szCs w:val="32"/>
            </w:rPr>
          </w:rPrChange>
        </w:rPr>
        <w:pPrChange w:id="1029" w:author="LV" w:date="2026-07-13T09:56:00Z">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jc w:val="both"/>
            <w:textAlignment w:val="auto"/>
          </w:pPr>
        </w:pPrChange>
      </w:pPr>
      <w:del w:id="1033" w:author="LV" w:date="2026-07-27T15:37:04Z">
        <w:r>
          <w:rPr>
            <w:rFonts w:hint="eastAsia" w:ascii="仿宋_GB2312" w:hAnsi="仿宋_GB2312" w:eastAsia="仿宋_GB2312" w:cs="仿宋_GB2312"/>
            <w:color w:val="auto"/>
            <w:kern w:val="0"/>
            <w:sz w:val="32"/>
            <w:szCs w:val="32"/>
            <w:lang w:eastAsia="zh-Hans"/>
            <w:rPrChange w:id="1034" w:author="LV" w:date="2026-07-22T20:40:36Z">
              <w:rPr>
                <w:rFonts w:hint="eastAsia" w:ascii="仿宋_GB2312" w:hAnsi="仿宋_GB2312" w:eastAsia="仿宋_GB2312" w:cs="仿宋_GB2312"/>
                <w:kern w:val="0"/>
                <w:sz w:val="32"/>
                <w:szCs w:val="32"/>
                <w:lang w:eastAsia="zh-Hans"/>
              </w:rPr>
            </w:rPrChange>
          </w:rPr>
          <w:delText>各市能源执法机关</w:delText>
        </w:r>
      </w:del>
      <w:del w:id="1035" w:author="LV" w:date="2026-07-27T15:37:04Z">
        <w:r>
          <w:rPr>
            <w:rFonts w:hint="eastAsia" w:ascii="仿宋_GB2312" w:hAnsi="仿宋_GB2312" w:eastAsia="仿宋_GB2312" w:cs="仿宋_GB2312"/>
            <w:color w:val="auto"/>
            <w:kern w:val="0"/>
            <w:sz w:val="32"/>
            <w:szCs w:val="32"/>
            <w:rPrChange w:id="1036" w:author="LV" w:date="2026-07-22T20:40:36Z">
              <w:rPr>
                <w:rFonts w:hint="eastAsia" w:ascii="仿宋_GB2312" w:hAnsi="仿宋_GB2312" w:eastAsia="仿宋_GB2312" w:cs="仿宋_GB2312"/>
                <w:kern w:val="0"/>
                <w:sz w:val="32"/>
                <w:szCs w:val="32"/>
              </w:rPr>
            </w:rPrChange>
          </w:rPr>
          <w:delText>依据法定职权对违法行为实施行政处罚时，可以根据违法行为发生地社会经济和行政管理实际情况在各处罚幅度范围内调整。</w:delText>
        </w:r>
      </w:del>
    </w:p>
    <w:p w14:paraId="24FDECF7">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del w:id="1038" w:author="LV" w:date="2026-07-27T15:37:04Z"/>
          <w:rFonts w:hint="default" w:ascii="仿宋_GB2312" w:hAnsi="仿宋_GB2312" w:eastAsia="仿宋_GB2312" w:cs="仿宋_GB2312"/>
          <w:color w:val="auto"/>
          <w:kern w:val="0"/>
          <w:sz w:val="32"/>
          <w:szCs w:val="32"/>
        </w:rPr>
        <w:pPrChange w:id="1037" w:author="LV" w:date="2026-07-13T09:56:00Z">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jc w:val="both"/>
            <w:textAlignment w:val="auto"/>
          </w:pPr>
        </w:pPrChange>
      </w:pPr>
      <w:del w:id="1039" w:author="LV" w:date="2026-07-27T15:37:04Z">
        <w:r>
          <w:rPr>
            <w:rFonts w:hint="eastAsia" w:ascii="黑体" w:hAnsi="黑体" w:eastAsia="黑体" w:cs="黑体"/>
            <w:color w:val="auto"/>
            <w:kern w:val="0"/>
            <w:sz w:val="32"/>
            <w:szCs w:val="32"/>
            <w:rPrChange w:id="1040" w:author="LV" w:date="2026-07-22T20:40:36Z">
              <w:rPr>
                <w:rFonts w:hint="eastAsia" w:ascii="黑体" w:hAnsi="黑体" w:eastAsia="黑体" w:cs="黑体"/>
                <w:kern w:val="0"/>
                <w:sz w:val="32"/>
                <w:szCs w:val="32"/>
              </w:rPr>
            </w:rPrChange>
          </w:rPr>
          <w:delText>第</w:delText>
        </w:r>
      </w:del>
      <w:del w:id="1041" w:author="LV" w:date="2026-07-27T15:37:04Z">
        <w:r>
          <w:rPr>
            <w:rFonts w:hint="eastAsia" w:ascii="黑体" w:hAnsi="黑体" w:eastAsia="黑体" w:cs="黑体"/>
            <w:color w:val="auto"/>
            <w:kern w:val="0"/>
            <w:sz w:val="32"/>
            <w:szCs w:val="32"/>
            <w:lang w:eastAsia="zh-Hans"/>
            <w:rPrChange w:id="1042" w:author="LV" w:date="2026-07-22T20:40:36Z">
              <w:rPr>
                <w:rFonts w:hint="eastAsia" w:ascii="黑体" w:hAnsi="黑体" w:eastAsia="黑体" w:cs="黑体"/>
                <w:kern w:val="0"/>
                <w:sz w:val="32"/>
                <w:szCs w:val="32"/>
                <w:lang w:eastAsia="zh-Hans"/>
              </w:rPr>
            </w:rPrChange>
          </w:rPr>
          <w:delText>十九</w:delText>
        </w:r>
      </w:del>
      <w:del w:id="1043" w:author="LV" w:date="2026-07-27T15:37:04Z">
        <w:r>
          <w:rPr>
            <w:rFonts w:hint="eastAsia" w:ascii="黑体" w:hAnsi="黑体" w:eastAsia="黑体" w:cs="黑体"/>
            <w:color w:val="auto"/>
            <w:kern w:val="0"/>
            <w:sz w:val="32"/>
            <w:szCs w:val="32"/>
            <w:rPrChange w:id="1044" w:author="LV" w:date="2026-07-22T20:40:36Z">
              <w:rPr>
                <w:rFonts w:hint="eastAsia" w:ascii="黑体" w:hAnsi="黑体" w:eastAsia="黑体" w:cs="黑体"/>
                <w:kern w:val="0"/>
                <w:sz w:val="32"/>
                <w:szCs w:val="32"/>
              </w:rPr>
            </w:rPrChange>
          </w:rPr>
          <w:delText>条</w:delText>
        </w:r>
      </w:del>
      <w:del w:id="1045" w:author="LV" w:date="2026-07-27T15:37:04Z">
        <w:r>
          <w:rPr>
            <w:rFonts w:hint="eastAsia" w:ascii="仿宋_GB2312" w:hAnsi="仿宋_GB2312" w:eastAsia="仿宋_GB2312" w:cs="仿宋_GB2312"/>
            <w:color w:val="auto"/>
            <w:kern w:val="0"/>
            <w:sz w:val="32"/>
            <w:szCs w:val="32"/>
            <w:rPrChange w:id="1046" w:author="LV" w:date="2026-07-22T20:40:36Z">
              <w:rPr>
                <w:rFonts w:hint="eastAsia" w:ascii="仿宋_GB2312" w:hAnsi="仿宋_GB2312" w:eastAsia="仿宋_GB2312" w:cs="仿宋_GB2312"/>
                <w:kern w:val="0"/>
                <w:sz w:val="32"/>
                <w:szCs w:val="32"/>
              </w:rPr>
            </w:rPrChange>
          </w:rPr>
          <w:delText xml:space="preserve"> </w:delText>
        </w:r>
      </w:del>
      <w:del w:id="1047" w:author="LV" w:date="2026-07-27T15:37:04Z">
        <w:r>
          <w:rPr>
            <w:rFonts w:hint="eastAsia" w:ascii="仿宋_GB2312" w:hAnsi="仿宋_GB2312" w:eastAsia="仿宋_GB2312" w:cs="仿宋_GB2312"/>
            <w:color w:val="auto"/>
            <w:kern w:val="0"/>
            <w:sz w:val="32"/>
            <w:szCs w:val="32"/>
          </w:rPr>
          <w:delText xml:space="preserve"> 如对应的法律、法规中未明确是否包含本数的，本《基准》</w:delText>
        </w:r>
      </w:del>
      <w:del w:id="1048" w:author="LV" w:date="2026-07-27T15:37:04Z">
        <w:r>
          <w:rPr>
            <w:rFonts w:hint="eastAsia" w:ascii="仿宋_GB2312" w:hAnsi="仿宋_GB2312" w:eastAsia="仿宋_GB2312" w:cs="仿宋_GB2312"/>
            <w:color w:val="auto"/>
            <w:kern w:val="0"/>
            <w:sz w:val="32"/>
            <w:szCs w:val="32"/>
            <w:lang w:eastAsia="zh-Hans"/>
          </w:rPr>
          <w:delText>处罚标准中的“以上”</w:delText>
        </w:r>
      </w:del>
      <w:del w:id="1049" w:author="LV" w:date="2026-07-27T15:37:04Z">
        <w:r>
          <w:rPr>
            <w:rFonts w:hint="eastAsia" w:ascii="仿宋_GB2312" w:hAnsi="仿宋_GB2312" w:eastAsia="仿宋_GB2312" w:cs="仿宋_GB2312"/>
            <w:color w:val="auto"/>
            <w:kern w:val="0"/>
            <w:sz w:val="32"/>
            <w:szCs w:val="32"/>
          </w:rPr>
          <w:delText>包括本数，最高等级处罚标准中的</w:delText>
        </w:r>
      </w:del>
      <w:del w:id="1050" w:author="LV" w:date="2026-07-27T15:37:04Z">
        <w:r>
          <w:rPr>
            <w:rFonts w:hint="eastAsia" w:ascii="仿宋_GB2312" w:hAnsi="仿宋_GB2312" w:eastAsia="仿宋_GB2312" w:cs="仿宋_GB2312"/>
            <w:color w:val="auto"/>
            <w:kern w:val="0"/>
            <w:sz w:val="32"/>
            <w:szCs w:val="32"/>
            <w:lang w:eastAsia="zh-Hans"/>
          </w:rPr>
          <w:delText>“以下”</w:delText>
        </w:r>
      </w:del>
      <w:del w:id="1051" w:author="LV" w:date="2026-07-27T15:37:04Z">
        <w:r>
          <w:rPr>
            <w:rFonts w:hint="eastAsia" w:ascii="仿宋_GB2312" w:hAnsi="仿宋_GB2312" w:eastAsia="仿宋_GB2312" w:cs="仿宋_GB2312"/>
            <w:color w:val="auto"/>
            <w:kern w:val="0"/>
            <w:sz w:val="32"/>
            <w:szCs w:val="32"/>
          </w:rPr>
          <w:delText>包括本数，除此之外</w:delText>
        </w:r>
      </w:del>
      <w:del w:id="1052" w:author="LV" w:date="2026-07-27T15:37:04Z">
        <w:r>
          <w:rPr>
            <w:rFonts w:hint="eastAsia" w:ascii="仿宋_GB2312" w:hAnsi="仿宋_GB2312" w:eastAsia="仿宋_GB2312" w:cs="仿宋_GB2312"/>
            <w:color w:val="auto"/>
            <w:kern w:val="0"/>
            <w:sz w:val="32"/>
            <w:szCs w:val="32"/>
            <w:lang w:eastAsia="zh-Hans"/>
          </w:rPr>
          <w:delText>处罚标准中的“以下”</w:delText>
        </w:r>
      </w:del>
      <w:del w:id="1053" w:author="LV" w:date="2026-07-27T15:37:04Z">
        <w:r>
          <w:rPr>
            <w:rFonts w:hint="eastAsia" w:ascii="仿宋_GB2312" w:hAnsi="仿宋_GB2312" w:eastAsia="仿宋_GB2312" w:cs="仿宋_GB2312"/>
            <w:color w:val="auto"/>
            <w:kern w:val="0"/>
            <w:sz w:val="32"/>
            <w:szCs w:val="32"/>
          </w:rPr>
          <w:delText>不包括本数。</w:delText>
        </w:r>
      </w:del>
      <w:del w:id="1054" w:author="LV" w:date="2026-07-27T15:37:04Z">
        <w:r>
          <w:rPr>
            <w:rFonts w:hint="eastAsia" w:ascii="仿宋_GB2312" w:hAnsi="仿宋_GB2312" w:eastAsia="仿宋_GB2312" w:cs="仿宋_GB2312"/>
            <w:color w:val="auto"/>
            <w:kern w:val="0"/>
            <w:sz w:val="32"/>
            <w:szCs w:val="32"/>
            <w:lang w:eastAsia="zh-CN"/>
          </w:rPr>
          <w:delText>“</w:delText>
        </w:r>
      </w:del>
      <w:del w:id="1055" w:author="LV" w:date="2026-07-27T15:37:04Z">
        <w:r>
          <w:rPr>
            <w:rFonts w:hint="eastAsia" w:ascii="仿宋_GB2312" w:hAnsi="仿宋_GB2312" w:eastAsia="仿宋_GB2312" w:cs="仿宋_GB2312"/>
            <w:color w:val="auto"/>
            <w:kern w:val="0"/>
            <w:sz w:val="32"/>
            <w:szCs w:val="32"/>
            <w:lang w:val="en-US" w:eastAsia="zh-CN"/>
          </w:rPr>
          <w:delText>不足</w:delText>
        </w:r>
      </w:del>
      <w:del w:id="1056" w:author="LV" w:date="2026-07-27T15:37:04Z">
        <w:r>
          <w:rPr>
            <w:rFonts w:hint="eastAsia" w:ascii="仿宋_GB2312" w:hAnsi="仿宋_GB2312" w:eastAsia="仿宋_GB2312" w:cs="仿宋_GB2312"/>
            <w:color w:val="auto"/>
            <w:kern w:val="0"/>
            <w:sz w:val="32"/>
            <w:szCs w:val="32"/>
            <w:lang w:eastAsia="zh-CN"/>
          </w:rPr>
          <w:delText>”、“</w:delText>
        </w:r>
      </w:del>
      <w:del w:id="1057" w:author="LV" w:date="2026-07-27T15:37:04Z">
        <w:r>
          <w:rPr>
            <w:rFonts w:hint="eastAsia" w:ascii="仿宋_GB2312" w:hAnsi="仿宋_GB2312" w:eastAsia="仿宋_GB2312" w:cs="仿宋_GB2312"/>
            <w:color w:val="auto"/>
            <w:kern w:val="0"/>
            <w:sz w:val="32"/>
            <w:szCs w:val="32"/>
            <w:lang w:val="en-US" w:eastAsia="zh-CN"/>
          </w:rPr>
          <w:delText>超过</w:delText>
        </w:r>
      </w:del>
      <w:del w:id="1058" w:author="LV" w:date="2026-07-27T15:37:04Z">
        <w:r>
          <w:rPr>
            <w:rFonts w:hint="eastAsia" w:ascii="仿宋_GB2312" w:hAnsi="仿宋_GB2312" w:eastAsia="仿宋_GB2312" w:cs="仿宋_GB2312"/>
            <w:color w:val="auto"/>
            <w:kern w:val="0"/>
            <w:sz w:val="32"/>
            <w:szCs w:val="32"/>
            <w:lang w:eastAsia="zh-CN"/>
          </w:rPr>
          <w:delText>”</w:delText>
        </w:r>
      </w:del>
      <w:del w:id="1059" w:author="LV" w:date="2026-07-27T15:37:04Z">
        <w:r>
          <w:rPr>
            <w:rFonts w:hint="eastAsia" w:ascii="仿宋_GB2312" w:hAnsi="仿宋_GB2312" w:eastAsia="仿宋_GB2312" w:cs="仿宋_GB2312"/>
            <w:color w:val="auto"/>
            <w:kern w:val="0"/>
            <w:sz w:val="32"/>
            <w:szCs w:val="32"/>
            <w:lang w:val="en-US" w:eastAsia="zh-CN"/>
          </w:rPr>
          <w:delText>均不包含本数。</w:delText>
        </w:r>
      </w:del>
    </w:p>
    <w:p w14:paraId="5656388B">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del w:id="1061" w:author="LV" w:date="2026-07-27T15:37:04Z"/>
          <w:rFonts w:hint="eastAsia" w:ascii="仿宋_GB2312" w:hAnsi="仿宋_GB2312" w:eastAsia="仿宋_GB2312" w:cs="仿宋_GB2312"/>
          <w:color w:val="auto"/>
          <w:kern w:val="0"/>
          <w:sz w:val="32"/>
          <w:szCs w:val="32"/>
          <w:rPrChange w:id="1062" w:author="LV" w:date="2026-07-22T20:40:36Z">
            <w:rPr>
              <w:del w:id="1063" w:author="LV" w:date="2026-07-27T15:37:04Z"/>
              <w:rFonts w:hint="eastAsia" w:ascii="仿宋_GB2312" w:hAnsi="仿宋_GB2312" w:eastAsia="仿宋_GB2312" w:cs="仿宋_GB2312"/>
              <w:kern w:val="0"/>
              <w:sz w:val="32"/>
              <w:szCs w:val="32"/>
            </w:rPr>
          </w:rPrChange>
        </w:rPr>
        <w:pPrChange w:id="1060" w:author="LV" w:date="2026-07-13T09:56:00Z">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jc w:val="both"/>
            <w:textAlignment w:val="auto"/>
          </w:pPr>
        </w:pPrChange>
      </w:pPr>
      <w:del w:id="1064" w:author="LV" w:date="2026-07-27T15:37:04Z">
        <w:r>
          <w:rPr>
            <w:rFonts w:hint="eastAsia" w:ascii="黑体" w:hAnsi="黑体" w:eastAsia="黑体" w:cs="黑体"/>
            <w:color w:val="auto"/>
            <w:kern w:val="0"/>
            <w:sz w:val="32"/>
            <w:szCs w:val="32"/>
            <w:lang w:val="en-US" w:eastAsia="zh-Hans"/>
            <w:rPrChange w:id="1065" w:author="LV" w:date="2026-07-22T20:40:36Z">
              <w:rPr>
                <w:rFonts w:hint="eastAsia" w:ascii="黑体" w:hAnsi="黑体" w:eastAsia="黑体" w:cs="黑体"/>
                <w:kern w:val="0"/>
                <w:sz w:val="32"/>
                <w:szCs w:val="32"/>
                <w:lang w:val="en-US" w:eastAsia="zh-Hans"/>
              </w:rPr>
            </w:rPrChange>
          </w:rPr>
          <w:delText>第</w:delText>
        </w:r>
      </w:del>
      <w:del w:id="1066" w:author="LV" w:date="2026-07-27T15:37:04Z">
        <w:r>
          <w:rPr>
            <w:rFonts w:hint="eastAsia" w:ascii="黑体" w:hAnsi="黑体" w:eastAsia="黑体" w:cs="黑体"/>
            <w:color w:val="auto"/>
            <w:kern w:val="0"/>
            <w:sz w:val="32"/>
            <w:szCs w:val="32"/>
            <w:lang w:eastAsia="zh-Hans"/>
            <w:rPrChange w:id="1067" w:author="LV" w:date="2026-07-22T20:40:36Z">
              <w:rPr>
                <w:rFonts w:hint="eastAsia" w:ascii="黑体" w:hAnsi="黑体" w:eastAsia="黑体" w:cs="黑体"/>
                <w:kern w:val="0"/>
                <w:sz w:val="32"/>
                <w:szCs w:val="32"/>
                <w:lang w:eastAsia="zh-Hans"/>
              </w:rPr>
            </w:rPrChange>
          </w:rPr>
          <w:delText>二十条</w:delText>
        </w:r>
      </w:del>
      <w:del w:id="1068" w:author="LV" w:date="2026-07-27T15:37:04Z">
        <w:r>
          <w:rPr>
            <w:rFonts w:hint="eastAsia" w:ascii="仿宋_GB2312" w:hAnsi="仿宋_GB2312" w:eastAsia="仿宋_GB2312" w:cs="仿宋_GB2312"/>
            <w:color w:val="auto"/>
            <w:kern w:val="0"/>
            <w:sz w:val="32"/>
            <w:szCs w:val="32"/>
            <w:rPrChange w:id="1069" w:author="LV" w:date="2026-07-22T20:40:36Z">
              <w:rPr>
                <w:rFonts w:hint="eastAsia" w:ascii="仿宋_GB2312" w:hAnsi="仿宋_GB2312" w:eastAsia="仿宋_GB2312" w:cs="仿宋_GB2312"/>
                <w:kern w:val="0"/>
                <w:sz w:val="32"/>
                <w:szCs w:val="32"/>
              </w:rPr>
            </w:rPrChange>
          </w:rPr>
          <w:delText xml:space="preserve">  本《基准》所称事故发生单位主要负责人、其他负责人、安全生产管理人员以及直接负责的主管人员、其他直接责任人员的上一年年收入，属于国有生产经营单位的，是指该单位上级主管部门所确定的上一年年收入总额；属于非国有生产经营单位的，是指经财务、税务部门核定的上一年年收入总额。</w:delText>
        </w:r>
      </w:del>
    </w:p>
    <w:p w14:paraId="20457C22">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del w:id="1071" w:author="LV" w:date="2026-07-27T15:37:04Z"/>
          <w:rFonts w:hint="eastAsia" w:ascii="仿宋_GB2312" w:hAnsi="仿宋_GB2312" w:eastAsia="仿宋_GB2312" w:cs="仿宋_GB2312"/>
          <w:color w:val="auto"/>
          <w:kern w:val="0"/>
          <w:sz w:val="32"/>
          <w:szCs w:val="32"/>
          <w:rPrChange w:id="1072" w:author="LV" w:date="2026-07-22T20:40:36Z">
            <w:rPr>
              <w:del w:id="1073" w:author="LV" w:date="2026-07-27T15:37:04Z"/>
              <w:rFonts w:hint="eastAsia" w:ascii="仿宋_GB2312" w:hAnsi="仿宋_GB2312" w:eastAsia="仿宋_GB2312" w:cs="仿宋_GB2312"/>
              <w:kern w:val="0"/>
              <w:sz w:val="32"/>
              <w:szCs w:val="32"/>
            </w:rPr>
          </w:rPrChange>
        </w:rPr>
        <w:pPrChange w:id="1070" w:author="LV" w:date="2026-07-13T09:56:00Z">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jc w:val="both"/>
            <w:textAlignment w:val="auto"/>
          </w:pPr>
        </w:pPrChange>
      </w:pPr>
      <w:del w:id="1074" w:author="LV" w:date="2026-07-27T15:37:04Z">
        <w:r>
          <w:rPr>
            <w:rFonts w:hint="eastAsia" w:ascii="仿宋_GB2312" w:hAnsi="仿宋_GB2312" w:eastAsia="仿宋_GB2312" w:cs="仿宋_GB2312"/>
            <w:color w:val="auto"/>
            <w:kern w:val="0"/>
            <w:sz w:val="32"/>
            <w:szCs w:val="32"/>
            <w:rPrChange w:id="1075" w:author="LV" w:date="2026-07-22T20:40:36Z">
              <w:rPr>
                <w:rFonts w:hint="eastAsia" w:ascii="仿宋_GB2312" w:hAnsi="仿宋_GB2312" w:eastAsia="仿宋_GB2312" w:cs="仿宋_GB2312"/>
                <w:kern w:val="0"/>
                <w:sz w:val="32"/>
                <w:szCs w:val="32"/>
              </w:rPr>
            </w:rPrChange>
          </w:rPr>
          <w:delText>生产经营单位提供虚假资料或者由于财务、税务部门无法核定等原因致使有关人员的上一年年收入难以确定的，按照下列办法确定：</w:delText>
        </w:r>
      </w:del>
    </w:p>
    <w:p w14:paraId="59F4B77B">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del w:id="1077" w:author="LV" w:date="2026-07-27T15:37:04Z"/>
          <w:rFonts w:hint="eastAsia" w:ascii="仿宋_GB2312" w:hAnsi="仿宋_GB2312" w:eastAsia="仿宋_GB2312" w:cs="仿宋_GB2312"/>
          <w:color w:val="auto"/>
          <w:kern w:val="0"/>
          <w:sz w:val="32"/>
          <w:szCs w:val="32"/>
          <w:rPrChange w:id="1078" w:author="LV" w:date="2026-07-22T20:40:36Z">
            <w:rPr>
              <w:del w:id="1079" w:author="LV" w:date="2026-07-27T15:37:04Z"/>
              <w:rFonts w:hint="eastAsia" w:ascii="仿宋_GB2312" w:hAnsi="仿宋_GB2312" w:eastAsia="仿宋_GB2312" w:cs="仿宋_GB2312"/>
              <w:kern w:val="0"/>
              <w:sz w:val="32"/>
              <w:szCs w:val="32"/>
            </w:rPr>
          </w:rPrChange>
        </w:rPr>
        <w:pPrChange w:id="1076" w:author="LV" w:date="2026-07-13T09:56:00Z">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jc w:val="both"/>
            <w:textAlignment w:val="auto"/>
          </w:pPr>
        </w:pPrChange>
      </w:pPr>
      <w:del w:id="1080" w:author="LV" w:date="2026-07-27T15:37:04Z">
        <w:r>
          <w:rPr>
            <w:rFonts w:hint="eastAsia" w:ascii="仿宋_GB2312" w:hAnsi="仿宋_GB2312" w:eastAsia="仿宋_GB2312" w:cs="仿宋_GB2312"/>
            <w:color w:val="auto"/>
            <w:kern w:val="0"/>
            <w:sz w:val="32"/>
            <w:szCs w:val="32"/>
            <w:rPrChange w:id="1081" w:author="LV" w:date="2026-07-22T20:40:36Z">
              <w:rPr>
                <w:rFonts w:hint="eastAsia" w:ascii="仿宋_GB2312" w:hAnsi="仿宋_GB2312" w:eastAsia="仿宋_GB2312" w:cs="仿宋_GB2312"/>
                <w:kern w:val="0"/>
                <w:sz w:val="32"/>
                <w:szCs w:val="32"/>
              </w:rPr>
            </w:rPrChange>
          </w:rPr>
          <w:delText>（一）主要负责人的上一年年收入，按照本省、自治区、直辖市上一年度城镇单位就业人员平均工资的5倍以上10倍以下计算。</w:delText>
        </w:r>
      </w:del>
    </w:p>
    <w:p w14:paraId="43A6C103">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del w:id="1083" w:author="LV" w:date="2026-07-27T15:37:04Z"/>
          <w:rFonts w:hint="eastAsia" w:ascii="仿宋_GB2312" w:hAnsi="仿宋_GB2312" w:eastAsia="仿宋_GB2312" w:cs="仿宋_GB2312"/>
          <w:color w:val="auto"/>
          <w:kern w:val="0"/>
          <w:sz w:val="32"/>
          <w:szCs w:val="32"/>
          <w:rPrChange w:id="1084" w:author="LV" w:date="2026-07-22T20:40:36Z">
            <w:rPr>
              <w:del w:id="1085" w:author="LV" w:date="2026-07-27T15:37:04Z"/>
              <w:rFonts w:hint="eastAsia" w:ascii="仿宋_GB2312" w:hAnsi="仿宋_GB2312" w:eastAsia="仿宋_GB2312" w:cs="仿宋_GB2312"/>
              <w:kern w:val="0"/>
              <w:sz w:val="32"/>
              <w:szCs w:val="32"/>
            </w:rPr>
          </w:rPrChange>
        </w:rPr>
        <w:pPrChange w:id="1082" w:author="LV" w:date="2026-07-13T09:56:00Z">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jc w:val="both"/>
            <w:textAlignment w:val="auto"/>
          </w:pPr>
        </w:pPrChange>
      </w:pPr>
      <w:del w:id="1086" w:author="LV" w:date="2026-07-27T15:37:04Z">
        <w:r>
          <w:rPr>
            <w:rFonts w:hint="eastAsia" w:ascii="仿宋_GB2312" w:hAnsi="仿宋_GB2312" w:eastAsia="仿宋_GB2312" w:cs="仿宋_GB2312"/>
            <w:color w:val="auto"/>
            <w:kern w:val="0"/>
            <w:sz w:val="32"/>
            <w:szCs w:val="32"/>
            <w:rPrChange w:id="1087" w:author="LV" w:date="2026-07-22T20:40:36Z">
              <w:rPr>
                <w:rFonts w:hint="eastAsia" w:ascii="仿宋_GB2312" w:hAnsi="仿宋_GB2312" w:eastAsia="仿宋_GB2312" w:cs="仿宋_GB2312"/>
                <w:kern w:val="0"/>
                <w:sz w:val="32"/>
                <w:szCs w:val="32"/>
              </w:rPr>
            </w:rPrChange>
          </w:rPr>
          <w:delText>（二）其他负责人、安全生产管理人员以及直接负责的主管人员、其他直接责任人员的上一年年收入，按照本省、自治区、直辖市上一年度城镇单位就业人员平均工资的1倍以上5倍以下计算。</w:delText>
        </w:r>
      </w:del>
    </w:p>
    <w:p w14:paraId="3FB3E5CE">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del w:id="1089" w:author="LV" w:date="2026-07-27T15:37:04Z"/>
          <w:rFonts w:hint="eastAsia" w:ascii="仿宋_GB2312" w:hAnsi="仿宋_GB2312" w:eastAsia="仿宋_GB2312" w:cs="仿宋_GB2312"/>
          <w:color w:val="auto"/>
          <w:kern w:val="0"/>
          <w:sz w:val="32"/>
          <w:szCs w:val="32"/>
          <w:rPrChange w:id="1090" w:author="LV" w:date="2026-07-22T20:40:36Z">
            <w:rPr>
              <w:del w:id="1091" w:author="LV" w:date="2026-07-27T15:37:04Z"/>
              <w:rFonts w:hint="eastAsia" w:ascii="仿宋_GB2312" w:hAnsi="仿宋_GB2312" w:eastAsia="仿宋_GB2312" w:cs="仿宋_GB2312"/>
              <w:kern w:val="0"/>
              <w:sz w:val="32"/>
              <w:szCs w:val="32"/>
            </w:rPr>
          </w:rPrChange>
        </w:rPr>
        <w:pPrChange w:id="1088" w:author="LV" w:date="2026-07-13T09:56:00Z">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jc w:val="both"/>
            <w:textAlignment w:val="auto"/>
          </w:pPr>
        </w:pPrChange>
      </w:pPr>
      <w:del w:id="1092" w:author="LV" w:date="2026-07-27T15:37:04Z">
        <w:r>
          <w:rPr>
            <w:rFonts w:hint="eastAsia" w:ascii="黑体" w:hAnsi="黑体" w:eastAsia="黑体" w:cs="黑体"/>
            <w:color w:val="auto"/>
            <w:kern w:val="0"/>
            <w:sz w:val="32"/>
            <w:szCs w:val="32"/>
            <w:rPrChange w:id="1093" w:author="LV" w:date="2026-07-22T20:40:36Z">
              <w:rPr>
                <w:rFonts w:hint="eastAsia" w:ascii="黑体" w:hAnsi="黑体" w:eastAsia="黑体" w:cs="黑体"/>
                <w:kern w:val="0"/>
                <w:sz w:val="32"/>
                <w:szCs w:val="32"/>
              </w:rPr>
            </w:rPrChange>
          </w:rPr>
          <w:delText>第二十一条</w:delText>
        </w:r>
      </w:del>
      <w:del w:id="1094" w:author="LV" w:date="2026-07-27T15:37:04Z">
        <w:r>
          <w:rPr>
            <w:rFonts w:hint="eastAsia" w:ascii="仿宋_GB2312" w:hAnsi="仿宋_GB2312" w:eastAsia="仿宋_GB2312" w:cs="仿宋_GB2312"/>
            <w:color w:val="auto"/>
            <w:kern w:val="0"/>
            <w:sz w:val="32"/>
            <w:szCs w:val="32"/>
            <w:rPrChange w:id="1095" w:author="LV" w:date="2026-07-22T20:40:36Z">
              <w:rPr>
                <w:rFonts w:hint="eastAsia" w:ascii="仿宋_GB2312" w:hAnsi="仿宋_GB2312" w:eastAsia="仿宋_GB2312" w:cs="仿宋_GB2312"/>
                <w:kern w:val="0"/>
                <w:sz w:val="32"/>
                <w:szCs w:val="32"/>
              </w:rPr>
            </w:rPrChange>
          </w:rPr>
          <w:delText xml:space="preserve">  本《基准》中所称的违法所得，按照下列规定计算：</w:delText>
        </w:r>
      </w:del>
    </w:p>
    <w:p w14:paraId="07EA3980">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del w:id="1097" w:author="LV" w:date="2026-07-27T15:37:04Z"/>
          <w:rFonts w:hint="eastAsia" w:ascii="仿宋_GB2312" w:hAnsi="仿宋_GB2312" w:eastAsia="仿宋_GB2312" w:cs="仿宋_GB2312"/>
          <w:color w:val="auto"/>
          <w:kern w:val="0"/>
          <w:sz w:val="32"/>
          <w:szCs w:val="32"/>
          <w:rPrChange w:id="1098" w:author="LV" w:date="2026-07-22T20:40:36Z">
            <w:rPr>
              <w:del w:id="1099" w:author="LV" w:date="2026-07-27T15:37:04Z"/>
              <w:rFonts w:hint="eastAsia" w:ascii="仿宋_GB2312" w:hAnsi="仿宋_GB2312" w:eastAsia="仿宋_GB2312" w:cs="仿宋_GB2312"/>
              <w:kern w:val="0"/>
              <w:sz w:val="32"/>
              <w:szCs w:val="32"/>
            </w:rPr>
          </w:rPrChange>
        </w:rPr>
        <w:pPrChange w:id="1096" w:author="LV" w:date="2026-07-13T09:56:00Z">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jc w:val="both"/>
            <w:textAlignment w:val="auto"/>
          </w:pPr>
        </w:pPrChange>
      </w:pPr>
      <w:del w:id="1100" w:author="LV" w:date="2026-07-27T15:37:04Z">
        <w:r>
          <w:rPr>
            <w:rFonts w:hint="eastAsia" w:ascii="仿宋_GB2312" w:hAnsi="仿宋_GB2312" w:eastAsia="仿宋_GB2312" w:cs="仿宋_GB2312"/>
            <w:color w:val="auto"/>
            <w:kern w:val="0"/>
            <w:sz w:val="32"/>
            <w:szCs w:val="32"/>
            <w:rPrChange w:id="1101" w:author="LV" w:date="2026-07-22T20:40:36Z">
              <w:rPr>
                <w:rFonts w:hint="eastAsia" w:ascii="仿宋_GB2312" w:hAnsi="仿宋_GB2312" w:eastAsia="仿宋_GB2312" w:cs="仿宋_GB2312"/>
                <w:kern w:val="0"/>
                <w:sz w:val="32"/>
                <w:szCs w:val="32"/>
              </w:rPr>
            </w:rPrChange>
          </w:rPr>
          <w:delText>（一）生产、加工产品的，以生产、加工产品的销售收入作为违法所得；</w:delText>
        </w:r>
      </w:del>
    </w:p>
    <w:p w14:paraId="57640C72">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del w:id="1103" w:author="LV" w:date="2026-07-27T15:37:04Z"/>
          <w:rFonts w:hint="eastAsia" w:ascii="仿宋_GB2312" w:hAnsi="仿宋_GB2312" w:eastAsia="仿宋_GB2312" w:cs="仿宋_GB2312"/>
          <w:color w:val="auto"/>
          <w:kern w:val="0"/>
          <w:sz w:val="32"/>
          <w:szCs w:val="32"/>
          <w:rPrChange w:id="1104" w:author="LV" w:date="2026-07-22T20:40:36Z">
            <w:rPr>
              <w:del w:id="1105" w:author="LV" w:date="2026-07-27T15:37:04Z"/>
              <w:rFonts w:hint="eastAsia" w:ascii="仿宋_GB2312" w:hAnsi="仿宋_GB2312" w:eastAsia="仿宋_GB2312" w:cs="仿宋_GB2312"/>
              <w:kern w:val="0"/>
              <w:sz w:val="32"/>
              <w:szCs w:val="32"/>
            </w:rPr>
          </w:rPrChange>
        </w:rPr>
        <w:pPrChange w:id="1102" w:author="LV" w:date="2026-07-13T09:56:00Z">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jc w:val="both"/>
            <w:textAlignment w:val="auto"/>
          </w:pPr>
        </w:pPrChange>
      </w:pPr>
      <w:del w:id="1106" w:author="LV" w:date="2026-07-27T15:37:04Z">
        <w:r>
          <w:rPr>
            <w:rFonts w:hint="eastAsia" w:ascii="仿宋_GB2312" w:hAnsi="仿宋_GB2312" w:eastAsia="仿宋_GB2312" w:cs="仿宋_GB2312"/>
            <w:color w:val="auto"/>
            <w:kern w:val="0"/>
            <w:sz w:val="32"/>
            <w:szCs w:val="32"/>
            <w:rPrChange w:id="1107" w:author="LV" w:date="2026-07-22T20:40:36Z">
              <w:rPr>
                <w:rFonts w:hint="eastAsia" w:ascii="仿宋_GB2312" w:hAnsi="仿宋_GB2312" w:eastAsia="仿宋_GB2312" w:cs="仿宋_GB2312"/>
                <w:kern w:val="0"/>
                <w:sz w:val="32"/>
                <w:szCs w:val="32"/>
              </w:rPr>
            </w:rPrChange>
          </w:rPr>
          <w:delText>（二）销售商品的，以销售收入作为违法所得；</w:delText>
        </w:r>
      </w:del>
    </w:p>
    <w:p w14:paraId="2B57BB99">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del w:id="1109" w:author="LV" w:date="2026-07-27T15:37:04Z"/>
          <w:rFonts w:hint="eastAsia" w:ascii="仿宋_GB2312" w:hAnsi="仿宋_GB2312" w:eastAsia="仿宋_GB2312" w:cs="仿宋_GB2312"/>
          <w:color w:val="auto"/>
          <w:kern w:val="0"/>
          <w:sz w:val="32"/>
          <w:szCs w:val="32"/>
          <w:rPrChange w:id="1110" w:author="LV" w:date="2026-07-22T20:40:36Z">
            <w:rPr>
              <w:del w:id="1111" w:author="LV" w:date="2026-07-27T15:37:04Z"/>
              <w:rFonts w:hint="eastAsia" w:ascii="仿宋_GB2312" w:hAnsi="仿宋_GB2312" w:eastAsia="仿宋_GB2312" w:cs="仿宋_GB2312"/>
              <w:kern w:val="0"/>
              <w:sz w:val="32"/>
              <w:szCs w:val="32"/>
            </w:rPr>
          </w:rPrChange>
        </w:rPr>
        <w:pPrChange w:id="1108" w:author="LV" w:date="2026-07-13T09:56:00Z">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jc w:val="both"/>
            <w:textAlignment w:val="auto"/>
          </w:pPr>
        </w:pPrChange>
      </w:pPr>
      <w:del w:id="1112" w:author="LV" w:date="2026-07-27T15:37:04Z">
        <w:r>
          <w:rPr>
            <w:rFonts w:hint="eastAsia" w:ascii="仿宋_GB2312" w:hAnsi="仿宋_GB2312" w:eastAsia="仿宋_GB2312" w:cs="仿宋_GB2312"/>
            <w:color w:val="auto"/>
            <w:kern w:val="0"/>
            <w:sz w:val="32"/>
            <w:szCs w:val="32"/>
            <w:rPrChange w:id="1113" w:author="LV" w:date="2026-07-22T20:40:36Z">
              <w:rPr>
                <w:rFonts w:hint="eastAsia" w:ascii="仿宋_GB2312" w:hAnsi="仿宋_GB2312" w:eastAsia="仿宋_GB2312" w:cs="仿宋_GB2312"/>
                <w:kern w:val="0"/>
                <w:sz w:val="32"/>
                <w:szCs w:val="32"/>
              </w:rPr>
            </w:rPrChange>
          </w:rPr>
          <w:delText>（三）提供安全生产中介、租赁等服务的，以服务收入或者报酬作为违法所得；</w:delText>
        </w:r>
      </w:del>
    </w:p>
    <w:p w14:paraId="75D6C5D3">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del w:id="1115" w:author="LV" w:date="2026-07-27T15:37:04Z"/>
          <w:rFonts w:hint="eastAsia" w:ascii="仿宋_GB2312" w:hAnsi="仿宋_GB2312" w:eastAsia="仿宋_GB2312" w:cs="仿宋_GB2312"/>
          <w:color w:val="auto"/>
          <w:kern w:val="0"/>
          <w:sz w:val="32"/>
          <w:szCs w:val="32"/>
          <w:rPrChange w:id="1116" w:author="LV" w:date="2026-07-22T20:40:36Z">
            <w:rPr>
              <w:del w:id="1117" w:author="LV" w:date="2026-07-27T15:37:04Z"/>
              <w:rFonts w:hint="eastAsia" w:ascii="仿宋_GB2312" w:hAnsi="仿宋_GB2312" w:eastAsia="仿宋_GB2312" w:cs="仿宋_GB2312"/>
              <w:kern w:val="0"/>
              <w:sz w:val="32"/>
              <w:szCs w:val="32"/>
            </w:rPr>
          </w:rPrChange>
        </w:rPr>
        <w:pPrChange w:id="1114" w:author="LV" w:date="2026-07-13T09:56:00Z">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jc w:val="both"/>
            <w:textAlignment w:val="auto"/>
          </w:pPr>
        </w:pPrChange>
      </w:pPr>
      <w:del w:id="1118" w:author="LV" w:date="2026-07-27T15:37:04Z">
        <w:r>
          <w:rPr>
            <w:rFonts w:hint="eastAsia" w:ascii="仿宋_GB2312" w:hAnsi="仿宋_GB2312" w:eastAsia="仿宋_GB2312" w:cs="仿宋_GB2312"/>
            <w:color w:val="auto"/>
            <w:kern w:val="0"/>
            <w:sz w:val="32"/>
            <w:szCs w:val="32"/>
            <w:rPrChange w:id="1119" w:author="LV" w:date="2026-07-22T20:40:36Z">
              <w:rPr>
                <w:rFonts w:hint="eastAsia" w:ascii="仿宋_GB2312" w:hAnsi="仿宋_GB2312" w:eastAsia="仿宋_GB2312" w:cs="仿宋_GB2312"/>
                <w:kern w:val="0"/>
                <w:sz w:val="32"/>
                <w:szCs w:val="32"/>
              </w:rPr>
            </w:rPrChange>
          </w:rPr>
          <w:delText>（四）销售收入无法计算的，按当地同类同等规模的生产经营单位的平均销售收入计算；</w:delText>
        </w:r>
      </w:del>
    </w:p>
    <w:p w14:paraId="6F7B6D26">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del w:id="1121" w:author="LV" w:date="2026-07-27T15:37:04Z"/>
          <w:rFonts w:hint="eastAsia" w:ascii="仿宋_GB2312" w:hAnsi="仿宋_GB2312" w:eastAsia="仿宋_GB2312" w:cs="仿宋_GB2312"/>
          <w:color w:val="auto"/>
          <w:kern w:val="0"/>
          <w:sz w:val="32"/>
          <w:szCs w:val="32"/>
          <w:rPrChange w:id="1122" w:author="LV" w:date="2026-07-22T20:40:36Z">
            <w:rPr>
              <w:del w:id="1123" w:author="LV" w:date="2026-07-27T15:37:04Z"/>
              <w:rFonts w:hint="eastAsia" w:ascii="仿宋_GB2312" w:hAnsi="仿宋_GB2312" w:eastAsia="仿宋_GB2312" w:cs="仿宋_GB2312"/>
              <w:kern w:val="0"/>
              <w:sz w:val="32"/>
              <w:szCs w:val="32"/>
            </w:rPr>
          </w:rPrChange>
        </w:rPr>
        <w:pPrChange w:id="1120" w:author="LV" w:date="2026-07-13T09:56:00Z">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jc w:val="both"/>
            <w:textAlignment w:val="auto"/>
          </w:pPr>
        </w:pPrChange>
      </w:pPr>
      <w:del w:id="1124" w:author="LV" w:date="2026-07-27T15:37:04Z">
        <w:r>
          <w:rPr>
            <w:rFonts w:hint="eastAsia" w:ascii="仿宋_GB2312" w:hAnsi="仿宋_GB2312" w:eastAsia="仿宋_GB2312" w:cs="仿宋_GB2312"/>
            <w:color w:val="auto"/>
            <w:kern w:val="0"/>
            <w:sz w:val="32"/>
            <w:szCs w:val="32"/>
            <w:rPrChange w:id="1125" w:author="LV" w:date="2026-07-22T20:40:36Z">
              <w:rPr>
                <w:rFonts w:hint="eastAsia" w:ascii="仿宋_GB2312" w:hAnsi="仿宋_GB2312" w:eastAsia="仿宋_GB2312" w:cs="仿宋_GB2312"/>
                <w:kern w:val="0"/>
                <w:sz w:val="32"/>
                <w:szCs w:val="32"/>
              </w:rPr>
            </w:rPrChange>
          </w:rPr>
          <w:delText>（五）服务收入、报酬无法计算的，按照当地同行业同种服务的平均收入或者报酬计算。</w:delText>
        </w:r>
      </w:del>
    </w:p>
    <w:p w14:paraId="228A47BE">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del w:id="1127" w:author="LV" w:date="2026-07-27T15:37:04Z"/>
          <w:rFonts w:hint="eastAsia" w:ascii="仿宋_GB2312" w:hAnsi="仿宋_GB2312" w:eastAsia="仿宋_GB2312" w:cs="仿宋_GB2312"/>
          <w:color w:val="auto"/>
          <w:kern w:val="0"/>
          <w:sz w:val="32"/>
          <w:szCs w:val="32"/>
          <w:rPrChange w:id="1128" w:author="LV" w:date="2026-07-22T20:40:36Z">
            <w:rPr>
              <w:del w:id="1129" w:author="LV" w:date="2026-07-27T15:37:04Z"/>
              <w:rFonts w:hint="eastAsia" w:ascii="仿宋_GB2312" w:hAnsi="仿宋_GB2312" w:eastAsia="仿宋_GB2312" w:cs="仿宋_GB2312"/>
              <w:kern w:val="0"/>
              <w:sz w:val="32"/>
              <w:szCs w:val="32"/>
            </w:rPr>
          </w:rPrChange>
        </w:rPr>
        <w:pPrChange w:id="1126" w:author="LV" w:date="2026-07-13T09:56:00Z">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jc w:val="both"/>
            <w:textAlignment w:val="auto"/>
          </w:pPr>
        </w:pPrChange>
      </w:pPr>
      <w:del w:id="1130" w:author="LV" w:date="2026-07-27T15:37:04Z">
        <w:r>
          <w:rPr>
            <w:rFonts w:hint="eastAsia" w:ascii="黑体" w:hAnsi="黑体" w:eastAsia="黑体" w:cs="黑体"/>
            <w:color w:val="auto"/>
            <w:kern w:val="0"/>
            <w:sz w:val="32"/>
            <w:szCs w:val="32"/>
            <w:lang w:val="en-US" w:eastAsia="zh-CN"/>
            <w:rPrChange w:id="1131" w:author="LV" w:date="2026-07-22T20:40:36Z">
              <w:rPr>
                <w:rFonts w:hint="eastAsia" w:ascii="黑体" w:hAnsi="黑体" w:eastAsia="黑体" w:cs="黑体"/>
                <w:kern w:val="0"/>
                <w:sz w:val="32"/>
                <w:szCs w:val="32"/>
                <w:lang w:val="en-US" w:eastAsia="zh-CN"/>
              </w:rPr>
            </w:rPrChange>
          </w:rPr>
          <w:delText>第二十二条</w:delText>
        </w:r>
      </w:del>
      <w:del w:id="1132" w:author="LV" w:date="2026-07-27T15:37:04Z">
        <w:r>
          <w:rPr>
            <w:rFonts w:hint="eastAsia" w:ascii="仿宋_GB2312" w:hAnsi="仿宋_GB2312" w:eastAsia="仿宋_GB2312" w:cs="仿宋_GB2312"/>
            <w:color w:val="auto"/>
            <w:kern w:val="0"/>
            <w:sz w:val="32"/>
            <w:szCs w:val="32"/>
            <w:lang w:val="en-US" w:eastAsia="zh-CN"/>
            <w:rPrChange w:id="1133" w:author="LV" w:date="2026-07-22T20:40:36Z">
              <w:rPr>
                <w:rFonts w:hint="eastAsia" w:ascii="仿宋_GB2312" w:hAnsi="仿宋_GB2312" w:eastAsia="仿宋_GB2312" w:cs="仿宋_GB2312"/>
                <w:kern w:val="0"/>
                <w:sz w:val="32"/>
                <w:szCs w:val="32"/>
                <w:lang w:val="en-US" w:eastAsia="zh-CN"/>
              </w:rPr>
            </w:rPrChange>
          </w:rPr>
          <w:delText xml:space="preserve">  </w:delText>
        </w:r>
      </w:del>
      <w:del w:id="1134" w:author="LV" w:date="2026-07-27T15:37:04Z">
        <w:r>
          <w:rPr>
            <w:rFonts w:hint="eastAsia" w:ascii="仿宋_GB2312" w:hAnsi="仿宋_GB2312" w:eastAsia="仿宋_GB2312" w:cs="仿宋_GB2312"/>
            <w:color w:val="auto"/>
            <w:kern w:val="0"/>
            <w:sz w:val="32"/>
            <w:szCs w:val="32"/>
            <w:rPrChange w:id="1135" w:author="LV" w:date="2026-07-22T20:40:36Z">
              <w:rPr>
                <w:rFonts w:hint="eastAsia" w:ascii="仿宋_GB2312" w:hAnsi="仿宋_GB2312" w:eastAsia="仿宋_GB2312" w:cs="仿宋_GB2312"/>
                <w:kern w:val="0"/>
                <w:sz w:val="32"/>
                <w:szCs w:val="32"/>
              </w:rPr>
            </w:rPrChange>
          </w:rPr>
          <w:delText>本基准未详尽列明的裁量事项及具体裁量适用说明，统一参照上级部门相关规定执行。</w:delText>
        </w:r>
      </w:del>
    </w:p>
    <w:p w14:paraId="678E286D">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del w:id="1137" w:author="LV" w:date="2026-07-27T15:37:04Z"/>
          <w:rFonts w:hint="eastAsia" w:ascii="仿宋_GB2312" w:hAnsi="仿宋_GB2312" w:eastAsia="仿宋_GB2312" w:cs="仿宋_GB2312"/>
          <w:color w:val="auto"/>
          <w:kern w:val="0"/>
          <w:sz w:val="32"/>
          <w:szCs w:val="32"/>
          <w:rPrChange w:id="1138" w:author="LV" w:date="2026-07-22T20:40:36Z">
            <w:rPr>
              <w:del w:id="1139" w:author="LV" w:date="2026-07-27T15:37:04Z"/>
              <w:rFonts w:ascii="仿宋_GB2312" w:hAnsi="仿宋_GB2312" w:eastAsia="仿宋_GB2312" w:cs="仿宋_GB2312"/>
              <w:kern w:val="0"/>
              <w:sz w:val="32"/>
              <w:szCs w:val="32"/>
            </w:rPr>
          </w:rPrChange>
        </w:rPr>
        <w:pPrChange w:id="1136" w:author="LV" w:date="2026-07-13T09:56:00Z">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jc w:val="both"/>
            <w:textAlignment w:val="auto"/>
          </w:pPr>
        </w:pPrChange>
      </w:pPr>
      <w:del w:id="1140" w:author="LV" w:date="2026-07-27T15:37:04Z">
        <w:r>
          <w:rPr>
            <w:rFonts w:hint="eastAsia" w:ascii="黑体" w:hAnsi="黑体" w:eastAsia="黑体" w:cs="黑体"/>
            <w:color w:val="auto"/>
            <w:kern w:val="0"/>
            <w:sz w:val="32"/>
            <w:szCs w:val="32"/>
            <w:rPrChange w:id="1141" w:author="LV" w:date="2026-07-22T20:40:36Z">
              <w:rPr>
                <w:rFonts w:hint="eastAsia" w:ascii="黑体" w:hAnsi="黑体" w:eastAsia="黑体" w:cs="黑体"/>
                <w:kern w:val="0"/>
                <w:sz w:val="32"/>
                <w:szCs w:val="32"/>
              </w:rPr>
            </w:rPrChange>
          </w:rPr>
          <w:delText>第二十</w:delText>
        </w:r>
      </w:del>
      <w:del w:id="1142" w:author="LV" w:date="2026-07-27T15:37:04Z">
        <w:r>
          <w:rPr>
            <w:rFonts w:hint="eastAsia" w:ascii="黑体" w:hAnsi="黑体" w:eastAsia="黑体" w:cs="黑体"/>
            <w:color w:val="auto"/>
            <w:kern w:val="0"/>
            <w:sz w:val="32"/>
            <w:szCs w:val="32"/>
            <w:lang w:val="en-US" w:eastAsia="zh-CN"/>
            <w:rPrChange w:id="1143" w:author="LV" w:date="2026-07-22T20:40:36Z">
              <w:rPr>
                <w:rFonts w:hint="eastAsia" w:ascii="黑体" w:hAnsi="黑体" w:eastAsia="黑体" w:cs="黑体"/>
                <w:kern w:val="0"/>
                <w:sz w:val="32"/>
                <w:szCs w:val="32"/>
                <w:lang w:val="en-US" w:eastAsia="zh-CN"/>
              </w:rPr>
            </w:rPrChange>
          </w:rPr>
          <w:delText>三</w:delText>
        </w:r>
      </w:del>
      <w:del w:id="1144" w:author="LV" w:date="2026-07-27T15:37:04Z">
        <w:r>
          <w:rPr>
            <w:rFonts w:hint="eastAsia" w:ascii="黑体" w:hAnsi="黑体" w:eastAsia="黑体" w:cs="黑体"/>
            <w:color w:val="auto"/>
            <w:kern w:val="0"/>
            <w:sz w:val="32"/>
            <w:szCs w:val="32"/>
            <w:rPrChange w:id="1145" w:author="LV" w:date="2026-07-22T20:40:36Z">
              <w:rPr>
                <w:rFonts w:hint="eastAsia" w:ascii="黑体" w:hAnsi="黑体" w:eastAsia="黑体" w:cs="黑体"/>
                <w:kern w:val="0"/>
                <w:sz w:val="32"/>
                <w:szCs w:val="32"/>
              </w:rPr>
            </w:rPrChange>
          </w:rPr>
          <w:delText>条</w:delText>
        </w:r>
      </w:del>
      <w:del w:id="1146" w:author="LV" w:date="2026-07-27T15:37:04Z">
        <w:r>
          <w:rPr>
            <w:rFonts w:hint="eastAsia" w:ascii="仿宋_GB2312" w:hAnsi="仿宋_GB2312" w:eastAsia="仿宋_GB2312" w:cs="仿宋_GB2312"/>
            <w:color w:val="auto"/>
            <w:kern w:val="0"/>
            <w:sz w:val="32"/>
            <w:szCs w:val="32"/>
            <w:rPrChange w:id="1147" w:author="LV" w:date="2026-07-22T20:40:36Z">
              <w:rPr>
                <w:rFonts w:hint="eastAsia" w:ascii="仿宋_GB2312" w:hAnsi="仿宋_GB2312" w:eastAsia="仿宋_GB2312" w:cs="仿宋_GB2312"/>
                <w:kern w:val="0"/>
                <w:sz w:val="32"/>
                <w:szCs w:val="32"/>
              </w:rPr>
            </w:rPrChange>
          </w:rPr>
          <w:delText xml:space="preserve">  </w:delText>
        </w:r>
      </w:del>
      <w:del w:id="1148" w:author="LV" w:date="2026-07-27T15:37:04Z">
        <w:r>
          <w:rPr>
            <w:rFonts w:hint="eastAsia" w:ascii="仿宋_GB2312" w:hAnsi="仿宋_GB2312" w:eastAsia="仿宋_GB2312" w:cs="仿宋_GB2312"/>
            <w:color w:val="auto"/>
            <w:kern w:val="0"/>
            <w:sz w:val="32"/>
            <w:szCs w:val="32"/>
            <w:rPrChange w:id="1149" w:author="LV" w:date="2026-07-22T20:40:36Z">
              <w:rPr>
                <w:rFonts w:hint="eastAsia" w:ascii="仿宋_GB2312" w:hAnsi="仿宋_GB2312" w:eastAsia="仿宋_GB2312" w:cs="仿宋_GB2312"/>
                <w:kern w:val="0"/>
                <w:sz w:val="32"/>
                <w:szCs w:val="32"/>
              </w:rPr>
            </w:rPrChange>
          </w:rPr>
          <w:delText>本《基准》自印发之日起施行。</w:delText>
        </w:r>
      </w:del>
    </w:p>
    <w:p w14:paraId="4AA58806">
      <w:pPr>
        <w:overflowPunct w:val="0"/>
        <w:adjustRightInd w:val="0"/>
        <w:snapToGrid w:val="0"/>
        <w:spacing w:line="560" w:lineRule="exact"/>
        <w:ind w:firstLine="640" w:firstLineChars="200"/>
        <w:rPr>
          <w:del w:id="1151" w:author="LV" w:date="2026-07-27T15:37:04Z"/>
          <w:rFonts w:ascii="仿宋_GB2312" w:hAnsi="仿宋_GB2312" w:eastAsia="仿宋_GB2312" w:cs="仿宋_GB2312"/>
          <w:color w:val="auto"/>
          <w:kern w:val="0"/>
          <w:sz w:val="32"/>
          <w:szCs w:val="32"/>
          <w:rPrChange w:id="1152" w:author="LV" w:date="2026-07-22T20:40:36Z">
            <w:rPr>
              <w:del w:id="1153" w:author="LV" w:date="2026-07-27T15:37:04Z"/>
              <w:rFonts w:ascii="仿宋_GB2312" w:hAnsi="仿宋_GB2312" w:eastAsia="仿宋_GB2312" w:cs="仿宋_GB2312"/>
              <w:kern w:val="0"/>
              <w:sz w:val="32"/>
              <w:szCs w:val="32"/>
            </w:rPr>
          </w:rPrChange>
        </w:rPr>
        <w:pPrChange w:id="1150" w:author="LV" w:date="2026-07-13T09:56:00Z">
          <w:pPr>
            <w:overflowPunct w:val="0"/>
            <w:adjustRightInd w:val="0"/>
            <w:snapToGrid w:val="0"/>
            <w:spacing w:line="600" w:lineRule="exact"/>
            <w:ind w:firstLine="640" w:firstLineChars="200"/>
          </w:pPr>
        </w:pPrChange>
      </w:pPr>
    </w:p>
    <w:p w14:paraId="0B653DF9">
      <w:pPr>
        <w:overflowPunct w:val="0"/>
        <w:adjustRightInd w:val="0"/>
        <w:snapToGrid w:val="0"/>
        <w:spacing w:line="560" w:lineRule="exact"/>
        <w:ind w:firstLine="640" w:firstLineChars="200"/>
        <w:rPr>
          <w:del w:id="1155" w:author="LV" w:date="2026-07-27T15:37:04Z"/>
          <w:rFonts w:hint="eastAsia" w:ascii="仿宋_GB2312" w:hAnsi="仿宋_GB2312" w:eastAsia="仿宋_GB2312" w:cs="仿宋_GB2312"/>
          <w:color w:val="auto"/>
          <w:kern w:val="0"/>
          <w:sz w:val="32"/>
          <w:szCs w:val="32"/>
          <w:rPrChange w:id="1156" w:author="LV" w:date="2026-07-22T20:40:36Z">
            <w:rPr>
              <w:del w:id="1157" w:author="LV" w:date="2026-07-27T15:37:04Z"/>
              <w:rFonts w:hint="eastAsia" w:ascii="仿宋_GB2312" w:hAnsi="仿宋_GB2312" w:eastAsia="仿宋_GB2312" w:cs="仿宋_GB2312"/>
              <w:kern w:val="0"/>
              <w:sz w:val="32"/>
              <w:szCs w:val="32"/>
            </w:rPr>
          </w:rPrChange>
        </w:rPr>
        <w:pPrChange w:id="1154" w:author="LV" w:date="2026-07-13T09:56:00Z">
          <w:pPr>
            <w:overflowPunct w:val="0"/>
            <w:adjustRightInd w:val="0"/>
            <w:snapToGrid w:val="0"/>
            <w:spacing w:line="600" w:lineRule="exact"/>
            <w:ind w:firstLine="640" w:firstLineChars="200"/>
          </w:pPr>
        </w:pPrChange>
      </w:pPr>
      <w:del w:id="1158" w:author="LV" w:date="2026-07-27T15:37:04Z">
        <w:r>
          <w:rPr>
            <w:rFonts w:hint="eastAsia" w:ascii="仿宋_GB2312" w:hAnsi="仿宋_GB2312" w:eastAsia="仿宋_GB2312" w:cs="仿宋_GB2312"/>
            <w:color w:val="auto"/>
            <w:kern w:val="0"/>
            <w:sz w:val="32"/>
            <w:szCs w:val="32"/>
            <w:rPrChange w:id="1159" w:author="LV" w:date="2026-07-22T20:40:36Z">
              <w:rPr>
                <w:rFonts w:hint="eastAsia" w:ascii="仿宋_GB2312" w:hAnsi="仿宋_GB2312" w:eastAsia="仿宋_GB2312" w:cs="仿宋_GB2312"/>
                <w:kern w:val="0"/>
                <w:sz w:val="32"/>
                <w:szCs w:val="32"/>
              </w:rPr>
            </w:rPrChange>
          </w:rPr>
          <w:delText>附件：山东省能源行政处罚裁量权基准表</w:delText>
        </w:r>
      </w:del>
    </w:p>
    <w:p w14:paraId="7D893BBB">
      <w:pPr>
        <w:overflowPunct w:val="0"/>
        <w:adjustRightInd w:val="0"/>
        <w:snapToGrid w:val="0"/>
        <w:spacing w:line="560" w:lineRule="exact"/>
        <w:ind w:firstLine="640" w:firstLineChars="200"/>
        <w:rPr>
          <w:del w:id="1161" w:author="LV" w:date="2026-07-27T15:37:04Z"/>
          <w:rFonts w:hint="eastAsia" w:ascii="仿宋_GB2312" w:hAnsi="仿宋_GB2312" w:eastAsia="仿宋_GB2312" w:cs="仿宋_GB2312"/>
          <w:color w:val="auto"/>
          <w:kern w:val="0"/>
          <w:sz w:val="32"/>
          <w:szCs w:val="32"/>
          <w:rPrChange w:id="1162" w:author="LV" w:date="2026-07-22T20:40:36Z">
            <w:rPr>
              <w:del w:id="1163" w:author="LV" w:date="2026-07-27T15:37:04Z"/>
              <w:rFonts w:hint="eastAsia" w:ascii="仿宋_GB2312" w:hAnsi="仿宋_GB2312" w:eastAsia="仿宋_GB2312" w:cs="仿宋_GB2312"/>
              <w:kern w:val="0"/>
              <w:sz w:val="32"/>
              <w:szCs w:val="32"/>
            </w:rPr>
          </w:rPrChange>
        </w:rPr>
        <w:sectPr>
          <w:footerReference r:id="rId4" w:type="default"/>
          <w:pgSz w:w="11906" w:h="16838"/>
          <w:pgMar w:top="2098" w:right="1474" w:bottom="1984" w:left="1588" w:header="851" w:footer="1531" w:gutter="0"/>
          <w:pgBorders>
            <w:top w:val="none" w:sz="0" w:space="0"/>
            <w:left w:val="none" w:sz="0" w:space="0"/>
            <w:bottom w:val="none" w:sz="0" w:space="0"/>
            <w:right w:val="none" w:sz="0" w:space="0"/>
          </w:pgBorders>
          <w:pgNumType w:fmt="decimal" w:start="1"/>
          <w:cols w:space="0" w:num="1"/>
          <w:docGrid w:type="lines" w:linePitch="312" w:charSpace="0"/>
        </w:sectPr>
        <w:pPrChange w:id="1160" w:author="LV" w:date="2026-07-13T09:56:00Z">
          <w:pPr>
            <w:overflowPunct w:val="0"/>
            <w:adjustRightInd w:val="0"/>
            <w:snapToGrid w:val="0"/>
            <w:spacing w:line="600" w:lineRule="exact"/>
            <w:ind w:firstLine="640" w:firstLineChars="200"/>
          </w:pPr>
        </w:pPrChange>
      </w:pPr>
    </w:p>
    <w:p w14:paraId="44545FBE">
      <w:pPr>
        <w:overflowPunct w:val="0"/>
        <w:adjustRightInd w:val="0"/>
        <w:snapToGrid w:val="0"/>
        <w:spacing w:line="578" w:lineRule="exact"/>
        <w:jc w:val="left"/>
        <w:rPr>
          <w:rFonts w:hint="eastAsia" w:ascii="黑体" w:hAnsi="黑体" w:eastAsia="黑体" w:cs="黑体"/>
          <w:kern w:val="0"/>
          <w:sz w:val="32"/>
          <w:szCs w:val="32"/>
        </w:rPr>
      </w:pPr>
      <w:r>
        <w:rPr>
          <w:rFonts w:hint="eastAsia" w:ascii="黑体" w:hAnsi="黑体" w:eastAsia="黑体" w:cs="黑体"/>
          <w:kern w:val="0"/>
          <w:sz w:val="32"/>
          <w:szCs w:val="32"/>
        </w:rPr>
        <w:t>附件</w:t>
      </w:r>
    </w:p>
    <w:p w14:paraId="75B99AF2">
      <w:pPr>
        <w:keepNext w:val="0"/>
        <w:keepLines w:val="0"/>
        <w:pageBreakBefore w:val="0"/>
        <w:widowControl w:val="0"/>
        <w:kinsoku/>
        <w:wordWrap/>
        <w:overflowPunct w:val="0"/>
        <w:topLinePunct w:val="0"/>
        <w:autoSpaceDE/>
        <w:autoSpaceDN/>
        <w:bidi w:val="0"/>
        <w:adjustRightInd w:val="0"/>
        <w:snapToGrid w:val="0"/>
        <w:spacing w:line="300" w:lineRule="exact"/>
        <w:jc w:val="left"/>
        <w:textAlignment w:val="auto"/>
        <w:rPr>
          <w:rFonts w:hint="eastAsia" w:ascii="黑体" w:hAnsi="黑体" w:eastAsia="黑体" w:cs="黑体"/>
          <w:kern w:val="0"/>
          <w:sz w:val="32"/>
          <w:szCs w:val="32"/>
        </w:rPr>
      </w:pPr>
    </w:p>
    <w:p w14:paraId="783155EC">
      <w:pPr>
        <w:keepNext w:val="0"/>
        <w:keepLines w:val="0"/>
        <w:pageBreakBefore w:val="0"/>
        <w:widowControl w:val="0"/>
        <w:kinsoku/>
        <w:wordWrap/>
        <w:overflowPunct w:val="0"/>
        <w:topLinePunct w:val="0"/>
        <w:autoSpaceDE/>
        <w:autoSpaceDN/>
        <w:bidi w:val="0"/>
        <w:adjustRightInd w:val="0"/>
        <w:snapToGrid w:val="0"/>
        <w:spacing w:after="157" w:afterLines="50" w:line="578" w:lineRule="exact"/>
        <w:jc w:val="center"/>
        <w:textAlignment w:val="auto"/>
        <w:rPr>
          <w:rFonts w:hint="eastAsia" w:ascii="方正小标宋_GBK" w:hAnsi="方正小标宋_GBK" w:eastAsia="方正小标宋_GBK" w:cs="方正小标宋_GBK"/>
          <w:kern w:val="0"/>
          <w:sz w:val="44"/>
          <w:szCs w:val="44"/>
          <w:rPrChange w:id="1164" w:author="LV" w:date="2026-07-13T14:07:43Z">
            <w:rPr>
              <w:rFonts w:ascii="方正小标宋简体" w:hAnsi="方正小标宋简体" w:eastAsia="方正小标宋简体" w:cs="方正小标宋简体"/>
              <w:kern w:val="0"/>
              <w:sz w:val="44"/>
              <w:szCs w:val="44"/>
            </w:rPr>
          </w:rPrChange>
        </w:rPr>
      </w:pPr>
      <w:r>
        <w:rPr>
          <w:rFonts w:hint="eastAsia" w:ascii="方正小标宋_GBK" w:hAnsi="方正小标宋_GBK" w:eastAsia="方正小标宋_GBK" w:cs="方正小标宋_GBK"/>
          <w:kern w:val="0"/>
          <w:sz w:val="44"/>
          <w:szCs w:val="44"/>
          <w:rPrChange w:id="1165" w:author="LV" w:date="2026-07-13T14:07:43Z">
            <w:rPr>
              <w:rFonts w:hint="eastAsia" w:ascii="方正小标宋简体" w:hAnsi="方正小标宋简体" w:eastAsia="方正小标宋简体" w:cs="方正小标宋简体"/>
              <w:kern w:val="0"/>
              <w:sz w:val="44"/>
              <w:szCs w:val="44"/>
            </w:rPr>
          </w:rPrChange>
        </w:rPr>
        <w:t>山东省能源行政处罚裁量权基准表</w:t>
      </w:r>
    </w:p>
    <w:tbl>
      <w:tblPr>
        <w:tblStyle w:val="13"/>
        <w:tblW w:w="507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8"/>
        <w:gridCol w:w="1005"/>
        <w:gridCol w:w="3667"/>
        <w:gridCol w:w="4082"/>
        <w:gridCol w:w="459"/>
        <w:gridCol w:w="1829"/>
        <w:gridCol w:w="2655"/>
        <w:tblGridChange w:id="1166">
          <w:tblGrid>
            <w:gridCol w:w="45"/>
            <w:gridCol w:w="60"/>
            <w:gridCol w:w="313"/>
            <w:gridCol w:w="45"/>
            <w:gridCol w:w="60"/>
            <w:gridCol w:w="900"/>
            <w:gridCol w:w="45"/>
            <w:gridCol w:w="60"/>
            <w:gridCol w:w="3562"/>
            <w:gridCol w:w="45"/>
            <w:gridCol w:w="60"/>
            <w:gridCol w:w="3977"/>
            <w:gridCol w:w="45"/>
            <w:gridCol w:w="60"/>
            <w:gridCol w:w="354"/>
            <w:gridCol w:w="45"/>
            <w:gridCol w:w="60"/>
            <w:gridCol w:w="1724"/>
            <w:gridCol w:w="45"/>
            <w:gridCol w:w="60"/>
            <w:gridCol w:w="2550"/>
            <w:gridCol w:w="45"/>
            <w:gridCol w:w="60"/>
          </w:tblGrid>
        </w:tblGridChange>
      </w:tblGrid>
      <w:tr w14:paraId="1A9531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blHeader/>
          <w:jc w:val="center"/>
        </w:trPr>
        <w:tc>
          <w:tcPr>
            <w:tcW w:w="418" w:type="dxa"/>
            <w:vMerge w:val="restart"/>
            <w:tcBorders>
              <w:tl2br w:val="nil"/>
              <w:tr2bl w:val="nil"/>
            </w:tcBorders>
            <w:shd w:val="clear" w:color="auto" w:fill="auto"/>
            <w:noWrap/>
            <w:tcMar>
              <w:top w:w="15" w:type="dxa"/>
              <w:left w:w="15" w:type="dxa"/>
              <w:right w:w="15" w:type="dxa"/>
            </w:tcMar>
            <w:vAlign w:val="center"/>
          </w:tcPr>
          <w:p w14:paraId="682EE14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方正黑体_GBK" w:hAnsi="方正黑体_GBK" w:eastAsia="方正黑体_GBK" w:cs="方正黑体_GBK"/>
                <w:sz w:val="18"/>
                <w:szCs w:val="18"/>
              </w:rPr>
            </w:pPr>
            <w:r>
              <w:rPr>
                <w:rFonts w:hint="eastAsia" w:ascii="方正黑体_GBK" w:hAnsi="方正黑体_GBK" w:eastAsia="方正黑体_GBK" w:cs="方正黑体_GBK"/>
                <w:kern w:val="0"/>
                <w:sz w:val="18"/>
                <w:szCs w:val="18"/>
                <w:lang w:bidi="ar"/>
              </w:rPr>
              <w:t>序号</w:t>
            </w:r>
          </w:p>
        </w:tc>
        <w:tc>
          <w:tcPr>
            <w:tcW w:w="1005" w:type="dxa"/>
            <w:vMerge w:val="restart"/>
            <w:tcBorders>
              <w:tl2br w:val="nil"/>
              <w:tr2bl w:val="nil"/>
            </w:tcBorders>
            <w:shd w:val="clear" w:color="auto" w:fill="auto"/>
            <w:noWrap/>
            <w:tcMar>
              <w:top w:w="15" w:type="dxa"/>
              <w:left w:w="15" w:type="dxa"/>
              <w:right w:w="15" w:type="dxa"/>
            </w:tcMar>
            <w:vAlign w:val="center"/>
          </w:tcPr>
          <w:p w14:paraId="0629F674">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方正黑体_GBK" w:hAnsi="方正黑体_GBK" w:eastAsia="方正黑体_GBK" w:cs="方正黑体_GBK"/>
                <w:sz w:val="18"/>
                <w:szCs w:val="18"/>
              </w:rPr>
            </w:pPr>
            <w:r>
              <w:rPr>
                <w:rFonts w:hint="eastAsia" w:ascii="方正黑体_GBK" w:hAnsi="方正黑体_GBK" w:eastAsia="方正黑体_GBK" w:cs="方正黑体_GBK"/>
                <w:kern w:val="0"/>
                <w:sz w:val="18"/>
                <w:szCs w:val="18"/>
                <w:lang w:bidi="ar"/>
              </w:rPr>
              <w:t>违法行为</w:t>
            </w:r>
          </w:p>
        </w:tc>
        <w:tc>
          <w:tcPr>
            <w:tcW w:w="7749" w:type="dxa"/>
            <w:gridSpan w:val="2"/>
            <w:tcBorders>
              <w:tl2br w:val="nil"/>
              <w:tr2bl w:val="nil"/>
            </w:tcBorders>
            <w:shd w:val="clear" w:color="auto" w:fill="auto"/>
            <w:noWrap/>
            <w:tcMar>
              <w:top w:w="15" w:type="dxa"/>
              <w:left w:w="15" w:type="dxa"/>
              <w:right w:w="15" w:type="dxa"/>
            </w:tcMar>
            <w:vAlign w:val="center"/>
          </w:tcPr>
          <w:p w14:paraId="45C31D3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方正黑体_GBK" w:hAnsi="方正黑体_GBK" w:eastAsia="方正黑体_GBK" w:cs="方正黑体_GBK"/>
                <w:sz w:val="18"/>
                <w:szCs w:val="18"/>
              </w:rPr>
            </w:pPr>
            <w:r>
              <w:rPr>
                <w:rFonts w:hint="eastAsia" w:ascii="方正黑体_GBK" w:hAnsi="方正黑体_GBK" w:eastAsia="方正黑体_GBK" w:cs="方正黑体_GBK"/>
                <w:kern w:val="0"/>
                <w:sz w:val="18"/>
                <w:szCs w:val="18"/>
                <w:lang w:bidi="ar"/>
              </w:rPr>
              <w:t>法定依据</w:t>
            </w:r>
          </w:p>
        </w:tc>
        <w:tc>
          <w:tcPr>
            <w:tcW w:w="459" w:type="dxa"/>
            <w:vMerge w:val="restart"/>
            <w:tcBorders>
              <w:tl2br w:val="nil"/>
              <w:tr2bl w:val="nil"/>
            </w:tcBorders>
            <w:shd w:val="clear" w:color="auto" w:fill="auto"/>
            <w:noWrap/>
            <w:tcMar>
              <w:top w:w="15" w:type="dxa"/>
              <w:left w:w="15" w:type="dxa"/>
              <w:right w:w="15" w:type="dxa"/>
            </w:tcMar>
            <w:vAlign w:val="center"/>
          </w:tcPr>
          <w:p w14:paraId="2278D28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方正黑体_GBK" w:hAnsi="方正黑体_GBK" w:eastAsia="方正黑体_GBK" w:cs="方正黑体_GBK"/>
                <w:sz w:val="18"/>
                <w:szCs w:val="18"/>
              </w:rPr>
            </w:pPr>
            <w:r>
              <w:rPr>
                <w:rFonts w:hint="eastAsia" w:ascii="方正黑体_GBK" w:hAnsi="方正黑体_GBK" w:eastAsia="方正黑体_GBK" w:cs="方正黑体_GBK"/>
                <w:kern w:val="0"/>
                <w:sz w:val="18"/>
                <w:szCs w:val="18"/>
                <w:lang w:bidi="ar"/>
              </w:rPr>
              <w:t>裁量阶次</w:t>
            </w:r>
          </w:p>
        </w:tc>
        <w:tc>
          <w:tcPr>
            <w:tcW w:w="1829" w:type="dxa"/>
            <w:vMerge w:val="restart"/>
            <w:tcBorders>
              <w:tl2br w:val="nil"/>
              <w:tr2bl w:val="nil"/>
            </w:tcBorders>
            <w:shd w:val="clear" w:color="auto" w:fill="auto"/>
            <w:noWrap/>
            <w:tcMar>
              <w:top w:w="15" w:type="dxa"/>
              <w:left w:w="15" w:type="dxa"/>
              <w:right w:w="15" w:type="dxa"/>
            </w:tcMar>
            <w:vAlign w:val="center"/>
          </w:tcPr>
          <w:p w14:paraId="3A4E6D2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方正黑体_GBK" w:hAnsi="方正黑体_GBK" w:eastAsia="方正黑体_GBK" w:cs="方正黑体_GBK"/>
                <w:sz w:val="18"/>
                <w:szCs w:val="18"/>
              </w:rPr>
            </w:pPr>
            <w:r>
              <w:rPr>
                <w:rFonts w:hint="eastAsia" w:ascii="方正黑体_GBK" w:hAnsi="方正黑体_GBK" w:eastAsia="方正黑体_GBK" w:cs="方正黑体_GBK"/>
                <w:kern w:val="0"/>
                <w:sz w:val="18"/>
                <w:szCs w:val="18"/>
                <w:lang w:bidi="ar"/>
              </w:rPr>
              <w:t>适用条件</w:t>
            </w:r>
          </w:p>
        </w:tc>
        <w:tc>
          <w:tcPr>
            <w:tcW w:w="2655" w:type="dxa"/>
            <w:vMerge w:val="restart"/>
            <w:tcBorders>
              <w:tl2br w:val="nil"/>
              <w:tr2bl w:val="nil"/>
            </w:tcBorders>
            <w:shd w:val="clear" w:color="auto" w:fill="auto"/>
            <w:noWrap/>
            <w:tcMar>
              <w:top w:w="15" w:type="dxa"/>
              <w:left w:w="15" w:type="dxa"/>
              <w:right w:w="15" w:type="dxa"/>
            </w:tcMar>
            <w:vAlign w:val="center"/>
          </w:tcPr>
          <w:p w14:paraId="2A2B786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方正黑体_GBK" w:hAnsi="方正黑体_GBK" w:eastAsia="方正黑体_GBK" w:cs="方正黑体_GBK"/>
                <w:sz w:val="18"/>
                <w:szCs w:val="18"/>
              </w:rPr>
            </w:pPr>
            <w:r>
              <w:rPr>
                <w:rFonts w:hint="eastAsia" w:ascii="方正黑体_GBK" w:hAnsi="方正黑体_GBK" w:eastAsia="方正黑体_GBK" w:cs="方正黑体_GBK"/>
                <w:kern w:val="0"/>
                <w:sz w:val="18"/>
                <w:szCs w:val="18"/>
                <w:lang w:bidi="ar"/>
              </w:rPr>
              <w:t>处罚标准</w:t>
            </w:r>
          </w:p>
        </w:tc>
      </w:tr>
      <w:tr w14:paraId="3A6B82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blHeader/>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C0CB1F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方正黑体_GBK" w:hAnsi="方正黑体_GBK" w:eastAsia="方正黑体_GBK" w:cs="方正黑体_GBK"/>
                <w:sz w:val="18"/>
                <w:szCs w:val="18"/>
              </w:rPr>
            </w:pPr>
          </w:p>
        </w:tc>
        <w:tc>
          <w:tcPr>
            <w:tcW w:w="1005" w:type="dxa"/>
            <w:vMerge w:val="continue"/>
            <w:tcBorders>
              <w:tl2br w:val="nil"/>
              <w:tr2bl w:val="nil"/>
            </w:tcBorders>
            <w:shd w:val="clear" w:color="auto" w:fill="auto"/>
            <w:noWrap/>
            <w:tcMar>
              <w:top w:w="15" w:type="dxa"/>
              <w:left w:w="15" w:type="dxa"/>
              <w:right w:w="15" w:type="dxa"/>
            </w:tcMar>
            <w:vAlign w:val="center"/>
          </w:tcPr>
          <w:p w14:paraId="1554D684">
            <w:pPr>
              <w:keepNext w:val="0"/>
              <w:keepLines w:val="0"/>
              <w:pageBreakBefore w:val="0"/>
              <w:widowControl w:val="0"/>
              <w:kinsoku/>
              <w:wordWrap/>
              <w:overflowPunct w:val="0"/>
              <w:topLinePunct w:val="0"/>
              <w:autoSpaceDE/>
              <w:autoSpaceDN/>
              <w:bidi w:val="0"/>
              <w:adjustRightInd/>
              <w:snapToGrid/>
              <w:spacing w:line="280" w:lineRule="exact"/>
              <w:jc w:val="center"/>
              <w:rPr>
                <w:rFonts w:ascii="方正黑体_GBK" w:hAnsi="方正黑体_GBK" w:eastAsia="方正黑体_GBK" w:cs="方正黑体_GBK"/>
                <w:sz w:val="18"/>
                <w:szCs w:val="18"/>
              </w:rPr>
            </w:pPr>
          </w:p>
        </w:tc>
        <w:tc>
          <w:tcPr>
            <w:tcW w:w="3667" w:type="dxa"/>
            <w:tcBorders>
              <w:tl2br w:val="nil"/>
              <w:tr2bl w:val="nil"/>
            </w:tcBorders>
            <w:shd w:val="clear" w:color="auto" w:fill="auto"/>
            <w:noWrap/>
            <w:tcMar>
              <w:top w:w="15" w:type="dxa"/>
              <w:left w:w="15" w:type="dxa"/>
              <w:right w:w="15" w:type="dxa"/>
            </w:tcMar>
            <w:vAlign w:val="center"/>
          </w:tcPr>
          <w:p w14:paraId="0757FAD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方正黑体_GBK" w:hAnsi="方正黑体_GBK" w:eastAsia="方正黑体_GBK" w:cs="方正黑体_GBK"/>
                <w:sz w:val="18"/>
                <w:szCs w:val="18"/>
              </w:rPr>
            </w:pPr>
            <w:r>
              <w:rPr>
                <w:rFonts w:hint="eastAsia" w:ascii="方正黑体_GBK" w:hAnsi="方正黑体_GBK" w:eastAsia="方正黑体_GBK" w:cs="方正黑体_GBK"/>
                <w:kern w:val="0"/>
                <w:sz w:val="18"/>
                <w:szCs w:val="18"/>
                <w:lang w:bidi="ar"/>
              </w:rPr>
              <w:t>违法依据</w:t>
            </w:r>
          </w:p>
        </w:tc>
        <w:tc>
          <w:tcPr>
            <w:tcW w:w="4082" w:type="dxa"/>
            <w:tcBorders>
              <w:tl2br w:val="nil"/>
              <w:tr2bl w:val="nil"/>
            </w:tcBorders>
            <w:shd w:val="clear" w:color="auto" w:fill="auto"/>
            <w:noWrap/>
            <w:tcMar>
              <w:top w:w="15" w:type="dxa"/>
              <w:left w:w="15" w:type="dxa"/>
              <w:right w:w="15" w:type="dxa"/>
            </w:tcMar>
            <w:vAlign w:val="center"/>
          </w:tcPr>
          <w:p w14:paraId="268722C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方正黑体_GBK" w:hAnsi="方正黑体_GBK" w:eastAsia="方正黑体_GBK" w:cs="方正黑体_GBK"/>
                <w:sz w:val="18"/>
                <w:szCs w:val="18"/>
              </w:rPr>
            </w:pPr>
            <w:r>
              <w:rPr>
                <w:rFonts w:hint="eastAsia" w:ascii="方正黑体_GBK" w:hAnsi="方正黑体_GBK" w:eastAsia="方正黑体_GBK" w:cs="方正黑体_GBK"/>
                <w:kern w:val="0"/>
                <w:sz w:val="18"/>
                <w:szCs w:val="18"/>
                <w:lang w:bidi="ar"/>
              </w:rPr>
              <w:t>处罚依据</w:t>
            </w:r>
          </w:p>
        </w:tc>
        <w:tc>
          <w:tcPr>
            <w:tcW w:w="459" w:type="dxa"/>
            <w:vMerge w:val="continue"/>
            <w:tcBorders>
              <w:tl2br w:val="nil"/>
              <w:tr2bl w:val="nil"/>
            </w:tcBorders>
            <w:shd w:val="clear" w:color="auto" w:fill="auto"/>
            <w:noWrap/>
            <w:tcMar>
              <w:top w:w="15" w:type="dxa"/>
              <w:left w:w="15" w:type="dxa"/>
              <w:right w:w="15" w:type="dxa"/>
            </w:tcMar>
            <w:vAlign w:val="center"/>
          </w:tcPr>
          <w:p w14:paraId="2AC13A1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方正黑体_GBK" w:hAnsi="方正黑体_GBK" w:eastAsia="方正黑体_GBK" w:cs="方正黑体_GBK"/>
                <w:sz w:val="18"/>
                <w:szCs w:val="18"/>
              </w:rPr>
            </w:pPr>
          </w:p>
        </w:tc>
        <w:tc>
          <w:tcPr>
            <w:tcW w:w="1829" w:type="dxa"/>
            <w:vMerge w:val="continue"/>
            <w:tcBorders>
              <w:tl2br w:val="nil"/>
              <w:tr2bl w:val="nil"/>
            </w:tcBorders>
            <w:shd w:val="clear" w:color="auto" w:fill="auto"/>
            <w:noWrap/>
            <w:tcMar>
              <w:top w:w="15" w:type="dxa"/>
              <w:left w:w="15" w:type="dxa"/>
              <w:right w:w="15" w:type="dxa"/>
            </w:tcMar>
            <w:vAlign w:val="center"/>
          </w:tcPr>
          <w:p w14:paraId="734D5893">
            <w:pPr>
              <w:keepNext w:val="0"/>
              <w:keepLines w:val="0"/>
              <w:pageBreakBefore w:val="0"/>
              <w:widowControl w:val="0"/>
              <w:kinsoku/>
              <w:wordWrap/>
              <w:overflowPunct w:val="0"/>
              <w:topLinePunct w:val="0"/>
              <w:autoSpaceDE/>
              <w:autoSpaceDN/>
              <w:bidi w:val="0"/>
              <w:adjustRightInd/>
              <w:snapToGrid/>
              <w:spacing w:line="280" w:lineRule="exact"/>
              <w:jc w:val="center"/>
              <w:rPr>
                <w:rFonts w:ascii="方正黑体_GBK" w:hAnsi="方正黑体_GBK" w:eastAsia="方正黑体_GBK" w:cs="方正黑体_GBK"/>
                <w:sz w:val="18"/>
                <w:szCs w:val="18"/>
              </w:rPr>
            </w:pPr>
          </w:p>
        </w:tc>
        <w:tc>
          <w:tcPr>
            <w:tcW w:w="2655" w:type="dxa"/>
            <w:vMerge w:val="continue"/>
            <w:tcBorders>
              <w:tl2br w:val="nil"/>
              <w:tr2bl w:val="nil"/>
            </w:tcBorders>
            <w:shd w:val="clear" w:color="auto" w:fill="auto"/>
            <w:noWrap/>
            <w:tcMar>
              <w:top w:w="15" w:type="dxa"/>
              <w:left w:w="15" w:type="dxa"/>
              <w:right w:w="15" w:type="dxa"/>
            </w:tcMar>
            <w:vAlign w:val="center"/>
          </w:tcPr>
          <w:p w14:paraId="2EB632D6">
            <w:pPr>
              <w:keepNext w:val="0"/>
              <w:keepLines w:val="0"/>
              <w:pageBreakBefore w:val="0"/>
              <w:widowControl w:val="0"/>
              <w:kinsoku/>
              <w:wordWrap/>
              <w:overflowPunct w:val="0"/>
              <w:topLinePunct w:val="0"/>
              <w:autoSpaceDE/>
              <w:autoSpaceDN/>
              <w:bidi w:val="0"/>
              <w:adjustRightInd/>
              <w:snapToGrid/>
              <w:spacing w:line="280" w:lineRule="exact"/>
              <w:jc w:val="center"/>
              <w:rPr>
                <w:rFonts w:ascii="方正黑体_GBK" w:hAnsi="方正黑体_GBK" w:eastAsia="方正黑体_GBK" w:cs="方正黑体_GBK"/>
                <w:sz w:val="18"/>
                <w:szCs w:val="18"/>
              </w:rPr>
            </w:pPr>
          </w:p>
        </w:tc>
      </w:tr>
      <w:tr w14:paraId="5AB4F3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11A0EC7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1</w:t>
            </w:r>
          </w:p>
        </w:tc>
        <w:tc>
          <w:tcPr>
            <w:tcW w:w="1005" w:type="dxa"/>
            <w:vMerge w:val="restart"/>
            <w:tcBorders>
              <w:tl2br w:val="nil"/>
              <w:tr2bl w:val="nil"/>
            </w:tcBorders>
            <w:shd w:val="clear" w:color="auto" w:fill="auto"/>
            <w:tcMar>
              <w:top w:w="15" w:type="dxa"/>
              <w:left w:w="15" w:type="dxa"/>
              <w:right w:w="15" w:type="dxa"/>
            </w:tcMar>
            <w:vAlign w:val="center"/>
          </w:tcPr>
          <w:p w14:paraId="5ED324A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构成提请关闭煤矿的违法行为</w:t>
            </w:r>
          </w:p>
        </w:tc>
        <w:tc>
          <w:tcPr>
            <w:tcW w:w="3667" w:type="dxa"/>
            <w:vMerge w:val="restart"/>
            <w:tcBorders>
              <w:tl2br w:val="nil"/>
              <w:tr2bl w:val="nil"/>
            </w:tcBorders>
            <w:shd w:val="clear" w:color="auto" w:fill="auto"/>
            <w:tcMar>
              <w:top w:w="15" w:type="dxa"/>
              <w:left w:w="15" w:type="dxa"/>
              <w:right w:w="15" w:type="dxa"/>
            </w:tcMar>
            <w:vAlign w:val="center"/>
          </w:tcPr>
          <w:p w14:paraId="3BE0873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5"/>
                <w:kern w:val="0"/>
                <w:sz w:val="18"/>
                <w:szCs w:val="18"/>
                <w:u w:val="none"/>
                <w:lang w:bidi="ar"/>
              </w:rPr>
            </w:pPr>
            <w:r>
              <w:rPr>
                <w:rFonts w:hint="eastAsia" w:ascii="仿宋_GB2312" w:hAnsi="宋体" w:eastAsia="仿宋_GB2312" w:cs="仿宋_GB2312"/>
                <w:spacing w:val="-5"/>
                <w:kern w:val="0"/>
                <w:sz w:val="18"/>
                <w:szCs w:val="18"/>
                <w:u w:val="none"/>
                <w:lang w:bidi="ar"/>
              </w:rPr>
              <w:t>《安全生产法》第一百一十三条 生产经营单位存在下列情形之一的，负有安全生产监督管理职责的部门应当提请地方人民政府予以关闭，有关部门应当依法吊销其有关证照。生产经营单位主要负责人五年内不得担任任何生产经营单位的主要负责人；情节严重的，终身不得担任本行业生产经营单位的主要负责人：</w:t>
            </w:r>
          </w:p>
          <w:p w14:paraId="6FD8D81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5"/>
                <w:kern w:val="0"/>
                <w:sz w:val="18"/>
                <w:szCs w:val="18"/>
                <w:u w:val="none"/>
                <w:lang w:bidi="ar"/>
              </w:rPr>
            </w:pPr>
            <w:r>
              <w:rPr>
                <w:rFonts w:hint="eastAsia" w:ascii="仿宋_GB2312" w:hAnsi="宋体" w:eastAsia="仿宋_GB2312" w:cs="仿宋_GB2312"/>
                <w:spacing w:val="-5"/>
                <w:kern w:val="0"/>
                <w:sz w:val="18"/>
                <w:szCs w:val="18"/>
                <w:u w:val="none"/>
                <w:lang w:bidi="ar"/>
              </w:rPr>
              <w:t>（一）存在重大事故隐患，一百八十日内三次或者一年内四次受到本法规定的行政处罚的；</w:t>
            </w:r>
          </w:p>
          <w:p w14:paraId="1FE3132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5"/>
                <w:kern w:val="0"/>
                <w:sz w:val="18"/>
                <w:szCs w:val="18"/>
                <w:u w:val="none"/>
                <w:lang w:bidi="ar"/>
              </w:rPr>
            </w:pPr>
            <w:r>
              <w:rPr>
                <w:rFonts w:hint="eastAsia" w:ascii="仿宋_GB2312" w:hAnsi="宋体" w:eastAsia="仿宋_GB2312" w:cs="仿宋_GB2312"/>
                <w:spacing w:val="-5"/>
                <w:kern w:val="0"/>
                <w:sz w:val="18"/>
                <w:szCs w:val="18"/>
                <w:u w:val="none"/>
                <w:lang w:bidi="ar"/>
              </w:rPr>
              <w:t>（二）经停产停业整顿，仍不具备法律、行政法规和国家标准或者行业标准规定的安全生产条件的；</w:t>
            </w:r>
          </w:p>
          <w:p w14:paraId="1D7C123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5"/>
                <w:kern w:val="0"/>
                <w:sz w:val="18"/>
                <w:szCs w:val="18"/>
                <w:u w:val="none"/>
                <w:lang w:bidi="ar"/>
              </w:rPr>
            </w:pPr>
            <w:r>
              <w:rPr>
                <w:rFonts w:hint="eastAsia" w:ascii="仿宋_GB2312" w:hAnsi="宋体" w:eastAsia="仿宋_GB2312" w:cs="仿宋_GB2312"/>
                <w:spacing w:val="-5"/>
                <w:kern w:val="0"/>
                <w:sz w:val="18"/>
                <w:szCs w:val="18"/>
                <w:u w:val="none"/>
                <w:lang w:bidi="ar"/>
              </w:rPr>
              <w:t>（三）不具备法律、行政法规和国家标准或者行业标准规定的安全生产条件，导致发生重大、特别重大生产安全事故的；</w:t>
            </w:r>
          </w:p>
          <w:p w14:paraId="29E53F5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5"/>
                <w:kern w:val="0"/>
                <w:sz w:val="18"/>
                <w:szCs w:val="18"/>
                <w:u w:val="none"/>
                <w:lang w:bidi="ar"/>
              </w:rPr>
            </w:pPr>
            <w:r>
              <w:rPr>
                <w:rFonts w:hint="eastAsia" w:ascii="仿宋_GB2312" w:hAnsi="宋体" w:eastAsia="仿宋_GB2312" w:cs="仿宋_GB2312"/>
                <w:spacing w:val="-5"/>
                <w:kern w:val="0"/>
                <w:sz w:val="18"/>
                <w:szCs w:val="18"/>
                <w:u w:val="none"/>
                <w:lang w:bidi="ar"/>
              </w:rPr>
              <w:t>（四）拒不执行负有安全生产监督管理职责的部门作出的停产停业整顿决定的。</w:t>
            </w:r>
          </w:p>
          <w:p w14:paraId="1045E4B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bidi="ar"/>
              </w:rPr>
              <w:t>《煤矿安全生产条例》第七十条 煤矿企业存在下列情形之一的，应当提请县级以上地方人民政府予以关闭：</w:t>
            </w:r>
          </w:p>
          <w:p w14:paraId="2D0FEFA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bidi="ar"/>
              </w:rPr>
              <w:t>（一）未依法取得安全生产许可证等擅自进行生产的；</w:t>
            </w:r>
          </w:p>
          <w:p w14:paraId="6428685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bidi="ar"/>
              </w:rPr>
              <w:t>（二）3个月内2次或者2次以上发现有重大事故隐患仍然进行生产的；</w:t>
            </w:r>
          </w:p>
          <w:p w14:paraId="660DAEE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bidi="ar"/>
              </w:rPr>
              <w:t>（三）经地方人民政府组织的专家论证在现有技术条件下难以有效防治重大灾害的；</w:t>
            </w:r>
          </w:p>
          <w:p w14:paraId="7C5EE56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pacing w:val="-5"/>
                <w:sz w:val="18"/>
                <w:szCs w:val="18"/>
              </w:rPr>
            </w:pPr>
            <w:r>
              <w:rPr>
                <w:rFonts w:hint="eastAsia" w:ascii="仿宋_GB2312" w:hAnsi="宋体" w:eastAsia="仿宋_GB2312" w:cs="仿宋_GB2312"/>
                <w:spacing w:val="-5"/>
                <w:kern w:val="0"/>
                <w:sz w:val="18"/>
                <w:szCs w:val="18"/>
                <w:lang w:bidi="ar"/>
              </w:rPr>
              <w:t>（四）有《中华人民共和国安全生产法》规定的应当提请关闭的其他情形。</w:t>
            </w:r>
          </w:p>
        </w:tc>
        <w:tc>
          <w:tcPr>
            <w:tcW w:w="4082" w:type="dxa"/>
            <w:vMerge w:val="restart"/>
            <w:tcBorders>
              <w:tl2br w:val="nil"/>
              <w:tr2bl w:val="nil"/>
            </w:tcBorders>
            <w:shd w:val="clear" w:color="auto" w:fill="auto"/>
            <w:tcMar>
              <w:top w:w="15" w:type="dxa"/>
              <w:left w:w="15" w:type="dxa"/>
              <w:right w:w="15" w:type="dxa"/>
            </w:tcMar>
            <w:vAlign w:val="center"/>
          </w:tcPr>
          <w:p w14:paraId="7B6EEC0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《安全生产法》第一百一十三条 生产经营单位存在下列情形之一的，负有安全生产监督管理职责的部门应当提请地方人民政府予以关闭，有关部门应当依法吊销其有关证照。生产经营单位主要负责人五年内不得担任任何生产经营单位的主要负责人；情节严重的，终身不得担任本行业生产经营单位的主要负责人：</w:t>
            </w:r>
          </w:p>
          <w:p w14:paraId="397983C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（一）存在重大事故隐患，一百八十日内三次或者一年内四次受到本法规定的行政处罚的；</w:t>
            </w:r>
          </w:p>
          <w:p w14:paraId="4A05796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（二）经停产停业整顿，仍不具备法律、行政法规和国家标准或者行业标准规定的安全生产条件的；</w:t>
            </w:r>
          </w:p>
          <w:p w14:paraId="5D95286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（三）不具备法律、行政法规和国家标准或者行业标准规定的安全生产条件，导致发生重大、特别重大生产安全事故的；</w:t>
            </w:r>
          </w:p>
          <w:p w14:paraId="29DEFD7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eastAsia="zh-CN" w:bidi="ar"/>
              </w:rPr>
            </w:pPr>
            <w:r>
              <w:rPr>
                <w:rFonts w:hint="eastAsia" w:ascii="仿宋_GB2312" w:hAnsi="宋体" w:eastAsia="仿宋_GB2312" w:cs="仿宋_GB2312"/>
                <w:kern w:val="0"/>
                <w:sz w:val="18"/>
                <w:szCs w:val="18"/>
                <w:lang w:bidi="ar"/>
              </w:rPr>
              <w:t>（四）拒不执行负有安全生产监督管理职责的部门作出的停产停业整顿决定的</w:t>
            </w:r>
            <w:r>
              <w:rPr>
                <w:rFonts w:hint="eastAsia" w:ascii="仿宋_GB2312" w:hAnsi="宋体" w:eastAsia="仿宋_GB2312" w:cs="仿宋_GB2312"/>
                <w:kern w:val="0"/>
                <w:sz w:val="18"/>
                <w:szCs w:val="18"/>
                <w:lang w:eastAsia="zh-CN" w:bidi="ar"/>
              </w:rPr>
              <w:t>。</w:t>
            </w:r>
          </w:p>
          <w:p w14:paraId="1A0E914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《煤矿安全生产条例》第七十条 煤矿企业存在下列情形之一的，应当提请县级以上地方人民政府予以关闭：</w:t>
            </w:r>
          </w:p>
          <w:p w14:paraId="6487331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（一）未依法取得安全生产许可证等擅自进行生产的；</w:t>
            </w:r>
          </w:p>
          <w:p w14:paraId="0E44192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（二）3个月内2次或者2次以上发现有重大事故隐患仍然进行生产的；</w:t>
            </w:r>
          </w:p>
          <w:p w14:paraId="6781ED4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（三）经地方人民政府组织的专家论证在现有技术条件下难以有效防治重大灾害的；</w:t>
            </w:r>
          </w:p>
          <w:p w14:paraId="4FFE367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（四）有《中华人民共和国安全生产法》规定的应当提请关闭的其他情形。</w:t>
            </w:r>
          </w:p>
        </w:tc>
        <w:tc>
          <w:tcPr>
            <w:tcW w:w="459" w:type="dxa"/>
            <w:tcBorders>
              <w:tl2br w:val="nil"/>
              <w:tr2bl w:val="nil"/>
            </w:tcBorders>
            <w:shd w:val="clear" w:color="auto" w:fill="auto"/>
            <w:noWrap/>
            <w:tcMar>
              <w:top w:w="15" w:type="dxa"/>
              <w:left w:w="15" w:type="dxa"/>
              <w:right w:w="15" w:type="dxa"/>
            </w:tcMar>
            <w:vAlign w:val="center"/>
          </w:tcPr>
          <w:p w14:paraId="1CDACA9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3BA3A72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1EAAE66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91AB3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7AF4B3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DEB081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7637D4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A736BF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E38FC1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4B8FE02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7866E26D">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287CF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E50251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7E236C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B7E3E0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4FA862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BCB728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3096722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58A384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A3514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435BAE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BC2344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C5B83B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CB21C9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ECF8E2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1F0476AE">
            <w:pPr>
              <w:keepNext w:val="0"/>
              <w:keepLines w:val="0"/>
              <w:pageBreakBefore w:val="0"/>
              <w:widowControl w:val="0"/>
              <w:kinsoku/>
              <w:wordWrap/>
              <w:overflowPunct w:val="0"/>
              <w:topLinePunct w:val="0"/>
              <w:autoSpaceDE/>
              <w:autoSpaceDN/>
              <w:bidi w:val="0"/>
              <w:adjustRightInd/>
              <w:snapToGrid/>
              <w:spacing w:line="280" w:lineRule="exact"/>
              <w:ind w:firstLine="540" w:firstLineChars="300"/>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val="en-US" w:eastAsia="zh-CN" w:bidi="ar"/>
              </w:rPr>
              <w:t>无</w:t>
            </w:r>
          </w:p>
        </w:tc>
        <w:tc>
          <w:tcPr>
            <w:tcW w:w="2655" w:type="dxa"/>
            <w:tcBorders>
              <w:tl2br w:val="nil"/>
              <w:tr2bl w:val="nil"/>
            </w:tcBorders>
            <w:shd w:val="clear" w:color="auto" w:fill="auto"/>
            <w:tcMar>
              <w:top w:w="15" w:type="dxa"/>
              <w:left w:w="15" w:type="dxa"/>
              <w:right w:w="15" w:type="dxa"/>
            </w:tcMar>
            <w:vAlign w:val="center"/>
          </w:tcPr>
          <w:p w14:paraId="4704D127">
            <w:pPr>
              <w:keepNext w:val="0"/>
              <w:keepLines w:val="0"/>
              <w:pageBreakBefore w:val="0"/>
              <w:widowControl w:val="0"/>
              <w:kinsoku/>
              <w:wordWrap/>
              <w:overflowPunct w:val="0"/>
              <w:topLinePunct w:val="0"/>
              <w:autoSpaceDE/>
              <w:autoSpaceDN/>
              <w:bidi w:val="0"/>
              <w:adjustRightInd/>
              <w:snapToGrid/>
              <w:spacing w:line="280" w:lineRule="exact"/>
              <w:ind w:firstLine="1260" w:firstLineChars="700"/>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val="en-US" w:eastAsia="zh-CN" w:bidi="ar"/>
              </w:rPr>
              <w:t>无</w:t>
            </w:r>
          </w:p>
        </w:tc>
      </w:tr>
      <w:tr w14:paraId="34B01D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D8D1C8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652298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7FDEB6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D6CE9D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DF06DE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64916D0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①存在重大事故隐患，一百八十日内三次或者一年内四次受到本法规定的行政处罚的；②经停产停业整顿，仍不具备法律、行政法规和国家标准或者行业标准规定的安全生产条件的；③不具备法律、行政法规和国家标准或者行业标准规定的安全生产条件，导致发生重大、特别重大生产安全事故的；④拒不执行负有安全生产监督管理职责的部门作出的停产停业整顿决定的；⑤未依法取得安全生产许可证等擅自进行生产的；⑥3个月内2次或者2次以上发现有重大事故隐患仍然进行生产的；⑦经地方人民政府组织的专家论证在现有技术条件下难以有效防治重大灾害的。</w:t>
            </w:r>
          </w:p>
        </w:tc>
        <w:tc>
          <w:tcPr>
            <w:tcW w:w="2655" w:type="dxa"/>
            <w:tcBorders>
              <w:tl2br w:val="nil"/>
              <w:tr2bl w:val="nil"/>
            </w:tcBorders>
            <w:shd w:val="clear" w:color="auto" w:fill="auto"/>
            <w:tcMar>
              <w:top w:w="15" w:type="dxa"/>
              <w:left w:w="15" w:type="dxa"/>
              <w:right w:w="15" w:type="dxa"/>
            </w:tcMar>
            <w:vAlign w:val="center"/>
          </w:tcPr>
          <w:p w14:paraId="42CE453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负有安全生产监督管理职责的部门应当提请地方人民政府予以关闭</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有《中华人民共和国安全生产法》规定的应当提请关闭的其他情形</w:t>
            </w:r>
            <w:r>
              <w:rPr>
                <w:rFonts w:hint="eastAsia" w:ascii="仿宋_GB2312" w:hAnsi="宋体" w:eastAsia="仿宋_GB2312" w:cs="仿宋_GB2312"/>
                <w:kern w:val="0"/>
                <w:sz w:val="18"/>
                <w:szCs w:val="18"/>
                <w:lang w:val="en-US" w:eastAsia="zh-CN" w:bidi="ar"/>
              </w:rPr>
              <w:t>的</w:t>
            </w:r>
            <w:r>
              <w:rPr>
                <w:rFonts w:hint="eastAsia" w:ascii="仿宋_GB2312" w:hAnsi="宋体" w:eastAsia="仿宋_GB2312" w:cs="仿宋_GB2312"/>
                <w:kern w:val="0"/>
                <w:sz w:val="18"/>
                <w:szCs w:val="18"/>
                <w:lang w:bidi="ar"/>
              </w:rPr>
              <w:t>有关部门应当依法吊销其有关证照</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生产经营单位主要负责人五年内不得担任任何生产经营单位的主要负责人。</w:t>
            </w:r>
            <w:del w:id="1167" w:author="LV" w:date="2026-07-27T09:42:39Z">
              <w:r>
                <w:rPr>
                  <w:rFonts w:hint="eastAsia" w:ascii="仿宋_GB2312" w:hAnsi="宋体" w:eastAsia="仿宋_GB2312" w:cs="仿宋_GB2312"/>
                  <w:kern w:val="0"/>
                  <w:sz w:val="18"/>
                  <w:szCs w:val="18"/>
                  <w:lang w:bidi="ar"/>
                </w:rPr>
                <w:delText>。</w:delText>
              </w:r>
            </w:del>
          </w:p>
        </w:tc>
      </w:tr>
      <w:tr w14:paraId="23D590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7" w:hRule="atLeast"/>
          <w:jc w:val="center"/>
        </w:trPr>
        <w:tc>
          <w:tcPr>
            <w:tcW w:w="418" w:type="dxa"/>
            <w:vMerge w:val="continue"/>
            <w:tcBorders>
              <w:bottom w:val="single" w:color="auto" w:sz="4" w:space="0"/>
              <w:tl2br w:val="nil"/>
              <w:tr2bl w:val="nil"/>
            </w:tcBorders>
            <w:shd w:val="clear" w:color="auto" w:fill="auto"/>
            <w:noWrap/>
            <w:tcMar>
              <w:top w:w="15" w:type="dxa"/>
              <w:left w:w="15" w:type="dxa"/>
              <w:right w:w="15" w:type="dxa"/>
            </w:tcMar>
            <w:vAlign w:val="center"/>
          </w:tcPr>
          <w:p w14:paraId="2827233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bottom w:val="single" w:color="auto" w:sz="4" w:space="0"/>
              <w:tl2br w:val="nil"/>
              <w:tr2bl w:val="nil"/>
            </w:tcBorders>
            <w:shd w:val="clear" w:color="auto" w:fill="auto"/>
            <w:tcMar>
              <w:top w:w="15" w:type="dxa"/>
              <w:left w:w="15" w:type="dxa"/>
              <w:right w:w="15" w:type="dxa"/>
            </w:tcMar>
            <w:vAlign w:val="center"/>
          </w:tcPr>
          <w:p w14:paraId="44F21DB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bottom w:val="single" w:color="auto" w:sz="4" w:space="0"/>
              <w:tl2br w:val="nil"/>
              <w:tr2bl w:val="nil"/>
            </w:tcBorders>
            <w:shd w:val="clear" w:color="auto" w:fill="auto"/>
            <w:tcMar>
              <w:top w:w="15" w:type="dxa"/>
              <w:left w:w="15" w:type="dxa"/>
              <w:right w:w="15" w:type="dxa"/>
            </w:tcMar>
            <w:vAlign w:val="center"/>
          </w:tcPr>
          <w:p w14:paraId="04D6542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bottom w:val="single" w:color="auto" w:sz="4" w:space="0"/>
              <w:tl2br w:val="nil"/>
              <w:tr2bl w:val="nil"/>
            </w:tcBorders>
            <w:shd w:val="clear" w:color="auto" w:fill="auto"/>
            <w:tcMar>
              <w:top w:w="15" w:type="dxa"/>
              <w:left w:w="15" w:type="dxa"/>
              <w:right w:w="15" w:type="dxa"/>
            </w:tcMar>
            <w:vAlign w:val="center"/>
          </w:tcPr>
          <w:p w14:paraId="1F99D2D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19E37D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3DB704E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具有</w:t>
            </w:r>
            <w:r>
              <w:rPr>
                <w:rFonts w:hint="eastAsia" w:ascii="仿宋_GB2312" w:hAnsi="宋体" w:eastAsia="仿宋_GB2312" w:cs="仿宋_GB2312"/>
                <w:kern w:val="0"/>
                <w:sz w:val="18"/>
                <w:szCs w:val="18"/>
                <w:lang w:val="en-US" w:eastAsia="zh-CN" w:bidi="ar"/>
              </w:rPr>
              <w:t>一般处罚适用条件</w:t>
            </w:r>
            <w:r>
              <w:rPr>
                <w:rFonts w:hint="eastAsia" w:ascii="仿宋_GB2312" w:hAnsi="宋体" w:eastAsia="仿宋_GB2312" w:cs="仿宋_GB2312"/>
                <w:kern w:val="0"/>
                <w:sz w:val="18"/>
                <w:szCs w:val="18"/>
                <w:lang w:bidi="ar"/>
              </w:rPr>
              <w:t>七种情形之一且情节严重的。</w:t>
            </w:r>
          </w:p>
        </w:tc>
        <w:tc>
          <w:tcPr>
            <w:tcW w:w="2655" w:type="dxa"/>
            <w:tcBorders>
              <w:tl2br w:val="nil"/>
              <w:tr2bl w:val="nil"/>
            </w:tcBorders>
            <w:shd w:val="clear" w:color="auto" w:fill="auto"/>
            <w:tcMar>
              <w:top w:w="15" w:type="dxa"/>
              <w:left w:w="15" w:type="dxa"/>
              <w:right w:w="15" w:type="dxa"/>
            </w:tcMar>
            <w:vAlign w:val="center"/>
          </w:tcPr>
          <w:p w14:paraId="0116F674">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1168" w:author="LV" w:date="2026-07-14T15:55:07Z"/>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负有安全生产监督管理职责的部门应当提请地方人民政府予以关闭</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有《中华人民共和国安全生产法》规定的应当提请关闭的其他情形</w:t>
            </w:r>
            <w:r>
              <w:rPr>
                <w:rFonts w:hint="eastAsia" w:ascii="仿宋_GB2312" w:hAnsi="宋体" w:eastAsia="仿宋_GB2312" w:cs="仿宋_GB2312"/>
                <w:kern w:val="0"/>
                <w:sz w:val="18"/>
                <w:szCs w:val="18"/>
                <w:lang w:val="en-US" w:eastAsia="zh-CN" w:bidi="ar"/>
              </w:rPr>
              <w:t>的</w:t>
            </w:r>
            <w:r>
              <w:rPr>
                <w:rFonts w:hint="eastAsia" w:ascii="仿宋_GB2312" w:hAnsi="宋体" w:eastAsia="仿宋_GB2312" w:cs="仿宋_GB2312"/>
                <w:kern w:val="0"/>
                <w:sz w:val="18"/>
                <w:szCs w:val="18"/>
                <w:lang w:bidi="ar"/>
              </w:rPr>
              <w:t>有关部门应当依法吊销其有关证照</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生产经营单位主要负责人终身不得担任本行业生产经营单位的主要负责人。</w:t>
            </w:r>
          </w:p>
          <w:p w14:paraId="5DB533AE">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1169" w:author="LV" w:date="2026-07-14T15:55:08Z"/>
                <w:rFonts w:hint="eastAsia" w:ascii="仿宋_GB2312" w:hAnsi="宋体" w:eastAsia="仿宋_GB2312" w:cs="仿宋_GB2312"/>
                <w:kern w:val="0"/>
                <w:sz w:val="18"/>
                <w:szCs w:val="18"/>
                <w:lang w:bidi="ar"/>
              </w:rPr>
            </w:pPr>
          </w:p>
          <w:p w14:paraId="71C81A18">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1170" w:author="LV" w:date="2026-07-14T15:55:08Z"/>
                <w:rFonts w:hint="eastAsia" w:ascii="仿宋_GB2312" w:hAnsi="宋体" w:eastAsia="仿宋_GB2312" w:cs="仿宋_GB2312"/>
                <w:kern w:val="0"/>
                <w:sz w:val="18"/>
                <w:szCs w:val="18"/>
                <w:lang w:bidi="ar"/>
              </w:rPr>
            </w:pPr>
          </w:p>
          <w:p w14:paraId="3021164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tc>
      </w:tr>
      <w:tr w14:paraId="635704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op w:val="single" w:color="auto" w:sz="4" w:space="0"/>
              <w:left w:val="single" w:color="auto" w:sz="4" w:space="0"/>
              <w:bottom w:val="single" w:color="auto" w:sz="4" w:space="0"/>
              <w:right w:val="single" w:color="auto" w:sz="4" w:space="0"/>
              <w:tl2br w:val="nil"/>
              <w:tr2bl w:val="nil"/>
            </w:tcBorders>
            <w:shd w:val="clear" w:color="auto" w:fill="auto"/>
            <w:noWrap/>
            <w:tcMar>
              <w:top w:w="15" w:type="dxa"/>
              <w:left w:w="15" w:type="dxa"/>
              <w:right w:w="15" w:type="dxa"/>
            </w:tcMar>
            <w:vAlign w:val="center"/>
          </w:tcPr>
          <w:p w14:paraId="5B49921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bidi="ar"/>
              </w:rPr>
              <w:t>2</w:t>
            </w:r>
          </w:p>
        </w:tc>
        <w:tc>
          <w:tcPr>
            <w:tcW w:w="1005" w:type="dxa"/>
            <w:vMerge w:val="restart"/>
            <w:tcBorders>
              <w:top w:val="single" w:color="auto" w:sz="4" w:space="0"/>
              <w:left w:val="single" w:color="auto" w:sz="4" w:space="0"/>
              <w:bottom w:val="single" w:color="auto" w:sz="4" w:space="0"/>
              <w:right w:val="single" w:color="auto" w:sz="4" w:space="0"/>
              <w:tl2br w:val="nil"/>
              <w:tr2bl w:val="nil"/>
            </w:tcBorders>
            <w:shd w:val="clear" w:color="auto" w:fill="auto"/>
            <w:tcMar>
              <w:top w:w="15" w:type="dxa"/>
              <w:left w:w="15" w:type="dxa"/>
              <w:right w:w="15" w:type="dxa"/>
            </w:tcMar>
            <w:vAlign w:val="center"/>
          </w:tcPr>
          <w:p w14:paraId="67EA092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bidi="ar"/>
              </w:rPr>
              <w:t>关闭的煤矿擅自恢复生产的</w:t>
            </w:r>
          </w:p>
        </w:tc>
        <w:tc>
          <w:tcPr>
            <w:tcW w:w="3667" w:type="dxa"/>
            <w:vMerge w:val="restart"/>
            <w:tcBorders>
              <w:top w:val="single" w:color="auto" w:sz="4" w:space="0"/>
              <w:left w:val="single" w:color="auto" w:sz="4" w:space="0"/>
              <w:bottom w:val="single" w:color="auto" w:sz="4" w:space="0"/>
              <w:right w:val="single" w:color="auto" w:sz="4" w:space="0"/>
              <w:tl2br w:val="nil"/>
              <w:tr2bl w:val="nil"/>
            </w:tcBorders>
            <w:shd w:val="clear" w:color="auto" w:fill="auto"/>
            <w:tcMar>
              <w:top w:w="15" w:type="dxa"/>
              <w:left w:w="15" w:type="dxa"/>
              <w:right w:w="15" w:type="dxa"/>
            </w:tcMar>
            <w:vAlign w:val="center"/>
          </w:tcPr>
          <w:p w14:paraId="0703479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bidi="ar"/>
              </w:rPr>
              <w:t>《安全生产许可证条例》第二条第二款  企业未取得安全生产许可证的，不得从事生产活动。</w:t>
            </w:r>
          </w:p>
          <w:p w14:paraId="2B5DBD9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bidi="ar"/>
              </w:rPr>
              <w:t>《煤矿安全生产条例》第十七条  煤矿企业进行生产，应当依照《安全生产许可证条例》的规定取得安全生产许可证。未取得安全生产许可证的，不得生产。</w:t>
            </w:r>
          </w:p>
        </w:tc>
        <w:tc>
          <w:tcPr>
            <w:tcW w:w="4082" w:type="dxa"/>
            <w:vMerge w:val="restart"/>
            <w:tcBorders>
              <w:top w:val="single" w:color="auto" w:sz="4" w:space="0"/>
              <w:left w:val="single" w:color="auto" w:sz="4" w:space="0"/>
              <w:bottom w:val="single" w:color="auto" w:sz="4" w:space="0"/>
              <w:right w:val="single" w:color="auto" w:sz="4" w:space="0"/>
              <w:tl2br w:val="nil"/>
              <w:tr2bl w:val="nil"/>
            </w:tcBorders>
            <w:shd w:val="clear" w:color="auto" w:fill="auto"/>
            <w:tcMar>
              <w:top w:w="15" w:type="dxa"/>
              <w:left w:w="15" w:type="dxa"/>
              <w:right w:w="15" w:type="dxa"/>
            </w:tcMar>
            <w:vAlign w:val="center"/>
          </w:tcPr>
          <w:p w14:paraId="6CE3BD59">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1171" w:author="LV" w:date="2026-07-14T15:55:35Z"/>
                <w:rFonts w:hint="eastAsia" w:ascii="仿宋_GB2312" w:hAnsi="宋体" w:eastAsia="仿宋_GB2312" w:cs="仿宋_GB2312"/>
                <w:spacing w:val="-5"/>
                <w:kern w:val="0"/>
                <w:sz w:val="18"/>
                <w:szCs w:val="18"/>
                <w:lang w:bidi="ar"/>
              </w:rPr>
            </w:pPr>
          </w:p>
          <w:p w14:paraId="0CC323C1">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1172" w:author="LV" w:date="2026-07-14T15:55:35Z"/>
                <w:rFonts w:hint="eastAsia" w:ascii="仿宋_GB2312" w:hAnsi="宋体" w:eastAsia="仿宋_GB2312" w:cs="仿宋_GB2312"/>
                <w:spacing w:val="-5"/>
                <w:kern w:val="0"/>
                <w:sz w:val="18"/>
                <w:szCs w:val="18"/>
                <w:lang w:bidi="ar"/>
              </w:rPr>
            </w:pPr>
          </w:p>
          <w:p w14:paraId="3915D9BB">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1173" w:author="LV" w:date="2026-07-14T15:55:36Z"/>
                <w:rFonts w:hint="eastAsia" w:ascii="仿宋_GB2312" w:hAnsi="宋体" w:eastAsia="仿宋_GB2312" w:cs="仿宋_GB2312"/>
                <w:spacing w:val="-5"/>
                <w:kern w:val="0"/>
                <w:sz w:val="18"/>
                <w:szCs w:val="18"/>
                <w:lang w:bidi="ar"/>
              </w:rPr>
            </w:pPr>
          </w:p>
          <w:p w14:paraId="648C1782">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1174" w:author="LV" w:date="2026-07-14T15:55:37Z"/>
                <w:rFonts w:hint="eastAsia" w:ascii="仿宋_GB2312" w:hAnsi="宋体" w:eastAsia="仿宋_GB2312" w:cs="仿宋_GB2312"/>
                <w:spacing w:val="-5"/>
                <w:kern w:val="0"/>
                <w:sz w:val="18"/>
                <w:szCs w:val="18"/>
                <w:lang w:bidi="ar"/>
              </w:rPr>
            </w:pPr>
          </w:p>
          <w:p w14:paraId="00937AF6">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1175" w:author="LV" w:date="2026-07-14T15:55:37Z"/>
                <w:rFonts w:hint="eastAsia" w:ascii="仿宋_GB2312" w:hAnsi="宋体" w:eastAsia="仿宋_GB2312" w:cs="仿宋_GB2312"/>
                <w:spacing w:val="-5"/>
                <w:kern w:val="0"/>
                <w:sz w:val="18"/>
                <w:szCs w:val="18"/>
                <w:lang w:bidi="ar"/>
              </w:rPr>
            </w:pPr>
          </w:p>
          <w:p w14:paraId="65518D9C">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1176" w:author="LV" w:date="2026-07-14T15:55:41Z"/>
                <w:rFonts w:hint="eastAsia" w:ascii="仿宋_GB2312" w:hAnsi="宋体" w:eastAsia="仿宋_GB2312" w:cs="仿宋_GB2312"/>
                <w:spacing w:val="-5"/>
                <w:kern w:val="0"/>
                <w:sz w:val="18"/>
                <w:szCs w:val="18"/>
                <w:lang w:bidi="ar"/>
              </w:rPr>
            </w:pPr>
          </w:p>
          <w:p w14:paraId="7D210C83">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1177" w:author="LV" w:date="2026-07-14T15:55:41Z"/>
                <w:rFonts w:hint="eastAsia" w:ascii="仿宋_GB2312" w:hAnsi="宋体" w:eastAsia="仿宋_GB2312" w:cs="仿宋_GB2312"/>
                <w:spacing w:val="-5"/>
                <w:kern w:val="0"/>
                <w:sz w:val="18"/>
                <w:szCs w:val="18"/>
                <w:lang w:bidi="ar"/>
              </w:rPr>
            </w:pPr>
          </w:p>
          <w:p w14:paraId="2CC50534">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1178" w:author="LV" w:date="2026-07-14T15:55:41Z"/>
                <w:rFonts w:hint="eastAsia" w:ascii="仿宋_GB2312" w:hAnsi="宋体" w:eastAsia="仿宋_GB2312" w:cs="仿宋_GB2312"/>
                <w:spacing w:val="-5"/>
                <w:kern w:val="0"/>
                <w:sz w:val="18"/>
                <w:szCs w:val="18"/>
                <w:lang w:bidi="ar"/>
              </w:rPr>
            </w:pPr>
          </w:p>
          <w:p w14:paraId="53877B09">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1179" w:author="LV" w:date="2026-07-14T15:55:42Z"/>
                <w:rFonts w:hint="eastAsia" w:ascii="仿宋_GB2312" w:hAnsi="宋体" w:eastAsia="仿宋_GB2312" w:cs="仿宋_GB2312"/>
                <w:spacing w:val="-5"/>
                <w:kern w:val="0"/>
                <w:sz w:val="18"/>
                <w:szCs w:val="18"/>
                <w:lang w:bidi="ar"/>
              </w:rPr>
            </w:pPr>
          </w:p>
          <w:p w14:paraId="1603623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bidi="ar"/>
              </w:rPr>
              <w:t>《煤矿安全生产条例》第六十一条  未依法取得安全生产许可证等擅自进行煤矿生产的，应当责令立即停止生产，没收违法所得和开采出的煤炭以及采掘设备；违法所得在10万元以上的，并处违法所得2倍以上5倍以下的罚款；没有违法所得或者违法所得不足10万元的，并处10万元以上20万元以下的罚款。</w:t>
            </w:r>
          </w:p>
          <w:p w14:paraId="1FDD4E36">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1180" w:author="LV" w:date="2026-07-14T15:55:28Z"/>
                <w:rFonts w:hint="eastAsia" w:ascii="仿宋_GB2312" w:hAnsi="宋体" w:eastAsia="仿宋_GB2312" w:cs="仿宋_GB2312"/>
                <w:spacing w:val="-5"/>
                <w:kern w:val="0"/>
                <w:sz w:val="18"/>
                <w:szCs w:val="18"/>
                <w:lang w:val="en-US" w:eastAsia="zh-CN" w:bidi="ar"/>
              </w:rPr>
            </w:pPr>
            <w:r>
              <w:rPr>
                <w:rFonts w:hint="eastAsia" w:ascii="仿宋_GB2312" w:hAnsi="宋体" w:eastAsia="仿宋_GB2312" w:cs="仿宋_GB2312"/>
                <w:spacing w:val="-5"/>
                <w:kern w:val="0"/>
                <w:sz w:val="18"/>
                <w:szCs w:val="18"/>
                <w:lang w:bidi="ar"/>
              </w:rPr>
              <w:t>关闭的煤矿企业擅自恢复生产的，依照前款规定予以处罚。</w:t>
            </w:r>
            <w:r>
              <w:rPr>
                <w:rFonts w:hint="eastAsia" w:ascii="仿宋_GB2312" w:hAnsi="宋体" w:eastAsia="仿宋_GB2312" w:cs="仿宋_GB2312"/>
                <w:spacing w:val="-5"/>
                <w:kern w:val="0"/>
                <w:sz w:val="18"/>
                <w:szCs w:val="18"/>
                <w:lang w:val="en-US" w:eastAsia="zh-CN" w:bidi="ar"/>
              </w:rPr>
              <w:t xml:space="preserve"> </w:t>
            </w:r>
          </w:p>
          <w:p w14:paraId="7B6FD4C4">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1181" w:author="LV" w:date="2026-07-14T15:55:28Z"/>
                <w:rFonts w:hint="eastAsia" w:ascii="仿宋_GB2312" w:hAnsi="宋体" w:eastAsia="仿宋_GB2312" w:cs="仿宋_GB2312"/>
                <w:spacing w:val="-5"/>
                <w:kern w:val="0"/>
                <w:sz w:val="18"/>
                <w:szCs w:val="18"/>
                <w:lang w:val="en-US" w:eastAsia="zh-CN" w:bidi="ar"/>
              </w:rPr>
            </w:pPr>
          </w:p>
          <w:p w14:paraId="024AFD90">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1182" w:author="LV" w:date="2026-07-14T15:55:43Z"/>
                <w:rFonts w:hint="eastAsia" w:ascii="仿宋_GB2312" w:hAnsi="宋体" w:eastAsia="仿宋_GB2312" w:cs="仿宋_GB2312"/>
                <w:spacing w:val="-5"/>
                <w:kern w:val="0"/>
                <w:sz w:val="18"/>
                <w:szCs w:val="18"/>
                <w:lang w:val="en-US" w:eastAsia="zh-CN" w:bidi="ar"/>
              </w:rPr>
            </w:pPr>
          </w:p>
          <w:p w14:paraId="5AC9D91F">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1183" w:author="LV" w:date="2026-07-14T15:55:43Z"/>
                <w:rFonts w:hint="eastAsia" w:ascii="仿宋_GB2312" w:hAnsi="宋体" w:eastAsia="仿宋_GB2312" w:cs="仿宋_GB2312"/>
                <w:spacing w:val="-5"/>
                <w:kern w:val="0"/>
                <w:sz w:val="18"/>
                <w:szCs w:val="18"/>
                <w:lang w:val="en-US" w:eastAsia="zh-CN" w:bidi="ar"/>
              </w:rPr>
            </w:pPr>
          </w:p>
          <w:p w14:paraId="24A05A1D">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1184" w:author="LV" w:date="2026-07-14T15:55:43Z"/>
                <w:rFonts w:hint="eastAsia" w:ascii="仿宋_GB2312" w:hAnsi="宋体" w:eastAsia="仿宋_GB2312" w:cs="仿宋_GB2312"/>
                <w:spacing w:val="-5"/>
                <w:kern w:val="0"/>
                <w:sz w:val="18"/>
                <w:szCs w:val="18"/>
                <w:lang w:val="en-US" w:eastAsia="zh-CN" w:bidi="ar"/>
              </w:rPr>
            </w:pPr>
          </w:p>
          <w:p w14:paraId="44BFD911">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1185" w:author="LV" w:date="2026-07-14T15:55:43Z"/>
                <w:rFonts w:hint="eastAsia" w:ascii="仿宋_GB2312" w:hAnsi="宋体" w:eastAsia="仿宋_GB2312" w:cs="仿宋_GB2312"/>
                <w:spacing w:val="-5"/>
                <w:kern w:val="0"/>
                <w:sz w:val="18"/>
                <w:szCs w:val="18"/>
                <w:lang w:val="en-US" w:eastAsia="zh-CN" w:bidi="ar"/>
              </w:rPr>
            </w:pPr>
          </w:p>
          <w:p w14:paraId="24A97314">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1186" w:author="LV" w:date="2026-07-14T15:55:44Z"/>
                <w:rFonts w:hint="eastAsia" w:ascii="仿宋_GB2312" w:hAnsi="宋体" w:eastAsia="仿宋_GB2312" w:cs="仿宋_GB2312"/>
                <w:spacing w:val="-5"/>
                <w:kern w:val="0"/>
                <w:sz w:val="18"/>
                <w:szCs w:val="18"/>
                <w:lang w:val="en-US" w:eastAsia="zh-CN" w:bidi="ar"/>
              </w:rPr>
            </w:pPr>
          </w:p>
          <w:p w14:paraId="74454E71">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1187" w:author="LV" w:date="2026-07-14T15:55:38Z"/>
                <w:rFonts w:hint="eastAsia" w:ascii="仿宋_GB2312" w:hAnsi="宋体" w:eastAsia="仿宋_GB2312" w:cs="仿宋_GB2312"/>
                <w:spacing w:val="-5"/>
                <w:kern w:val="0"/>
                <w:sz w:val="18"/>
                <w:szCs w:val="18"/>
                <w:lang w:val="en-US" w:eastAsia="zh-CN" w:bidi="ar"/>
              </w:rPr>
            </w:pPr>
          </w:p>
          <w:p w14:paraId="7F5259B0">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1188" w:author="LV" w:date="2026-07-14T15:55:38Z"/>
                <w:rFonts w:hint="eastAsia" w:ascii="仿宋_GB2312" w:hAnsi="宋体" w:eastAsia="仿宋_GB2312" w:cs="仿宋_GB2312"/>
                <w:spacing w:val="-5"/>
                <w:kern w:val="0"/>
                <w:sz w:val="18"/>
                <w:szCs w:val="18"/>
                <w:lang w:val="en-US" w:eastAsia="zh-CN" w:bidi="ar"/>
              </w:rPr>
            </w:pPr>
          </w:p>
          <w:p w14:paraId="116B21F7">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1189" w:author="LV" w:date="2026-07-14T15:55:39Z"/>
                <w:rFonts w:hint="eastAsia" w:ascii="仿宋_GB2312" w:hAnsi="宋体" w:eastAsia="仿宋_GB2312" w:cs="仿宋_GB2312"/>
                <w:spacing w:val="-5"/>
                <w:kern w:val="0"/>
                <w:sz w:val="18"/>
                <w:szCs w:val="18"/>
                <w:lang w:val="en-US" w:eastAsia="zh-CN" w:bidi="ar"/>
              </w:rPr>
            </w:pPr>
          </w:p>
          <w:p w14:paraId="73768CB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5"/>
                <w:kern w:val="0"/>
                <w:sz w:val="18"/>
                <w:szCs w:val="18"/>
                <w:lang w:val="en-US" w:eastAsia="zh-CN" w:bidi="ar"/>
              </w:rPr>
            </w:pPr>
          </w:p>
        </w:tc>
        <w:tc>
          <w:tcPr>
            <w:tcW w:w="459" w:type="dxa"/>
            <w:tcBorders>
              <w:left w:val="single" w:color="auto" w:sz="4" w:space="0"/>
              <w:tl2br w:val="nil"/>
              <w:tr2bl w:val="nil"/>
            </w:tcBorders>
            <w:shd w:val="clear" w:color="auto" w:fill="auto"/>
            <w:noWrap/>
            <w:tcMar>
              <w:top w:w="15" w:type="dxa"/>
              <w:left w:w="15" w:type="dxa"/>
              <w:right w:w="15" w:type="dxa"/>
            </w:tcMar>
            <w:vAlign w:val="center"/>
          </w:tcPr>
          <w:p w14:paraId="5703FCD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1F8CEE8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CF613A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bidi="ar"/>
              </w:rPr>
              <w:t>无</w:t>
            </w:r>
          </w:p>
        </w:tc>
      </w:tr>
      <w:tr w14:paraId="5F500B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op w:val="single" w:color="auto" w:sz="4" w:space="0"/>
              <w:left w:val="single" w:color="auto" w:sz="4" w:space="0"/>
              <w:bottom w:val="single" w:color="auto" w:sz="4" w:space="0"/>
              <w:tl2br w:val="nil"/>
              <w:tr2bl w:val="nil"/>
            </w:tcBorders>
            <w:shd w:val="clear" w:color="auto" w:fill="auto"/>
            <w:noWrap/>
            <w:tcMar>
              <w:top w:w="15" w:type="dxa"/>
              <w:left w:w="15" w:type="dxa"/>
              <w:right w:w="15" w:type="dxa"/>
            </w:tcMar>
            <w:vAlign w:val="center"/>
          </w:tcPr>
          <w:p w14:paraId="261AC02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pacing w:val="-5"/>
                <w:kern w:val="0"/>
                <w:sz w:val="18"/>
                <w:szCs w:val="18"/>
                <w:lang w:bidi="ar"/>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311A97E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5"/>
                <w:kern w:val="0"/>
                <w:sz w:val="18"/>
                <w:szCs w:val="18"/>
                <w:lang w:bidi="ar"/>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5747255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5"/>
                <w:kern w:val="0"/>
                <w:sz w:val="18"/>
                <w:szCs w:val="18"/>
                <w:lang w:bidi="ar"/>
              </w:rPr>
            </w:pPr>
          </w:p>
        </w:tc>
        <w:tc>
          <w:tcPr>
            <w:tcW w:w="4082" w:type="dxa"/>
            <w:vMerge w:val="continue"/>
            <w:tcBorders>
              <w:top w:val="single" w:color="auto" w:sz="4" w:space="0"/>
              <w:bottom w:val="single" w:color="auto" w:sz="4" w:space="0"/>
              <w:right w:val="single" w:color="auto" w:sz="4" w:space="0"/>
              <w:tl2br w:val="nil"/>
              <w:tr2bl w:val="nil"/>
            </w:tcBorders>
            <w:shd w:val="clear" w:color="auto" w:fill="auto"/>
            <w:tcMar>
              <w:top w:w="15" w:type="dxa"/>
              <w:left w:w="15" w:type="dxa"/>
              <w:right w:w="15" w:type="dxa"/>
            </w:tcMar>
            <w:vAlign w:val="center"/>
          </w:tcPr>
          <w:p w14:paraId="1D700C9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5"/>
                <w:kern w:val="0"/>
                <w:sz w:val="18"/>
                <w:szCs w:val="18"/>
                <w:lang w:bidi="ar"/>
              </w:rPr>
            </w:pPr>
          </w:p>
        </w:tc>
        <w:tc>
          <w:tcPr>
            <w:tcW w:w="459" w:type="dxa"/>
            <w:tcBorders>
              <w:left w:val="single" w:color="auto" w:sz="4" w:space="0"/>
              <w:tl2br w:val="nil"/>
              <w:tr2bl w:val="nil"/>
            </w:tcBorders>
            <w:shd w:val="clear" w:color="auto" w:fill="auto"/>
            <w:noWrap/>
            <w:tcMar>
              <w:top w:w="15" w:type="dxa"/>
              <w:left w:w="15" w:type="dxa"/>
              <w:right w:w="15" w:type="dxa"/>
            </w:tcMar>
            <w:vAlign w:val="center"/>
          </w:tcPr>
          <w:p w14:paraId="15321B2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4CC0550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4F70A3A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bidi="ar"/>
              </w:rPr>
              <w:t>无</w:t>
            </w:r>
          </w:p>
        </w:tc>
      </w:tr>
      <w:tr w14:paraId="062400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op w:val="single" w:color="auto" w:sz="4" w:space="0"/>
              <w:left w:val="single" w:color="auto" w:sz="4" w:space="0"/>
              <w:bottom w:val="single" w:color="auto" w:sz="4" w:space="0"/>
              <w:tl2br w:val="nil"/>
              <w:tr2bl w:val="nil"/>
            </w:tcBorders>
            <w:shd w:val="clear" w:color="auto" w:fill="auto"/>
            <w:noWrap/>
            <w:tcMar>
              <w:top w:w="15" w:type="dxa"/>
              <w:left w:w="15" w:type="dxa"/>
              <w:right w:w="15" w:type="dxa"/>
            </w:tcMar>
            <w:vAlign w:val="center"/>
          </w:tcPr>
          <w:p w14:paraId="4C9B265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pacing w:val="-5"/>
                <w:kern w:val="0"/>
                <w:sz w:val="18"/>
                <w:szCs w:val="18"/>
                <w:lang w:bidi="ar"/>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3C95146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5"/>
                <w:kern w:val="0"/>
                <w:sz w:val="18"/>
                <w:szCs w:val="18"/>
                <w:lang w:bidi="ar"/>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04E1DFE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5"/>
                <w:kern w:val="0"/>
                <w:sz w:val="18"/>
                <w:szCs w:val="18"/>
                <w:lang w:bidi="ar"/>
              </w:rPr>
            </w:pPr>
          </w:p>
        </w:tc>
        <w:tc>
          <w:tcPr>
            <w:tcW w:w="4082" w:type="dxa"/>
            <w:vMerge w:val="continue"/>
            <w:tcBorders>
              <w:top w:val="single" w:color="auto" w:sz="4" w:space="0"/>
              <w:bottom w:val="single" w:color="auto" w:sz="4" w:space="0"/>
              <w:right w:val="single" w:color="auto" w:sz="4" w:space="0"/>
              <w:tl2br w:val="nil"/>
              <w:tr2bl w:val="nil"/>
            </w:tcBorders>
            <w:shd w:val="clear" w:color="auto" w:fill="auto"/>
            <w:tcMar>
              <w:top w:w="15" w:type="dxa"/>
              <w:left w:w="15" w:type="dxa"/>
              <w:right w:w="15" w:type="dxa"/>
            </w:tcMar>
            <w:vAlign w:val="center"/>
          </w:tcPr>
          <w:p w14:paraId="4E29482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5"/>
                <w:kern w:val="0"/>
                <w:sz w:val="18"/>
                <w:szCs w:val="18"/>
                <w:lang w:bidi="ar"/>
              </w:rPr>
            </w:pPr>
          </w:p>
        </w:tc>
        <w:tc>
          <w:tcPr>
            <w:tcW w:w="459" w:type="dxa"/>
            <w:tcBorders>
              <w:left w:val="single" w:color="auto" w:sz="4" w:space="0"/>
              <w:tl2br w:val="nil"/>
              <w:tr2bl w:val="nil"/>
            </w:tcBorders>
            <w:shd w:val="clear" w:color="auto" w:fill="auto"/>
            <w:noWrap/>
            <w:tcMar>
              <w:top w:w="15" w:type="dxa"/>
              <w:left w:w="15" w:type="dxa"/>
              <w:right w:w="15" w:type="dxa"/>
            </w:tcMar>
            <w:vAlign w:val="center"/>
          </w:tcPr>
          <w:p w14:paraId="4E0200D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67923C7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B2590C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bidi="ar"/>
              </w:rPr>
              <w:t>无</w:t>
            </w:r>
          </w:p>
        </w:tc>
      </w:tr>
      <w:tr w14:paraId="209D28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1" w:hRule="atLeast"/>
          <w:jc w:val="center"/>
        </w:trPr>
        <w:tc>
          <w:tcPr>
            <w:tcW w:w="418" w:type="dxa"/>
            <w:vMerge w:val="continue"/>
            <w:tcBorders>
              <w:top w:val="single" w:color="auto" w:sz="4" w:space="0"/>
              <w:left w:val="single" w:color="auto" w:sz="4" w:space="0"/>
              <w:bottom w:val="single" w:color="auto" w:sz="4" w:space="0"/>
              <w:tl2br w:val="nil"/>
              <w:tr2bl w:val="nil"/>
            </w:tcBorders>
            <w:shd w:val="clear" w:color="auto" w:fill="auto"/>
            <w:noWrap/>
            <w:tcMar>
              <w:top w:w="15" w:type="dxa"/>
              <w:left w:w="15" w:type="dxa"/>
              <w:right w:w="15" w:type="dxa"/>
            </w:tcMar>
            <w:vAlign w:val="center"/>
          </w:tcPr>
          <w:p w14:paraId="620FC3E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pacing w:val="-5"/>
                <w:kern w:val="0"/>
                <w:sz w:val="18"/>
                <w:szCs w:val="18"/>
                <w:lang w:bidi="ar"/>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7B6DA66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5"/>
                <w:kern w:val="0"/>
                <w:sz w:val="18"/>
                <w:szCs w:val="18"/>
                <w:lang w:bidi="ar"/>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16D3670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5"/>
                <w:kern w:val="0"/>
                <w:sz w:val="18"/>
                <w:szCs w:val="18"/>
                <w:lang w:bidi="ar"/>
              </w:rPr>
            </w:pPr>
          </w:p>
        </w:tc>
        <w:tc>
          <w:tcPr>
            <w:tcW w:w="4082" w:type="dxa"/>
            <w:vMerge w:val="continue"/>
            <w:tcBorders>
              <w:top w:val="single" w:color="auto" w:sz="4" w:space="0"/>
              <w:bottom w:val="single" w:color="auto" w:sz="4" w:space="0"/>
              <w:right w:val="single" w:color="auto" w:sz="4" w:space="0"/>
              <w:tl2br w:val="nil"/>
              <w:tr2bl w:val="nil"/>
            </w:tcBorders>
            <w:shd w:val="clear" w:color="auto" w:fill="auto"/>
            <w:tcMar>
              <w:top w:w="15" w:type="dxa"/>
              <w:left w:w="15" w:type="dxa"/>
              <w:right w:w="15" w:type="dxa"/>
            </w:tcMar>
            <w:vAlign w:val="center"/>
          </w:tcPr>
          <w:p w14:paraId="6D37BF7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5"/>
                <w:kern w:val="0"/>
                <w:sz w:val="18"/>
                <w:szCs w:val="18"/>
                <w:lang w:bidi="ar"/>
              </w:rPr>
            </w:pPr>
          </w:p>
        </w:tc>
        <w:tc>
          <w:tcPr>
            <w:tcW w:w="459" w:type="dxa"/>
            <w:tcBorders>
              <w:left w:val="single" w:color="auto" w:sz="4" w:space="0"/>
              <w:tl2br w:val="nil"/>
              <w:tr2bl w:val="nil"/>
            </w:tcBorders>
            <w:shd w:val="clear" w:color="auto" w:fill="auto"/>
            <w:noWrap/>
            <w:tcMar>
              <w:top w:w="15" w:type="dxa"/>
              <w:left w:w="15" w:type="dxa"/>
              <w:right w:w="15" w:type="dxa"/>
            </w:tcMar>
            <w:vAlign w:val="center"/>
          </w:tcPr>
          <w:p w14:paraId="3E4EA83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24BE302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bidi="ar"/>
              </w:rPr>
              <w:t>没有违法所得或者违法所得不足10万元的。</w:t>
            </w:r>
          </w:p>
        </w:tc>
        <w:tc>
          <w:tcPr>
            <w:tcW w:w="2655" w:type="dxa"/>
            <w:tcBorders>
              <w:tl2br w:val="nil"/>
              <w:tr2bl w:val="nil"/>
            </w:tcBorders>
            <w:shd w:val="clear" w:color="auto" w:fill="auto"/>
            <w:tcMar>
              <w:top w:w="15" w:type="dxa"/>
              <w:left w:w="15" w:type="dxa"/>
              <w:right w:w="15" w:type="dxa"/>
            </w:tcMar>
            <w:vAlign w:val="center"/>
          </w:tcPr>
          <w:p w14:paraId="56512B8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bidi="ar"/>
              </w:rPr>
              <w:t>责令立即停止生产，没收违法所得和开采出的煤炭以及采掘设备，对煤矿企业处10万元以上20万元以下的罚款。</w:t>
            </w:r>
          </w:p>
        </w:tc>
      </w:tr>
      <w:tr w14:paraId="6A64A3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1" w:hRule="atLeast"/>
          <w:jc w:val="center"/>
        </w:trPr>
        <w:tc>
          <w:tcPr>
            <w:tcW w:w="418" w:type="dxa"/>
            <w:vMerge w:val="continue"/>
            <w:tcBorders>
              <w:top w:val="single" w:color="auto" w:sz="4" w:space="0"/>
              <w:left w:val="single" w:color="auto" w:sz="4" w:space="0"/>
              <w:bottom w:val="single" w:color="auto" w:sz="4" w:space="0"/>
              <w:tl2br w:val="nil"/>
              <w:tr2bl w:val="nil"/>
            </w:tcBorders>
            <w:shd w:val="clear" w:color="auto" w:fill="auto"/>
            <w:noWrap/>
            <w:tcMar>
              <w:top w:w="15" w:type="dxa"/>
              <w:left w:w="15" w:type="dxa"/>
              <w:right w:w="15" w:type="dxa"/>
            </w:tcMar>
            <w:vAlign w:val="center"/>
          </w:tcPr>
          <w:p w14:paraId="592C605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pacing w:val="-5"/>
                <w:kern w:val="0"/>
                <w:sz w:val="18"/>
                <w:szCs w:val="18"/>
                <w:lang w:bidi="ar"/>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55F146F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5"/>
                <w:kern w:val="0"/>
                <w:sz w:val="18"/>
                <w:szCs w:val="18"/>
                <w:lang w:bidi="ar"/>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2E61723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5"/>
                <w:kern w:val="0"/>
                <w:sz w:val="18"/>
                <w:szCs w:val="18"/>
                <w:lang w:bidi="ar"/>
              </w:rPr>
            </w:pPr>
          </w:p>
        </w:tc>
        <w:tc>
          <w:tcPr>
            <w:tcW w:w="4082" w:type="dxa"/>
            <w:vMerge w:val="continue"/>
            <w:tcBorders>
              <w:top w:val="single" w:color="auto" w:sz="4" w:space="0"/>
              <w:bottom w:val="single" w:color="auto" w:sz="4" w:space="0"/>
              <w:right w:val="single" w:color="auto" w:sz="4" w:space="0"/>
              <w:tl2br w:val="nil"/>
              <w:tr2bl w:val="nil"/>
            </w:tcBorders>
            <w:shd w:val="clear" w:color="auto" w:fill="auto"/>
            <w:tcMar>
              <w:top w:w="15" w:type="dxa"/>
              <w:left w:w="15" w:type="dxa"/>
              <w:right w:w="15" w:type="dxa"/>
            </w:tcMar>
            <w:vAlign w:val="center"/>
          </w:tcPr>
          <w:p w14:paraId="78A4B34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5"/>
                <w:kern w:val="0"/>
                <w:sz w:val="18"/>
                <w:szCs w:val="18"/>
                <w:lang w:bidi="ar"/>
              </w:rPr>
            </w:pPr>
          </w:p>
        </w:tc>
        <w:tc>
          <w:tcPr>
            <w:tcW w:w="459" w:type="dxa"/>
            <w:tcBorders>
              <w:left w:val="single" w:color="auto" w:sz="4" w:space="0"/>
              <w:tl2br w:val="nil"/>
              <w:tr2bl w:val="nil"/>
            </w:tcBorders>
            <w:shd w:val="clear" w:color="auto" w:fill="auto"/>
            <w:noWrap/>
            <w:tcMar>
              <w:top w:w="15" w:type="dxa"/>
              <w:left w:w="15" w:type="dxa"/>
              <w:right w:w="15" w:type="dxa"/>
            </w:tcMar>
            <w:vAlign w:val="center"/>
          </w:tcPr>
          <w:p w14:paraId="4DEF742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7877904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bidi="ar"/>
              </w:rPr>
              <w:t>违法所得在10万元以上100万元以下的</w:t>
            </w:r>
          </w:p>
        </w:tc>
        <w:tc>
          <w:tcPr>
            <w:tcW w:w="2655" w:type="dxa"/>
            <w:tcBorders>
              <w:tl2br w:val="nil"/>
              <w:tr2bl w:val="nil"/>
            </w:tcBorders>
            <w:shd w:val="clear" w:color="auto" w:fill="auto"/>
            <w:tcMar>
              <w:top w:w="15" w:type="dxa"/>
              <w:left w:w="15" w:type="dxa"/>
              <w:right w:w="15" w:type="dxa"/>
            </w:tcMar>
            <w:vAlign w:val="center"/>
          </w:tcPr>
          <w:p w14:paraId="083709A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bidi="ar"/>
              </w:rPr>
              <w:t>责令立即停止生产，没收违法所得和开采出的煤炭以及采掘设备，处违法所得2倍以上4倍以下的罚款。</w:t>
            </w:r>
          </w:p>
        </w:tc>
      </w:tr>
      <w:tr w14:paraId="538CB5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1" w:hRule="atLeast"/>
          <w:jc w:val="center"/>
        </w:trPr>
        <w:tc>
          <w:tcPr>
            <w:tcW w:w="418" w:type="dxa"/>
            <w:vMerge w:val="continue"/>
            <w:tcBorders>
              <w:top w:val="single" w:color="auto" w:sz="4" w:space="0"/>
              <w:left w:val="single" w:color="auto" w:sz="4" w:space="0"/>
              <w:bottom w:val="single" w:color="auto" w:sz="4" w:space="0"/>
              <w:tl2br w:val="nil"/>
              <w:tr2bl w:val="nil"/>
            </w:tcBorders>
            <w:shd w:val="clear" w:color="auto" w:fill="auto"/>
            <w:noWrap/>
            <w:tcMar>
              <w:top w:w="15" w:type="dxa"/>
              <w:left w:w="15" w:type="dxa"/>
              <w:right w:w="15" w:type="dxa"/>
            </w:tcMar>
            <w:vAlign w:val="center"/>
          </w:tcPr>
          <w:p w14:paraId="6F127EE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pacing w:val="-5"/>
                <w:kern w:val="0"/>
                <w:sz w:val="18"/>
                <w:szCs w:val="18"/>
                <w:lang w:bidi="ar"/>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4B55E64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5"/>
                <w:kern w:val="0"/>
                <w:sz w:val="18"/>
                <w:szCs w:val="18"/>
                <w:lang w:bidi="ar"/>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054CBD6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5"/>
                <w:kern w:val="0"/>
                <w:sz w:val="18"/>
                <w:szCs w:val="18"/>
                <w:lang w:bidi="ar"/>
              </w:rPr>
            </w:pPr>
          </w:p>
        </w:tc>
        <w:tc>
          <w:tcPr>
            <w:tcW w:w="4082" w:type="dxa"/>
            <w:vMerge w:val="continue"/>
            <w:tcBorders>
              <w:top w:val="single" w:color="auto" w:sz="4" w:space="0"/>
              <w:bottom w:val="single" w:color="auto" w:sz="4" w:space="0"/>
              <w:right w:val="single" w:color="auto" w:sz="4" w:space="0"/>
              <w:tl2br w:val="nil"/>
              <w:tr2bl w:val="nil"/>
            </w:tcBorders>
            <w:shd w:val="clear" w:color="auto" w:fill="auto"/>
            <w:tcMar>
              <w:top w:w="15" w:type="dxa"/>
              <w:left w:w="15" w:type="dxa"/>
              <w:right w:w="15" w:type="dxa"/>
            </w:tcMar>
            <w:vAlign w:val="center"/>
          </w:tcPr>
          <w:p w14:paraId="2FC0DBD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5"/>
                <w:kern w:val="0"/>
                <w:sz w:val="18"/>
                <w:szCs w:val="18"/>
                <w:lang w:bidi="ar"/>
              </w:rPr>
            </w:pPr>
          </w:p>
        </w:tc>
        <w:tc>
          <w:tcPr>
            <w:tcW w:w="459" w:type="dxa"/>
            <w:tcBorders>
              <w:left w:val="single" w:color="auto" w:sz="4" w:space="0"/>
              <w:tl2br w:val="nil"/>
              <w:tr2bl w:val="nil"/>
            </w:tcBorders>
            <w:shd w:val="clear" w:color="auto" w:fill="auto"/>
            <w:noWrap/>
            <w:tcMar>
              <w:top w:w="15" w:type="dxa"/>
              <w:left w:w="15" w:type="dxa"/>
              <w:right w:w="15" w:type="dxa"/>
            </w:tcMar>
            <w:vAlign w:val="center"/>
          </w:tcPr>
          <w:p w14:paraId="0764677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2FA0613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bidi="ar"/>
              </w:rPr>
              <w:t>违法所得在100万元以上的。</w:t>
            </w:r>
          </w:p>
        </w:tc>
        <w:tc>
          <w:tcPr>
            <w:tcW w:w="2655" w:type="dxa"/>
            <w:tcBorders>
              <w:tl2br w:val="nil"/>
              <w:tr2bl w:val="nil"/>
            </w:tcBorders>
            <w:shd w:val="clear" w:color="auto" w:fill="auto"/>
            <w:tcMar>
              <w:top w:w="15" w:type="dxa"/>
              <w:left w:w="15" w:type="dxa"/>
              <w:right w:w="15" w:type="dxa"/>
            </w:tcMar>
            <w:vAlign w:val="center"/>
          </w:tcPr>
          <w:p w14:paraId="22265D3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bidi="ar"/>
              </w:rPr>
              <w:t>责令立即停止生产，没收违法所得和开采出的煤炭以及采掘设备，处违法所得4倍以上5倍以下的罚款。</w:t>
            </w:r>
          </w:p>
        </w:tc>
      </w:tr>
      <w:tr w14:paraId="05C161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5F45E75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3</w:t>
            </w:r>
          </w:p>
        </w:tc>
        <w:tc>
          <w:tcPr>
            <w:tcW w:w="1005" w:type="dxa"/>
            <w:vMerge w:val="restart"/>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3F58546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煤矿主要负责人（含实际控制人）未依法履行《安全生产法》规定</w:t>
            </w:r>
            <w:r>
              <w:rPr>
                <w:rFonts w:hint="eastAsia" w:ascii="仿宋_GB2312" w:hAnsi="宋体" w:eastAsia="仿宋_GB2312" w:cs="仿宋_GB2312"/>
                <w:sz w:val="18"/>
                <w:szCs w:val="18"/>
                <w:lang w:val="en-US" w:eastAsia="zh-CN"/>
              </w:rPr>
              <w:t>的</w:t>
            </w:r>
            <w:r>
              <w:rPr>
                <w:rFonts w:hint="eastAsia" w:ascii="仿宋_GB2312" w:hAnsi="宋体" w:eastAsia="仿宋_GB2312" w:cs="仿宋_GB2312"/>
                <w:sz w:val="18"/>
                <w:szCs w:val="18"/>
              </w:rPr>
              <w:t>安全生产管理职责的违法行为</w:t>
            </w:r>
          </w:p>
        </w:tc>
        <w:tc>
          <w:tcPr>
            <w:tcW w:w="3667" w:type="dxa"/>
            <w:vMerge w:val="restart"/>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00DDEAB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《安全生产法》第二十一条 生产经营单位的主要负责人对本单位安全生产工作负有下列职责：（一）建立健全并落实本单位全员安全生产责任制，加强安全生产标准化建设；（二）组织制定并实施本单位安全生产规章制度和操作规程；（三）组织制定并实施本单位安全生产教育和培训计划；（四）保证本单位安全生产投入的有效实施；（五）组织建立并落实安全风险分级管控和隐患排查治理双重预防工作机制，督促、检查本单位的安全生产工作，及时消除生产安全事故隐患；（六）组织制定并实施本单位的生产安全事故应急救援预案；（七）及时、如实报告生产安全事故。</w:t>
            </w:r>
          </w:p>
          <w:p w14:paraId="024A9B9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《煤矿安全生产条例》第十八条  煤矿企业主要负责人对本企业安全生产工作负有下列职责：（一）建立健全并落实全员安全生产责任制，加强安全生产标准化建设；（二）组织制定并实施安全生产规章制度和作业规程、操作规程；（三）组织制定并实施安全生产教育和培训计划；（四）保证安全生产投入的有效实施；（五）组织建立并落实安全风险分级管控和隐患排查治理双重预防工作机制，督促、检查安全生产工作，及时消除事故隐患；（六）组织制定并实施生产安全事故应急救援预案；（七）及时、如实报告煤矿生产安全事故。</w:t>
            </w:r>
          </w:p>
        </w:tc>
        <w:tc>
          <w:tcPr>
            <w:tcW w:w="4082" w:type="dxa"/>
            <w:vMerge w:val="restart"/>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44327EF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《安全生产法》第九十四条第一款 生产经营单位的主要负责人未履行本法规定的安全生产管理职责的，责令限期改正，处二万元以上五万元以下的罚款；逾期未改正的，处五万元以上十万元以下的罚款，责令生产经营单位停产停业整顿。生产经营单位的主要负责人有前款违法行为，导致发生生产安全事故的，给予撤职处分；构成犯罪的，依照刑法有关规定追究刑事责任。生产经营单位的主要负责人依照前款规定受刑事处罚或者撤职处分的，自刑罚执行完毕或者受处分之日起，五年内不得担任任何生产经营单位的主要负责人；对重大、特别重大生产安全事故负有责任的，终身不得担任本行业生产经营单位的主要负责人。</w:t>
            </w:r>
          </w:p>
          <w:p w14:paraId="3B15218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《煤矿安全生产条例》第六十八条  煤矿企业的决策机构、主要负责人、其他负责人和安全生产管理人员未依法履行安全生产管理职责的，依照《中华人民共和国安全生产法》有关规定处罚并承担相应责任。</w:t>
            </w:r>
          </w:p>
        </w:tc>
        <w:tc>
          <w:tcPr>
            <w:tcW w:w="459" w:type="dxa"/>
            <w:tcBorders>
              <w:tl2br w:val="nil"/>
              <w:tr2bl w:val="nil"/>
            </w:tcBorders>
            <w:shd w:val="clear" w:color="auto" w:fill="auto"/>
            <w:noWrap/>
            <w:tcMar>
              <w:top w:w="15" w:type="dxa"/>
              <w:left w:w="15" w:type="dxa"/>
              <w:right w:w="15" w:type="dxa"/>
            </w:tcMar>
            <w:vAlign w:val="center"/>
          </w:tcPr>
          <w:p w14:paraId="6DB683A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062CE8A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69D1FF0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00DAA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52FC638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09A711D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0193A40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069A37A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15ED1C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18A369B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161118F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CAAF9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612F610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007A115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3A1D8AA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2DDC34E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883A67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69FA527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1574BC4">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E599D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7C3EC10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45C305C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205AA76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690E6B0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A1D967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2597BA7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煤矿主要负责人未履行《安全生产法》规定的1-2项安全生产管理职责，限期改正的。</w:t>
            </w:r>
          </w:p>
        </w:tc>
        <w:tc>
          <w:tcPr>
            <w:tcW w:w="2655" w:type="dxa"/>
            <w:tcBorders>
              <w:tl2br w:val="nil"/>
              <w:tr2bl w:val="nil"/>
            </w:tcBorders>
            <w:shd w:val="clear" w:color="auto" w:fill="auto"/>
            <w:tcMar>
              <w:top w:w="15" w:type="dxa"/>
              <w:left w:w="15" w:type="dxa"/>
              <w:right w:w="15" w:type="dxa"/>
            </w:tcMar>
            <w:vAlign w:val="center"/>
          </w:tcPr>
          <w:p w14:paraId="1A5EFA16">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2万元以上3万元以下的罚款。生产经营单位的主要负责人依照前款规定受刑事处罚或者撤职处分的，自刑罚执行完毕或者受处分之日起，五年内不得担任任何生产经营单位的主要负责人；对重大、特别重大生产安全事故负有责任的，终身不得担任本行业生产经营单位的主要负责人。</w:t>
            </w:r>
          </w:p>
        </w:tc>
      </w:tr>
      <w:tr w14:paraId="0AE762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6BFE0C3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55B9771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742BCA7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472E434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FB41D6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3918497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煤矿主要负责人未履行《安全生产法》规定的3-5项安全生产管理职责，限期改正的。</w:t>
            </w:r>
          </w:p>
        </w:tc>
        <w:tc>
          <w:tcPr>
            <w:tcW w:w="2655" w:type="dxa"/>
            <w:tcBorders>
              <w:tl2br w:val="nil"/>
              <w:tr2bl w:val="nil"/>
            </w:tcBorders>
            <w:shd w:val="clear" w:color="auto" w:fill="auto"/>
            <w:tcMar>
              <w:top w:w="15" w:type="dxa"/>
              <w:left w:w="15" w:type="dxa"/>
              <w:right w:w="15" w:type="dxa"/>
            </w:tcMar>
            <w:vAlign w:val="center"/>
          </w:tcPr>
          <w:p w14:paraId="25BC5F8F">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sz w:val="18"/>
                <w:szCs w:val="18"/>
                <w:highlight w:val="yellow"/>
              </w:rPr>
            </w:pPr>
            <w:r>
              <w:rPr>
                <w:rFonts w:hint="eastAsia" w:ascii="仿宋_GB2312" w:hAnsi="宋体" w:eastAsia="仿宋_GB2312" w:cs="仿宋_GB2312"/>
                <w:kern w:val="0"/>
                <w:sz w:val="18"/>
                <w:szCs w:val="18"/>
                <w:lang w:bidi="ar"/>
              </w:rPr>
              <w:t>处3万元以上4万元以下的罚款。生产经营单位的主要负责人依照前款规定受刑事处罚或者撤职处分的，自刑罚执行完毕或者受处分之日起，五年内不得担任任何生产经营单位的主要负责人；对重大、特别重大生产安全事故负有责任的，终身不得担任本行业生产经营单位的主要负责人。</w:t>
            </w:r>
          </w:p>
        </w:tc>
      </w:tr>
      <w:tr w14:paraId="3A3E9F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2D51911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7ED68D8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5871C59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4ABF66D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3B3CF0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4242EA6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煤矿主要负责人未履行《安全生产法》规定的6-7项安全生产管理职责，限期改正的。</w:t>
            </w:r>
          </w:p>
        </w:tc>
        <w:tc>
          <w:tcPr>
            <w:tcW w:w="2655" w:type="dxa"/>
            <w:tcBorders>
              <w:tl2br w:val="nil"/>
              <w:tr2bl w:val="nil"/>
            </w:tcBorders>
            <w:shd w:val="clear" w:color="auto" w:fill="auto"/>
            <w:tcMar>
              <w:top w:w="15" w:type="dxa"/>
              <w:left w:w="15" w:type="dxa"/>
              <w:right w:w="15" w:type="dxa"/>
            </w:tcMar>
            <w:vAlign w:val="center"/>
          </w:tcPr>
          <w:p w14:paraId="24054026">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4万元以上5万元以下的罚款。生产经营单位的主要负责人依照前款规定受刑事处罚或者撤职处分的，自刑罚执行完毕或者受处分之日起，五年内不得担任任何生产经营单位的主要负责人；对重大、特别重大生产安全事故负有责任的，终身不得担任本行业生产经营单位的主要负责人。</w:t>
            </w:r>
          </w:p>
        </w:tc>
      </w:tr>
      <w:tr w14:paraId="4E6605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jc w:val="center"/>
        </w:trPr>
        <w:tc>
          <w:tcPr>
            <w:tcW w:w="418" w:type="dxa"/>
            <w:vMerge w:val="restart"/>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1161485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4</w:t>
            </w:r>
          </w:p>
        </w:tc>
        <w:tc>
          <w:tcPr>
            <w:tcW w:w="1005" w:type="dxa"/>
            <w:vMerge w:val="restart"/>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32691E5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煤矿主要负责人（含实际控制人）未依法履行《安全生产法》规定</w:t>
            </w:r>
            <w:r>
              <w:rPr>
                <w:rFonts w:hint="eastAsia" w:ascii="仿宋_GB2312" w:hAnsi="宋体" w:eastAsia="仿宋_GB2312" w:cs="仿宋_GB2312"/>
                <w:sz w:val="18"/>
                <w:szCs w:val="18"/>
                <w:lang w:val="en-US" w:eastAsia="zh-CN"/>
              </w:rPr>
              <w:t>的</w:t>
            </w:r>
            <w:r>
              <w:rPr>
                <w:rFonts w:hint="eastAsia" w:ascii="仿宋_GB2312" w:hAnsi="宋体" w:eastAsia="仿宋_GB2312" w:cs="仿宋_GB2312"/>
                <w:sz w:val="18"/>
                <w:szCs w:val="18"/>
              </w:rPr>
              <w:t>安全生产管理职责的违法行为，逾期未改正的</w:t>
            </w:r>
          </w:p>
        </w:tc>
        <w:tc>
          <w:tcPr>
            <w:tcW w:w="3667" w:type="dxa"/>
            <w:vMerge w:val="restart"/>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6E412E2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《安全生产法》第二十一条 生产经营单位的主要负责人对本单位安全生产工作负有下列职责：（一）建立健全并落实本单位全员安全生产责任制，加强安全生产标准化建设；（二）组织制定并实施本单位安全生产规章制度和操作规程；（三）组织制定并实施本单位安全生产教育和培训计划；（四）保证本单位安全生产投入的有效实施；（五）组织建立并落实安全风险分级管控和隐患排查治理双重预防工作机制，督促、检查本单位的安全生产工作，及时消除生产安全事故隐患；（六）组织制定并实施本单位的生产安全事故应急救援预案；（七）及时、如实报告生产安全事故。</w:t>
            </w:r>
          </w:p>
          <w:p w14:paraId="6161DD1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《煤矿安全生产条例》第十八条  煤矿企业主要负责人对本企业安全生产工作负有下列职责：（一）建立健全并落实全员安全生产责任制，加强安全生产标准化建设；（二）组织制定并实施安全生产规章制度和作业规程、操作规程；（三）组织制定并实施安全生产教育和培训计划；（四）保证安全生产投入的有效实施；（五）组织建立并落实安全风险分级管控和隐患排查治理双重预防工作机制，督促、检查安全生产工作，及时消除事故隐患；（六）组织制定并实施生产安全事故应急救援预案；（七）及时、如实报告煤矿生产安全事故。</w:t>
            </w:r>
          </w:p>
        </w:tc>
        <w:tc>
          <w:tcPr>
            <w:tcW w:w="4082" w:type="dxa"/>
            <w:vMerge w:val="restart"/>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559EE8E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《安全生产法》第九十四条第一款 生产经营单位的主要负责人未履行本法规定的安全生产管理职责的，责令限期改正，处二万元以上五万元以下的罚款；逾期未改正的，处五万元以上十万元以下的罚款，责令生产经营单位停产停业整顿。生产经营单位的主要负责人有前款违法行为，导致发生生产安全事故的，给予撤职处分；构成犯罪的，依照刑法有关规定追究刑事责任。生产经营单位的主要负责人依照前款规定受刑事处罚或者撤职处分的，自刑罚执行完毕或者受处分之日起，五年内不得担任任何生产经营单位的主要负责人；对重大、特别重大生产安全事故负有责任的，终身不得担任本行业生产经营单位的主要负责人。</w:t>
            </w:r>
          </w:p>
        </w:tc>
        <w:tc>
          <w:tcPr>
            <w:tcW w:w="459" w:type="dxa"/>
            <w:tcBorders>
              <w:tl2br w:val="nil"/>
              <w:tr2bl w:val="nil"/>
            </w:tcBorders>
            <w:shd w:val="clear" w:color="auto" w:fill="auto"/>
            <w:noWrap/>
            <w:tcMar>
              <w:top w:w="15" w:type="dxa"/>
              <w:left w:w="15" w:type="dxa"/>
              <w:right w:w="15" w:type="dxa"/>
            </w:tcMar>
            <w:vAlign w:val="center"/>
          </w:tcPr>
          <w:p w14:paraId="63B299A9">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6844E155">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7226031A">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B7A1B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21A09EC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1F64706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1BD83EA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2AC37D2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5C25701">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0EAAC6D7">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1A8D752E">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0E0AC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2D2A8DC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25E1B28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4CC8262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2360DAD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00D9CB2">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5D682B7E">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6B79F807">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06B81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6EEFDEC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2D48EC0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2642B85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6FECE5A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858606D">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4BA54C56">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煤矿主要负责人未履行《安全生产法》规定的1-2项安全生产管理职责，逾期未改正的1项以上的。</w:t>
            </w:r>
          </w:p>
        </w:tc>
        <w:tc>
          <w:tcPr>
            <w:tcW w:w="2655" w:type="dxa"/>
            <w:tcBorders>
              <w:tl2br w:val="nil"/>
              <w:tr2bl w:val="nil"/>
            </w:tcBorders>
            <w:shd w:val="clear" w:color="auto" w:fill="auto"/>
            <w:tcMar>
              <w:top w:w="15" w:type="dxa"/>
              <w:left w:w="15" w:type="dxa"/>
              <w:right w:w="15" w:type="dxa"/>
            </w:tcMar>
            <w:vAlign w:val="center"/>
          </w:tcPr>
          <w:p w14:paraId="31A0BECF">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5万元以上7万元以下的罚款，责令生产经营单位停产停业整顿。生产经营单位的主要负责人依照前款规定受刑事处罚或者撤职处分的，自刑罚执行完毕或者受处分之日起，五年内不得担任任何生产经营单位的主要负责人；对重大、特别重大生产安全事故负有责任的，终身不得担任本行业生产经营单位的主要负责人。</w:t>
            </w:r>
          </w:p>
        </w:tc>
      </w:tr>
      <w:tr w14:paraId="2F5788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5E473A6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54D8218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1343BA0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787A690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6B14452">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580FAC88">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煤矿主要负责人未履行《安全生产法》规定的3-5项安全生产管理职责，逾期未改正的1项以上的。</w:t>
            </w:r>
          </w:p>
        </w:tc>
        <w:tc>
          <w:tcPr>
            <w:tcW w:w="2655" w:type="dxa"/>
            <w:tcBorders>
              <w:tl2br w:val="nil"/>
              <w:tr2bl w:val="nil"/>
            </w:tcBorders>
            <w:shd w:val="clear" w:color="auto" w:fill="auto"/>
            <w:tcMar>
              <w:top w:w="15" w:type="dxa"/>
              <w:left w:w="15" w:type="dxa"/>
              <w:right w:w="15" w:type="dxa"/>
            </w:tcMar>
            <w:vAlign w:val="center"/>
          </w:tcPr>
          <w:p w14:paraId="397F8BF1">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7万元以上9万元以下的罚款，责令生产经营单位停产停业整顿。生产经营单位的主要负责人依照前款规定受刑事处罚或者撤职处分的，自刑罚执行完毕或者受处分之日起，五年内不得担任任何生产经营单位的主要负责人；对重大、特别重大生产安全事故负有责任的，终身不得担任本行业生产经营单位的主要负责人。</w:t>
            </w:r>
          </w:p>
        </w:tc>
      </w:tr>
      <w:tr w14:paraId="32F06A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4B391E8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10AA7D4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57817DA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4363421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04682E8">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79E4503C">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煤矿主要负责人未履行《安全生产法》规定的6-7项安全生产管理职责，逾期未改正1项以上的。</w:t>
            </w:r>
          </w:p>
        </w:tc>
        <w:tc>
          <w:tcPr>
            <w:tcW w:w="2655" w:type="dxa"/>
            <w:tcBorders>
              <w:tl2br w:val="nil"/>
              <w:tr2bl w:val="nil"/>
            </w:tcBorders>
            <w:shd w:val="clear" w:color="auto" w:fill="auto"/>
            <w:tcMar>
              <w:top w:w="15" w:type="dxa"/>
              <w:left w:w="15" w:type="dxa"/>
              <w:right w:w="15" w:type="dxa"/>
            </w:tcMar>
            <w:vAlign w:val="center"/>
          </w:tcPr>
          <w:p w14:paraId="037917B4">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9万元以上10万元以下的罚款，责令生产经营单位停产停业整顿。生产经营单位的主要负责人依照前款规定受刑事处罚或者撤职处分的，自刑罚执行完毕或者受处分之日起，五年内不得担任任何生产经营单位的主要负责人；对重大、特别重大生产安全事故负有责任的，终身不得担任本行业生产经营单位的主要负责人。</w:t>
            </w:r>
          </w:p>
        </w:tc>
      </w:tr>
      <w:tr w14:paraId="44F79D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418" w:type="dxa"/>
            <w:vMerge w:val="restart"/>
            <w:tcBorders>
              <w:top w:val="single" w:color="auto" w:sz="4" w:space="0"/>
              <w:tl2br w:val="nil"/>
              <w:tr2bl w:val="nil"/>
            </w:tcBorders>
            <w:shd w:val="clear" w:color="auto" w:fill="auto"/>
            <w:noWrap/>
            <w:tcMar>
              <w:top w:w="15" w:type="dxa"/>
              <w:left w:w="15" w:type="dxa"/>
              <w:right w:w="15" w:type="dxa"/>
            </w:tcMar>
            <w:vAlign w:val="center"/>
          </w:tcPr>
          <w:p w14:paraId="393D3B7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hint="eastAsia" w:ascii="仿宋_GB2312" w:hAnsi="宋体" w:eastAsia="仿宋_GB2312" w:cs="仿宋_GB2312"/>
                <w:sz w:val="18"/>
                <w:szCs w:val="18"/>
                <w:lang w:val="en-US" w:eastAsia="zh-CN"/>
              </w:rPr>
            </w:pPr>
            <w:r>
              <w:rPr>
                <w:rFonts w:hint="eastAsia" w:ascii="仿宋_GB2312" w:hAnsi="宋体" w:eastAsia="仿宋_GB2312" w:cs="仿宋_GB2312"/>
                <w:sz w:val="18"/>
                <w:szCs w:val="18"/>
                <w:lang w:val="en-US" w:eastAsia="zh-CN"/>
              </w:rPr>
              <w:t>5</w:t>
            </w:r>
          </w:p>
        </w:tc>
        <w:tc>
          <w:tcPr>
            <w:tcW w:w="1005" w:type="dxa"/>
            <w:vMerge w:val="restart"/>
            <w:tcBorders>
              <w:top w:val="single" w:color="auto" w:sz="4" w:space="0"/>
              <w:tl2br w:val="nil"/>
              <w:tr2bl w:val="nil"/>
            </w:tcBorders>
            <w:shd w:val="clear" w:color="auto" w:fill="auto"/>
            <w:tcMar>
              <w:top w:w="15" w:type="dxa"/>
              <w:left w:w="15" w:type="dxa"/>
              <w:right w:w="15" w:type="dxa"/>
            </w:tcMar>
            <w:vAlign w:val="center"/>
          </w:tcPr>
          <w:p w14:paraId="3D53F83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hint="eastAsia" w:ascii="仿宋_GB2312" w:hAnsi="宋体" w:eastAsia="仿宋_GB2312" w:cs="仿宋_GB2312"/>
                <w:sz w:val="18"/>
                <w:szCs w:val="18"/>
              </w:rPr>
              <w:t>煤矿主要负责人（含实际控制人）未依法履行《安全生产法》规定</w:t>
            </w:r>
            <w:r>
              <w:rPr>
                <w:rFonts w:hint="eastAsia" w:ascii="仿宋_GB2312" w:hAnsi="宋体" w:eastAsia="仿宋_GB2312" w:cs="仿宋_GB2312"/>
                <w:sz w:val="18"/>
                <w:szCs w:val="18"/>
                <w:lang w:val="en-US" w:eastAsia="zh-CN"/>
              </w:rPr>
              <w:t>的</w:t>
            </w:r>
            <w:r>
              <w:rPr>
                <w:rFonts w:hint="eastAsia" w:ascii="仿宋_GB2312" w:hAnsi="宋体" w:eastAsia="仿宋_GB2312" w:cs="仿宋_GB2312"/>
                <w:sz w:val="18"/>
                <w:szCs w:val="18"/>
              </w:rPr>
              <w:t>安全生产管理职责的违法行为</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rPr>
              <w:t>导致事故发生的违法行为</w:t>
            </w:r>
          </w:p>
        </w:tc>
        <w:tc>
          <w:tcPr>
            <w:tcW w:w="3667" w:type="dxa"/>
            <w:vMerge w:val="restart"/>
            <w:tcBorders>
              <w:top w:val="single" w:color="auto" w:sz="4" w:space="0"/>
              <w:tl2br w:val="nil"/>
              <w:tr2bl w:val="nil"/>
            </w:tcBorders>
            <w:shd w:val="clear" w:color="auto" w:fill="auto"/>
            <w:tcMar>
              <w:top w:w="15" w:type="dxa"/>
              <w:left w:w="15" w:type="dxa"/>
              <w:right w:w="15" w:type="dxa"/>
            </w:tcMar>
            <w:vAlign w:val="center"/>
          </w:tcPr>
          <w:p w14:paraId="1D6BF440">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sz w:val="18"/>
                <w:szCs w:val="18"/>
              </w:rPr>
            </w:pPr>
            <w:r>
              <w:rPr>
                <w:rFonts w:hint="eastAsia" w:ascii="仿宋_GB2312" w:hAnsi="宋体" w:eastAsia="仿宋_GB2312" w:cs="仿宋_GB2312"/>
                <w:sz w:val="18"/>
                <w:szCs w:val="18"/>
              </w:rPr>
              <w:t>《安全生产法》第二十一条  生产经营单位的主要负责人对本单位安全生产工作负有下列职责：（一）建立健全并落实本单位全员安全生产责任制，加强安全生产标准化建设；（二）组织制定并实施本单位安全生产规章制度和操作规程；（三）组织制定并实施本单位安全生产教育和培训计划；（四）保证本单位安全生产投入的有效实施；（五）组织建立并落实安全风险分级管控和隐患排查治理双重预防工作机制，督促、检查本单位的安全生产工作，及时消除生产安全事故隐患；（六）组织制定并实施本单位的生产安全事故应急救援预案；（七）及时、如实报告生产安全事故。</w:t>
            </w:r>
          </w:p>
          <w:p w14:paraId="13F39FB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hint="eastAsia" w:ascii="仿宋_GB2312" w:hAnsi="宋体" w:eastAsia="仿宋_GB2312" w:cs="仿宋_GB2312"/>
                <w:sz w:val="18"/>
                <w:szCs w:val="18"/>
              </w:rPr>
              <w:t>《煤矿安全生产条例》第十八条  煤矿企业主要负责人对本企业安全生产工作负有下列职责：（一）建立健全并落实全员安全生产责任制，加强安全生产标准化建设；（二）组织制定并实施安全生产规章制度和作业规程、操作规程；（三）组织制定并实施安全生产教育和培训计划；（四）保证安全生产投入的有效实施；（五）组织建立并落实安全风险分级管控和隐患排查治理双重预防工作机制，督促、检查安全生产工作，及时消除事故隐患；（六）组织制定并实施生产安全事故应急救援预案；（七）及时、如实报告煤矿生产安全事故。</w:t>
            </w:r>
          </w:p>
        </w:tc>
        <w:tc>
          <w:tcPr>
            <w:tcW w:w="4082" w:type="dxa"/>
            <w:vMerge w:val="restart"/>
            <w:tcBorders>
              <w:top w:val="single" w:color="auto" w:sz="4" w:space="0"/>
              <w:tl2br w:val="nil"/>
              <w:tr2bl w:val="nil"/>
            </w:tcBorders>
            <w:shd w:val="clear" w:color="auto" w:fill="auto"/>
            <w:tcMar>
              <w:top w:w="15" w:type="dxa"/>
              <w:left w:w="15" w:type="dxa"/>
              <w:right w:w="15" w:type="dxa"/>
            </w:tcMar>
            <w:vAlign w:val="center"/>
          </w:tcPr>
          <w:p w14:paraId="1B020DB4">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sz w:val="18"/>
                <w:szCs w:val="18"/>
              </w:rPr>
            </w:pPr>
            <w:r>
              <w:rPr>
                <w:rFonts w:hint="eastAsia" w:ascii="仿宋_GB2312" w:hAnsi="宋体" w:eastAsia="仿宋_GB2312" w:cs="仿宋_GB2312"/>
                <w:sz w:val="18"/>
                <w:szCs w:val="18"/>
              </w:rPr>
              <w:t xml:space="preserve">《安全生产法》第九十四条第二款  生产经营单位的主要负责人有前款违法行为，导致发生生产安全事故的，给予撤职处分；构成犯罪的，依照刑法有关规定追究刑事责任。 </w:t>
            </w:r>
          </w:p>
          <w:p w14:paraId="5020F5AA">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sz w:val="18"/>
                <w:szCs w:val="18"/>
              </w:rPr>
            </w:pPr>
            <w:r>
              <w:rPr>
                <w:rFonts w:hint="eastAsia" w:ascii="仿宋_GB2312" w:hAnsi="宋体" w:eastAsia="仿宋_GB2312" w:cs="仿宋_GB2312"/>
                <w:sz w:val="18"/>
                <w:szCs w:val="18"/>
              </w:rPr>
              <w:t xml:space="preserve">《安全生产法》第九十四条第三款  生产经营单位的主要负责人依照前款规定受刑事处罚或者撤职处分的，自刑罚执行完毕或者受处分之日起，五年内不得担任任何生产经营单位的主要负责人；对重大、特别重大生产安全事故负有责任的，终身不得担任本行业生产经营单位的主要负责人。 </w:t>
            </w:r>
          </w:p>
          <w:p w14:paraId="0AA437CA">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sz w:val="18"/>
                <w:szCs w:val="18"/>
              </w:rPr>
            </w:pPr>
            <w:r>
              <w:rPr>
                <w:rFonts w:hint="eastAsia" w:ascii="仿宋_GB2312" w:hAnsi="宋体" w:eastAsia="仿宋_GB2312" w:cs="仿宋_GB2312"/>
                <w:sz w:val="18"/>
                <w:szCs w:val="18"/>
              </w:rPr>
              <w:t>《安全生产法》第九十五条  生产经营单位的主要负责人未履行本法规定的安全生产管理职责，导致发生生产安全事故的，由应急管理部门依照下列规定处以罚款：（一）发生一般事故的，处上一年年收入百分之四十的罚款；（二）发生较大事故的，处上一年年收入百分之六十的罚款；（三）发生重大事故的，处上一年年收入百分之八十的罚款；（四）发生特别重大事故的，处上一年年收入百分之一百的罚款。</w:t>
            </w:r>
          </w:p>
          <w:p w14:paraId="5545EB16">
            <w:pPr>
              <w:keepNext w:val="0"/>
              <w:keepLines w:val="0"/>
              <w:pageBreakBefore w:val="0"/>
              <w:widowControl w:val="0"/>
              <w:kinsoku/>
              <w:wordWrap/>
              <w:overflowPunct w:val="0"/>
              <w:topLinePunct w:val="0"/>
              <w:autoSpaceDE/>
              <w:autoSpaceDN/>
              <w:bidi w:val="0"/>
              <w:adjustRightInd/>
              <w:snapToGrid/>
              <w:spacing w:line="280" w:lineRule="exact"/>
              <w:rPr>
                <w:ins w:id="1190" w:author="LV" w:date="2026-07-14T15:56:02Z"/>
                <w:rFonts w:hint="eastAsia" w:ascii="仿宋_GB2312" w:hAnsi="宋体" w:eastAsia="仿宋_GB2312" w:cs="仿宋_GB2312"/>
                <w:sz w:val="18"/>
                <w:szCs w:val="18"/>
              </w:rPr>
            </w:pPr>
            <w:r>
              <w:rPr>
                <w:rFonts w:hint="eastAsia" w:ascii="仿宋_GB2312" w:hAnsi="宋体" w:eastAsia="仿宋_GB2312" w:cs="仿宋_GB2312"/>
                <w:sz w:val="18"/>
                <w:szCs w:val="18"/>
              </w:rPr>
              <w:t>《煤矿安全生产条例》第六十八条第二款  煤矿企业主要负责人未依法履行安全生产管理职责，导致发生煤矿生产安全事故的，依照下列规定处以罚款：（一）发生一般事故的，处上一年年收入40%的罚款；（二）发生较大事故的，处上一年年收入60%的罚款；（三）发生重大事故的，处上一年年收入80%的罚款；（四）发生特别重大事故的，处上一年年收入100%的罚款。</w:t>
            </w:r>
          </w:p>
          <w:p w14:paraId="4603DA78">
            <w:pPr>
              <w:keepNext w:val="0"/>
              <w:keepLines w:val="0"/>
              <w:pageBreakBefore w:val="0"/>
              <w:widowControl w:val="0"/>
              <w:kinsoku/>
              <w:wordWrap/>
              <w:overflowPunct w:val="0"/>
              <w:topLinePunct w:val="0"/>
              <w:autoSpaceDE/>
              <w:autoSpaceDN/>
              <w:bidi w:val="0"/>
              <w:adjustRightInd/>
              <w:snapToGrid/>
              <w:spacing w:line="280" w:lineRule="exact"/>
              <w:rPr>
                <w:ins w:id="1191" w:author="LV" w:date="2026-07-14T15:56:02Z"/>
                <w:rFonts w:hint="eastAsia" w:ascii="仿宋_GB2312" w:hAnsi="宋体" w:eastAsia="仿宋_GB2312" w:cs="仿宋_GB2312"/>
                <w:sz w:val="18"/>
                <w:szCs w:val="18"/>
              </w:rPr>
            </w:pPr>
          </w:p>
          <w:p w14:paraId="22363E0E">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AFDE221">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37F407EB">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CFD4D5F">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105500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6DAECF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20D0B3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F7FEFE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FDEF1C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3B0C43D">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388536E7">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7ACC945B">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046FE5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37A915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76C7C5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C18877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B0C7EA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7BF61A6">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75A448B1">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124AAB03">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3CE260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1F7591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50ACEF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5502CF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11C198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DDEE213">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2AE686BD">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sz w:val="18"/>
                <w:szCs w:val="18"/>
              </w:rPr>
              <w:t>主要负责人未履行本法规定的安全生产管理职责，导致发生</w:t>
            </w:r>
            <w:r>
              <w:rPr>
                <w:rFonts w:hint="eastAsia" w:ascii="仿宋_GB2312" w:hAnsi="宋体" w:eastAsia="仿宋_GB2312" w:cs="仿宋_GB2312"/>
                <w:kern w:val="0"/>
                <w:sz w:val="18"/>
                <w:szCs w:val="18"/>
                <w:lang w:bidi="ar"/>
              </w:rPr>
              <w:t>一般事故的</w:t>
            </w:r>
          </w:p>
        </w:tc>
        <w:tc>
          <w:tcPr>
            <w:tcW w:w="2655" w:type="dxa"/>
            <w:tcBorders>
              <w:tl2br w:val="nil"/>
              <w:tr2bl w:val="nil"/>
            </w:tcBorders>
            <w:shd w:val="clear" w:color="auto" w:fill="auto"/>
            <w:tcMar>
              <w:top w:w="15" w:type="dxa"/>
              <w:left w:w="15" w:type="dxa"/>
              <w:right w:w="15" w:type="dxa"/>
            </w:tcMar>
            <w:vAlign w:val="center"/>
          </w:tcPr>
          <w:p w14:paraId="393D9051">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对主要负责人处上一年年收入百分之四十的罚款；</w:t>
            </w:r>
          </w:p>
        </w:tc>
      </w:tr>
      <w:tr w14:paraId="1B2459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132A68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A1EA40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B22809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F1D351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D93A28F">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039923F5">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sz w:val="18"/>
                <w:szCs w:val="18"/>
              </w:rPr>
              <w:t>主要负责人未履行本法规定的安全生产管理职责，导致发生</w:t>
            </w:r>
            <w:r>
              <w:rPr>
                <w:rFonts w:hint="eastAsia" w:ascii="仿宋_GB2312" w:hAnsi="宋体" w:eastAsia="仿宋_GB2312" w:cs="仿宋_GB2312"/>
                <w:kern w:val="0"/>
                <w:sz w:val="18"/>
                <w:szCs w:val="18"/>
                <w:lang w:bidi="ar"/>
              </w:rPr>
              <w:t>发生较大事故的</w:t>
            </w:r>
          </w:p>
        </w:tc>
        <w:tc>
          <w:tcPr>
            <w:tcW w:w="2655" w:type="dxa"/>
            <w:tcBorders>
              <w:tl2br w:val="nil"/>
              <w:tr2bl w:val="nil"/>
            </w:tcBorders>
            <w:shd w:val="clear" w:color="auto" w:fill="auto"/>
            <w:tcMar>
              <w:top w:w="15" w:type="dxa"/>
              <w:left w:w="15" w:type="dxa"/>
              <w:right w:w="15" w:type="dxa"/>
            </w:tcMar>
            <w:vAlign w:val="center"/>
          </w:tcPr>
          <w:p w14:paraId="311EFDE3">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对主要负责人处上一年年收入百分之六十的罚款；</w:t>
            </w:r>
          </w:p>
        </w:tc>
      </w:tr>
      <w:tr w14:paraId="38882D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2" w:hRule="atLeast"/>
          <w:jc w:val="center"/>
        </w:trPr>
        <w:tc>
          <w:tcPr>
            <w:tcW w:w="418" w:type="dxa"/>
            <w:vMerge w:val="continue"/>
            <w:tcBorders>
              <w:bottom w:val="single" w:color="auto" w:sz="4" w:space="0"/>
              <w:tl2br w:val="nil"/>
              <w:tr2bl w:val="nil"/>
            </w:tcBorders>
            <w:shd w:val="clear" w:color="auto" w:fill="auto"/>
            <w:noWrap/>
            <w:tcMar>
              <w:top w:w="15" w:type="dxa"/>
              <w:left w:w="15" w:type="dxa"/>
              <w:right w:w="15" w:type="dxa"/>
            </w:tcMar>
            <w:vAlign w:val="center"/>
          </w:tcPr>
          <w:p w14:paraId="2DAC273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bottom w:val="single" w:color="auto" w:sz="4" w:space="0"/>
              <w:tl2br w:val="nil"/>
              <w:tr2bl w:val="nil"/>
            </w:tcBorders>
            <w:shd w:val="clear" w:color="auto" w:fill="auto"/>
            <w:tcMar>
              <w:top w:w="15" w:type="dxa"/>
              <w:left w:w="15" w:type="dxa"/>
              <w:right w:w="15" w:type="dxa"/>
            </w:tcMar>
            <w:vAlign w:val="center"/>
          </w:tcPr>
          <w:p w14:paraId="252BE7E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bottom w:val="single" w:color="auto" w:sz="4" w:space="0"/>
              <w:tl2br w:val="nil"/>
              <w:tr2bl w:val="nil"/>
            </w:tcBorders>
            <w:shd w:val="clear" w:color="auto" w:fill="auto"/>
            <w:tcMar>
              <w:top w:w="15" w:type="dxa"/>
              <w:left w:w="15" w:type="dxa"/>
              <w:right w:w="15" w:type="dxa"/>
            </w:tcMar>
            <w:vAlign w:val="center"/>
          </w:tcPr>
          <w:p w14:paraId="4518EEE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bottom w:val="single" w:color="auto" w:sz="4" w:space="0"/>
              <w:tl2br w:val="nil"/>
              <w:tr2bl w:val="nil"/>
            </w:tcBorders>
            <w:shd w:val="clear" w:color="auto" w:fill="auto"/>
            <w:tcMar>
              <w:top w:w="15" w:type="dxa"/>
              <w:left w:w="15" w:type="dxa"/>
              <w:right w:w="15" w:type="dxa"/>
            </w:tcMar>
            <w:vAlign w:val="center"/>
          </w:tcPr>
          <w:p w14:paraId="37BD118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7A45AC1">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00985F74">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0"/>
                <w:sz w:val="18"/>
                <w:szCs w:val="18"/>
                <w:lang w:val="en-US" w:eastAsia="zh-CN" w:bidi="ar"/>
              </w:rPr>
            </w:pPr>
            <w:r>
              <w:rPr>
                <w:rFonts w:hint="eastAsia" w:ascii="仿宋_GB2312" w:hAnsi="宋体" w:eastAsia="仿宋_GB2312" w:cs="仿宋_GB2312"/>
                <w:sz w:val="18"/>
                <w:szCs w:val="18"/>
              </w:rPr>
              <w:t>主要负责人未履行本法规定的安全生产管理职责，导致发生</w:t>
            </w:r>
            <w:r>
              <w:rPr>
                <w:rFonts w:hint="eastAsia" w:ascii="仿宋_GB2312" w:hAnsi="宋体" w:eastAsia="仿宋_GB2312" w:cs="仿宋_GB2312"/>
                <w:kern w:val="0"/>
                <w:sz w:val="18"/>
                <w:szCs w:val="18"/>
                <w:lang w:val="en-US" w:eastAsia="zh-CN" w:bidi="ar"/>
              </w:rPr>
              <w:t>①</w:t>
            </w:r>
            <w:r>
              <w:rPr>
                <w:rFonts w:hint="eastAsia" w:ascii="仿宋_GB2312" w:hAnsi="宋体" w:eastAsia="仿宋_GB2312" w:cs="仿宋_GB2312"/>
                <w:kern w:val="0"/>
                <w:sz w:val="18"/>
                <w:szCs w:val="18"/>
                <w:lang w:bidi="ar"/>
              </w:rPr>
              <w:t>发生重大事故</w:t>
            </w:r>
            <w:r>
              <w:rPr>
                <w:rFonts w:hint="eastAsia" w:ascii="仿宋_GB2312" w:hAnsi="宋体" w:eastAsia="仿宋_GB2312" w:cs="仿宋_GB2312"/>
                <w:kern w:val="0"/>
                <w:sz w:val="18"/>
                <w:szCs w:val="18"/>
                <w:lang w:val="en-US" w:eastAsia="zh-CN" w:bidi="ar"/>
              </w:rPr>
              <w:t>的</w:t>
            </w:r>
          </w:p>
          <w:p w14:paraId="59E6F39A">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val="en-US" w:eastAsia="zh-CN" w:bidi="ar"/>
              </w:rPr>
              <w:t>②发生</w:t>
            </w:r>
            <w:r>
              <w:rPr>
                <w:rFonts w:hint="eastAsia" w:ascii="仿宋_GB2312" w:hAnsi="宋体" w:eastAsia="仿宋_GB2312" w:cs="仿宋_GB2312"/>
                <w:kern w:val="0"/>
                <w:sz w:val="18"/>
                <w:szCs w:val="18"/>
                <w:lang w:bidi="ar"/>
              </w:rPr>
              <w:t>特别重大事故的</w:t>
            </w:r>
          </w:p>
        </w:tc>
        <w:tc>
          <w:tcPr>
            <w:tcW w:w="2655" w:type="dxa"/>
            <w:tcBorders>
              <w:tl2br w:val="nil"/>
              <w:tr2bl w:val="nil"/>
            </w:tcBorders>
            <w:shd w:val="clear" w:color="auto" w:fill="auto"/>
            <w:tcMar>
              <w:top w:w="15" w:type="dxa"/>
              <w:left w:w="15" w:type="dxa"/>
              <w:right w:w="15" w:type="dxa"/>
            </w:tcMar>
            <w:vAlign w:val="center"/>
          </w:tcPr>
          <w:p w14:paraId="4F410507">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val="en-US" w:eastAsia="zh-CN" w:bidi="ar"/>
              </w:rPr>
              <w:t>①</w:t>
            </w:r>
            <w:r>
              <w:rPr>
                <w:rFonts w:hint="eastAsia" w:ascii="仿宋_GB2312" w:hAnsi="宋体" w:eastAsia="仿宋_GB2312" w:cs="仿宋_GB2312"/>
                <w:kern w:val="0"/>
                <w:sz w:val="18"/>
                <w:szCs w:val="18"/>
                <w:lang w:bidi="ar"/>
              </w:rPr>
              <w:t>对主要负责人处上一年年收入百分之八十</w:t>
            </w:r>
            <w:r>
              <w:rPr>
                <w:rFonts w:hint="eastAsia" w:ascii="仿宋_GB2312" w:hAnsi="宋体" w:eastAsia="仿宋_GB2312" w:cs="仿宋_GB2312"/>
                <w:kern w:val="0"/>
                <w:sz w:val="18"/>
                <w:szCs w:val="18"/>
                <w:lang w:val="en-US" w:eastAsia="zh-CN" w:bidi="ar"/>
              </w:rPr>
              <w:t>的罚款；</w:t>
            </w:r>
          </w:p>
          <w:p w14:paraId="768FF085">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val="en-US" w:eastAsia="zh-CN" w:bidi="ar"/>
              </w:rPr>
              <w:t>②</w:t>
            </w:r>
            <w:r>
              <w:rPr>
                <w:rFonts w:hint="eastAsia" w:ascii="仿宋_GB2312" w:hAnsi="宋体" w:eastAsia="仿宋_GB2312" w:cs="仿宋_GB2312"/>
                <w:kern w:val="0"/>
                <w:sz w:val="18"/>
                <w:szCs w:val="18"/>
                <w:lang w:bidi="ar"/>
              </w:rPr>
              <w:t>对主要负责人处上一年年收入百分之一百的罚款。</w:t>
            </w:r>
          </w:p>
        </w:tc>
      </w:tr>
      <w:tr w14:paraId="15541F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498C167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z w:val="18"/>
                <w:szCs w:val="18"/>
                <w:lang w:eastAsia="zh-CN"/>
              </w:rPr>
            </w:pPr>
            <w:r>
              <w:rPr>
                <w:rFonts w:hint="eastAsia" w:ascii="仿宋_GB2312" w:hAnsi="宋体" w:eastAsia="仿宋_GB2312" w:cs="仿宋_GB2312"/>
                <w:kern w:val="0"/>
                <w:sz w:val="18"/>
                <w:szCs w:val="18"/>
                <w:lang w:val="en-US" w:eastAsia="zh-CN" w:bidi="ar"/>
              </w:rPr>
              <w:t>6</w:t>
            </w:r>
          </w:p>
        </w:tc>
        <w:tc>
          <w:tcPr>
            <w:tcW w:w="1005" w:type="dxa"/>
            <w:vMerge w:val="restart"/>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0FDD721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煤矿其他负责人未履行</w:t>
            </w:r>
            <w:r>
              <w:rPr>
                <w:rFonts w:hint="eastAsia" w:ascii="仿宋_GB2312" w:hAnsi="宋体" w:eastAsia="仿宋_GB2312" w:cs="仿宋_GB2312"/>
                <w:kern w:val="0"/>
                <w:sz w:val="18"/>
                <w:szCs w:val="18"/>
                <w:lang w:val="en-US" w:eastAsia="zh-CN" w:bidi="ar"/>
              </w:rPr>
              <w:t>安全生产管理</w:t>
            </w:r>
            <w:r>
              <w:rPr>
                <w:rFonts w:hint="eastAsia" w:ascii="仿宋_GB2312" w:hAnsi="宋体" w:eastAsia="仿宋_GB2312" w:cs="仿宋_GB2312"/>
                <w:kern w:val="0"/>
                <w:sz w:val="18"/>
                <w:szCs w:val="18"/>
                <w:lang w:bidi="ar"/>
              </w:rPr>
              <w:t>职责的</w:t>
            </w:r>
          </w:p>
        </w:tc>
        <w:tc>
          <w:tcPr>
            <w:tcW w:w="3667" w:type="dxa"/>
            <w:vMerge w:val="restart"/>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2962A96C">
            <w:pPr>
              <w:keepNext w:val="0"/>
              <w:keepLines w:val="0"/>
              <w:pageBreakBefore w:val="0"/>
              <w:widowControl w:val="0"/>
              <w:numPr>
                <w:ilvl w:val="-1"/>
                <w:numId w:val="0"/>
              </w:numPr>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w:t>
            </w:r>
            <w:r>
              <w:rPr>
                <w:rFonts w:hint="default" w:ascii="仿宋_GB2312" w:hAnsi="宋体" w:eastAsia="仿宋_GB2312" w:cs="仿宋_GB2312"/>
                <w:kern w:val="0"/>
                <w:sz w:val="18"/>
                <w:szCs w:val="18"/>
                <w:lang w:bidi="ar"/>
              </w:rPr>
              <w:t xml:space="preserve">第五条 </w:t>
            </w:r>
            <w:r>
              <w:rPr>
                <w:rFonts w:hint="eastAsia" w:ascii="仿宋_GB2312" w:hAnsi="宋体" w:eastAsia="仿宋_GB2312" w:cs="仿宋_GB2312"/>
                <w:kern w:val="0"/>
                <w:sz w:val="18"/>
                <w:szCs w:val="18"/>
                <w:lang w:bidi="ar"/>
              </w:rPr>
              <w:t>其他负责人对职责范围内的安全生产工作负责。</w:t>
            </w:r>
          </w:p>
          <w:p w14:paraId="6F0548B4">
            <w:pPr>
              <w:keepNext w:val="0"/>
              <w:keepLines w:val="0"/>
              <w:pageBreakBefore w:val="0"/>
              <w:widowControl w:val="0"/>
              <w:numPr>
                <w:ilvl w:val="-1"/>
                <w:numId w:val="0"/>
              </w:numPr>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第二十二条</w:t>
            </w:r>
            <w:r>
              <w:rPr>
                <w:rFonts w:ascii="仿宋_GB2312" w:hAnsi="宋体" w:eastAsia="仿宋_GB2312" w:cs="仿宋_GB2312"/>
                <w:kern w:val="0"/>
                <w:sz w:val="18"/>
                <w:szCs w:val="18"/>
                <w:lang w:bidi="ar"/>
              </w:rPr>
              <w:t xml:space="preserve"> 生</w:t>
            </w:r>
            <w:r>
              <w:rPr>
                <w:rFonts w:hint="eastAsia" w:ascii="仿宋_GB2312" w:hAnsi="宋体" w:eastAsia="仿宋_GB2312" w:cs="仿宋_GB2312"/>
                <w:kern w:val="0"/>
                <w:sz w:val="18"/>
                <w:szCs w:val="18"/>
                <w:lang w:bidi="ar"/>
              </w:rPr>
              <w:t>产经营单位的全员安全生产责任制应当明确各岗位的责任人员、责任范围和考核标准等内容。生产经营单位应当建立相应的机制，加强对全员安全生产责任制落实情况的监督考核，保证全员安全生产责任制的落实。</w:t>
            </w:r>
          </w:p>
          <w:p w14:paraId="54EF6038">
            <w:pPr>
              <w:keepNext w:val="0"/>
              <w:keepLines w:val="0"/>
              <w:pageBreakBefore w:val="0"/>
              <w:widowControl w:val="0"/>
              <w:numPr>
                <w:ilvl w:val="-1"/>
                <w:numId w:val="0"/>
              </w:numPr>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《煤矿安全生产条例》第四条第二款  煤矿企业主要负责人（含实际控制人，下同）是本企业安全生产第一责任人，对本企业安全生产工作全面负责。其他负责人对职责范围内的安全生产工作负责。</w:t>
            </w:r>
          </w:p>
        </w:tc>
        <w:tc>
          <w:tcPr>
            <w:tcW w:w="4082" w:type="dxa"/>
            <w:vMerge w:val="restart"/>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0190AF0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《安全生产法》第九十六条 生产经营单位的其他负责人和安全生产管理人员未履行本法规定的安全生产管理职责的，责令限期改正，处一万元以上三万元以下的罚款；导致发生生产安全事故的，暂停或者吊销其与安全生产有关的资格，并处上一年年收入百分之二十以上百分之五十以下的罚款；构成犯罪的，依照刑法有关规定追究刑事责任。</w:t>
            </w:r>
          </w:p>
          <w:p w14:paraId="75C701F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《煤矿安全生产条例》第六十八条  煤矿企业的决策机构、主要负责人、其他负责人和安全生产管理人员未依法履行安全生产管理职责的，依照《中华人民共和国安全生产法》有关规定处罚并承担相应责任。</w:t>
            </w:r>
          </w:p>
        </w:tc>
        <w:tc>
          <w:tcPr>
            <w:tcW w:w="459" w:type="dxa"/>
            <w:tcBorders>
              <w:tl2br w:val="nil"/>
              <w:tr2bl w:val="nil"/>
            </w:tcBorders>
            <w:shd w:val="clear" w:color="auto" w:fill="auto"/>
            <w:noWrap/>
            <w:tcMar>
              <w:top w:w="15" w:type="dxa"/>
              <w:left w:w="15" w:type="dxa"/>
              <w:right w:w="15" w:type="dxa"/>
            </w:tcMar>
            <w:vAlign w:val="center"/>
          </w:tcPr>
          <w:p w14:paraId="47BBB3E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1FD3471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04ED70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2F75D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1EF8077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6B567A2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7A7AB60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7A44FD2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2153C1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7B68FA7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1F03746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3447A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7E5956A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6137691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321A3F9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37E262A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389CC7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3B032EC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8D5BC6D">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A0FCC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10"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039B74F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4EE203A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25698E3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1AD6EF9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55E2D9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5B82742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生产经营单位的其他负责人和安全生产管理人员有1项未履行本法规定的安全生产管理职责的。</w:t>
            </w:r>
          </w:p>
        </w:tc>
        <w:tc>
          <w:tcPr>
            <w:tcW w:w="2655" w:type="dxa"/>
            <w:tcBorders>
              <w:tl2br w:val="nil"/>
              <w:tr2bl w:val="nil"/>
            </w:tcBorders>
            <w:shd w:val="clear" w:color="auto" w:fill="auto"/>
            <w:tcMar>
              <w:top w:w="15" w:type="dxa"/>
              <w:left w:w="15" w:type="dxa"/>
              <w:right w:w="15" w:type="dxa"/>
            </w:tcMar>
            <w:vAlign w:val="center"/>
          </w:tcPr>
          <w:p w14:paraId="1C38EB7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处1万元以上1.5万元以下的罚款。导致发生生产安全事故的，暂停或者吊销其与安全生产有关的资格，并处上一年年收入百分之二十以上百分之三十以下的罚款。</w:t>
            </w:r>
          </w:p>
        </w:tc>
      </w:tr>
      <w:tr w14:paraId="78F6C0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7"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466D1F1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65A3F44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1E3910C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4CFF6DF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34E440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76D3D4C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生产经营单位的其他负责人和安全生产管理人员有2项未履行本法规定的安全生产管理职责的。</w:t>
            </w:r>
          </w:p>
        </w:tc>
        <w:tc>
          <w:tcPr>
            <w:tcW w:w="2655" w:type="dxa"/>
            <w:tcBorders>
              <w:tl2br w:val="nil"/>
              <w:tr2bl w:val="nil"/>
            </w:tcBorders>
            <w:shd w:val="clear" w:color="auto" w:fill="auto"/>
            <w:tcMar>
              <w:top w:w="15" w:type="dxa"/>
              <w:left w:w="15" w:type="dxa"/>
              <w:right w:w="15" w:type="dxa"/>
            </w:tcMar>
            <w:vAlign w:val="center"/>
          </w:tcPr>
          <w:p w14:paraId="6249512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w:t>
            </w:r>
            <w:r>
              <w:rPr>
                <w:rFonts w:ascii="仿宋_GB2312" w:hAnsi="宋体" w:eastAsia="仿宋_GB2312" w:cs="仿宋_GB2312"/>
                <w:kern w:val="0"/>
                <w:sz w:val="18"/>
                <w:szCs w:val="18"/>
                <w:lang w:val="is-IS" w:bidi="ar"/>
              </w:rPr>
              <w:t>1.5万元以上2.5万元以下</w:t>
            </w:r>
            <w:r>
              <w:rPr>
                <w:rFonts w:hint="eastAsia" w:ascii="仿宋_GB2312" w:hAnsi="宋体" w:eastAsia="仿宋_GB2312" w:cs="仿宋_GB2312"/>
                <w:kern w:val="0"/>
                <w:sz w:val="18"/>
                <w:szCs w:val="18"/>
                <w:lang w:bidi="ar"/>
              </w:rPr>
              <w:t>的罚款。导致发生生产安全事故的，暂停或者吊销其与安全生产有关的资格，并处上一年年收入百分之三十以上百分之四十以下的罚款。</w:t>
            </w:r>
          </w:p>
        </w:tc>
      </w:tr>
      <w:tr w14:paraId="30A2B8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26"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469C3AA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5C6BC7C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429F1A7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23E617B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4057DD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160D4C2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生产经营单位的其他负责人和安全生产管理人员有3项及以上未履行本法规定的安全生产管理职责的。</w:t>
            </w:r>
          </w:p>
        </w:tc>
        <w:tc>
          <w:tcPr>
            <w:tcW w:w="2655" w:type="dxa"/>
            <w:tcBorders>
              <w:tl2br w:val="nil"/>
              <w:tr2bl w:val="nil"/>
            </w:tcBorders>
            <w:shd w:val="clear" w:color="auto" w:fill="auto"/>
            <w:tcMar>
              <w:top w:w="15" w:type="dxa"/>
              <w:left w:w="15" w:type="dxa"/>
              <w:right w:w="15" w:type="dxa"/>
            </w:tcMar>
            <w:vAlign w:val="center"/>
          </w:tcPr>
          <w:p w14:paraId="21D3F3B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处2.5万元以上3万元以下的罚款。导致发生生产安全事故的，暂停或者吊销其与安全生产有关的资格，并处上一年年收入百分之四十以上百分之五十以下的罚款。</w:t>
            </w:r>
          </w:p>
        </w:tc>
      </w:tr>
      <w:tr w14:paraId="5C9F63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 w:hRule="atLeast"/>
          <w:jc w:val="center"/>
        </w:trPr>
        <w:tc>
          <w:tcPr>
            <w:tcW w:w="418" w:type="dxa"/>
            <w:vMerge w:val="restart"/>
            <w:tcBorders>
              <w:top w:val="single" w:color="auto" w:sz="4" w:space="0"/>
              <w:tl2br w:val="nil"/>
              <w:tr2bl w:val="nil"/>
            </w:tcBorders>
            <w:shd w:val="clear" w:color="auto" w:fill="auto"/>
            <w:noWrap/>
            <w:tcMar>
              <w:top w:w="15" w:type="dxa"/>
              <w:left w:w="15" w:type="dxa"/>
              <w:right w:w="15" w:type="dxa"/>
            </w:tcMar>
            <w:vAlign w:val="center"/>
          </w:tcPr>
          <w:p w14:paraId="0349133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hint="eastAsia" w:ascii="仿宋_GB2312" w:hAnsi="宋体" w:eastAsia="仿宋_GB2312" w:cs="仿宋_GB2312"/>
                <w:sz w:val="18"/>
                <w:szCs w:val="18"/>
                <w:lang w:val="en-US" w:eastAsia="zh-CN"/>
              </w:rPr>
            </w:pPr>
            <w:r>
              <w:rPr>
                <w:rFonts w:hint="eastAsia" w:ascii="仿宋_GB2312" w:hAnsi="宋体" w:eastAsia="仿宋_GB2312" w:cs="仿宋_GB2312"/>
                <w:sz w:val="18"/>
                <w:szCs w:val="18"/>
                <w:lang w:val="en-US" w:eastAsia="zh-CN"/>
              </w:rPr>
              <w:t>7</w:t>
            </w:r>
          </w:p>
        </w:tc>
        <w:tc>
          <w:tcPr>
            <w:tcW w:w="1005" w:type="dxa"/>
            <w:vMerge w:val="restart"/>
            <w:tcBorders>
              <w:top w:val="single" w:color="auto" w:sz="4" w:space="0"/>
              <w:tl2br w:val="nil"/>
              <w:tr2bl w:val="nil"/>
            </w:tcBorders>
            <w:shd w:val="clear" w:color="auto" w:fill="auto"/>
            <w:tcMar>
              <w:top w:w="15" w:type="dxa"/>
              <w:left w:w="15" w:type="dxa"/>
              <w:right w:w="15" w:type="dxa"/>
            </w:tcMar>
            <w:vAlign w:val="center"/>
          </w:tcPr>
          <w:p w14:paraId="1F7FAFC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hint="eastAsia" w:ascii="仿宋_GB2312" w:hAnsi="宋体" w:eastAsia="仿宋_GB2312" w:cs="仿宋_GB2312"/>
                <w:sz w:val="18"/>
                <w:szCs w:val="18"/>
              </w:rPr>
              <w:t>煤矿其他负责人未履行安全生产管理职责，导致事故发生的违法行为</w:t>
            </w:r>
          </w:p>
        </w:tc>
        <w:tc>
          <w:tcPr>
            <w:tcW w:w="3667" w:type="dxa"/>
            <w:vMerge w:val="restart"/>
            <w:tcBorders>
              <w:top w:val="single" w:color="auto" w:sz="4" w:space="0"/>
              <w:tl2br w:val="nil"/>
              <w:tr2bl w:val="nil"/>
            </w:tcBorders>
            <w:shd w:val="clear" w:color="auto" w:fill="auto"/>
            <w:tcMar>
              <w:top w:w="15" w:type="dxa"/>
              <w:left w:w="15" w:type="dxa"/>
              <w:right w:w="15" w:type="dxa"/>
            </w:tcMar>
            <w:vAlign w:val="center"/>
          </w:tcPr>
          <w:p w14:paraId="349FB43A">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sz w:val="18"/>
                <w:szCs w:val="18"/>
              </w:rPr>
            </w:pPr>
            <w:r>
              <w:rPr>
                <w:rFonts w:hint="eastAsia" w:ascii="仿宋_GB2312" w:hAnsi="宋体" w:eastAsia="仿宋_GB2312" w:cs="仿宋_GB2312"/>
                <w:sz w:val="18"/>
                <w:szCs w:val="18"/>
              </w:rPr>
              <w:t>《安全生产法》第五条  生产经营单位的主要负责人是本单位安全生产第一责任人，对本单位的安全生产工作全面负责。其他负责人对职责范围内的安全生产工作负责。</w:t>
            </w:r>
          </w:p>
          <w:p w14:paraId="0EC6CFB7">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sz w:val="18"/>
                <w:szCs w:val="18"/>
              </w:rPr>
            </w:pPr>
            <w:r>
              <w:rPr>
                <w:rFonts w:hint="eastAsia" w:ascii="仿宋_GB2312" w:hAnsi="宋体" w:eastAsia="仿宋_GB2312" w:cs="仿宋_GB2312"/>
                <w:sz w:val="18"/>
                <w:szCs w:val="18"/>
              </w:rPr>
              <w:t>《安全生产法》第二十二条  生产经营单位的全员安全生产责任制应当明确各岗位的责任人员、责任范围和考核标准等内容。</w:t>
            </w:r>
          </w:p>
          <w:p w14:paraId="560E2B68">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sz w:val="18"/>
                <w:szCs w:val="18"/>
              </w:rPr>
            </w:pPr>
            <w:r>
              <w:rPr>
                <w:rFonts w:hint="eastAsia" w:ascii="仿宋_GB2312" w:hAnsi="宋体" w:eastAsia="仿宋_GB2312" w:cs="仿宋_GB2312"/>
                <w:sz w:val="18"/>
                <w:szCs w:val="18"/>
              </w:rPr>
              <w:t xml:space="preserve">生产经营单位应当建立相应的机制，加强对全员安全生产责任制落实情况的监督考核，保证全员安全生产责任制的落实。 </w:t>
            </w:r>
          </w:p>
          <w:p w14:paraId="1F30F88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hint="eastAsia" w:ascii="仿宋_GB2312" w:hAnsi="宋体" w:eastAsia="仿宋_GB2312" w:cs="仿宋_GB2312"/>
                <w:sz w:val="18"/>
                <w:szCs w:val="18"/>
              </w:rPr>
              <w:t>《煤矿安全生产条例》第四条第二款  煤矿企业主要负责人（含实际控制人，下同）是本企业安全生产第一责任人，对本企业安全生产工作全面负责。其他负责人对职责范围内的安全生产工作负责。</w:t>
            </w:r>
          </w:p>
        </w:tc>
        <w:tc>
          <w:tcPr>
            <w:tcW w:w="4082" w:type="dxa"/>
            <w:vMerge w:val="restart"/>
            <w:tcBorders>
              <w:top w:val="single" w:color="auto" w:sz="4" w:space="0"/>
              <w:tl2br w:val="nil"/>
              <w:tr2bl w:val="nil"/>
            </w:tcBorders>
            <w:shd w:val="clear" w:color="auto" w:fill="auto"/>
            <w:tcMar>
              <w:top w:w="15" w:type="dxa"/>
              <w:left w:w="15" w:type="dxa"/>
              <w:right w:w="15" w:type="dxa"/>
            </w:tcMar>
            <w:vAlign w:val="center"/>
          </w:tcPr>
          <w:p w14:paraId="4E3C8854">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sz w:val="18"/>
                <w:szCs w:val="18"/>
              </w:rPr>
            </w:pPr>
            <w:r>
              <w:rPr>
                <w:rFonts w:hint="eastAsia" w:ascii="仿宋_GB2312" w:hAnsi="宋体" w:eastAsia="仿宋_GB2312" w:cs="仿宋_GB2312"/>
                <w:sz w:val="18"/>
                <w:szCs w:val="18"/>
              </w:rPr>
              <w:t xml:space="preserve">《安全生产法》第九十六条  生产经营单位的其他负责人和安全生产管理人员未履行本法规定的安全生产管理职责的，责令限期改正，处一万元以上三万元以下的罚款；导致发生生产安全事故的，暂停或者吊销其与安全生产有关的资格，并处上一年年收入百分之二十以上百分之五十以下的罚款；构成犯罪的，依照刑法有关规定追究刑事责任。 </w:t>
            </w:r>
          </w:p>
          <w:p w14:paraId="1EE92EB5">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sz w:val="18"/>
                <w:szCs w:val="18"/>
              </w:rPr>
            </w:pPr>
            <w:r>
              <w:rPr>
                <w:rFonts w:hint="eastAsia" w:ascii="仿宋_GB2312" w:hAnsi="宋体" w:eastAsia="仿宋_GB2312" w:cs="仿宋_GB2312"/>
                <w:sz w:val="18"/>
                <w:szCs w:val="18"/>
              </w:rPr>
              <w:t xml:space="preserve">《生产安全事故罚款处罚规定》第二十条  事故发生单位其他负责人和安全生产管理人员未依法履行安全生产管理职责，导致事故发生的，依照下列规定处以罚款： </w:t>
            </w:r>
          </w:p>
          <w:p w14:paraId="6E206F5B">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sz w:val="18"/>
                <w:szCs w:val="18"/>
              </w:rPr>
            </w:pPr>
            <w:r>
              <w:rPr>
                <w:rFonts w:hint="eastAsia" w:ascii="仿宋_GB2312" w:hAnsi="宋体" w:eastAsia="仿宋_GB2312" w:cs="仿宋_GB2312"/>
                <w:sz w:val="18"/>
                <w:szCs w:val="18"/>
              </w:rPr>
              <w:t xml:space="preserve">（一）发生一般事故的，处上一年年收入20％至30%的罚款； </w:t>
            </w:r>
          </w:p>
          <w:p w14:paraId="1D1803C7">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sz w:val="18"/>
                <w:szCs w:val="18"/>
              </w:rPr>
            </w:pPr>
            <w:r>
              <w:rPr>
                <w:rFonts w:hint="eastAsia" w:ascii="仿宋_GB2312" w:hAnsi="宋体" w:eastAsia="仿宋_GB2312" w:cs="仿宋_GB2312"/>
                <w:sz w:val="18"/>
                <w:szCs w:val="18"/>
              </w:rPr>
              <w:t>（二）发生较大事故的，处上一年年收入30％至40%的罚款</w:t>
            </w:r>
          </w:p>
          <w:p w14:paraId="3781F9D3">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sz w:val="18"/>
                <w:szCs w:val="18"/>
              </w:rPr>
            </w:pPr>
            <w:r>
              <w:rPr>
                <w:rFonts w:hint="eastAsia" w:ascii="仿宋_GB2312" w:hAnsi="宋体" w:eastAsia="仿宋_GB2312" w:cs="仿宋_GB2312"/>
                <w:sz w:val="18"/>
                <w:szCs w:val="18"/>
              </w:rPr>
              <w:t xml:space="preserve">（三）发生重大事故的，处上一年年收入40％至50%的罚款； </w:t>
            </w:r>
          </w:p>
          <w:p w14:paraId="3029B78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hint="eastAsia" w:ascii="仿宋_GB2312" w:hAnsi="宋体" w:eastAsia="仿宋_GB2312" w:cs="仿宋_GB2312"/>
                <w:sz w:val="18"/>
                <w:szCs w:val="18"/>
              </w:rPr>
              <w:t>（四）发生特别重大事故的，处上一年年收入50％的罚款。</w:t>
            </w:r>
          </w:p>
        </w:tc>
        <w:tc>
          <w:tcPr>
            <w:tcW w:w="459" w:type="dxa"/>
            <w:tcBorders>
              <w:tl2br w:val="nil"/>
              <w:tr2bl w:val="nil"/>
            </w:tcBorders>
            <w:shd w:val="clear" w:color="auto" w:fill="auto"/>
            <w:noWrap/>
            <w:tcMar>
              <w:top w:w="15" w:type="dxa"/>
              <w:left w:w="15" w:type="dxa"/>
              <w:right w:w="15" w:type="dxa"/>
            </w:tcMar>
            <w:vAlign w:val="center"/>
          </w:tcPr>
          <w:p w14:paraId="2DD4B32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3B61415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BAA127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4E1B73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E41CC0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20A6A2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5E0834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CAA927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829941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74BB6B2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75ABF40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7066C6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7E49FC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DAF16B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3A1119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93FA36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32C8F4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3359DF8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7C6242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655601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3"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FA5A92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0395E0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1712D9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E85009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CC94FB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115DE70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sz w:val="18"/>
                <w:szCs w:val="18"/>
              </w:rPr>
              <w:t>其他负责人和安全生产管理人员未依法履行安全生产管理职责，导致</w:t>
            </w:r>
            <w:r>
              <w:rPr>
                <w:rFonts w:hint="eastAsia" w:ascii="仿宋_GB2312" w:hAnsi="宋体" w:eastAsia="仿宋_GB2312" w:cs="仿宋_GB2312"/>
                <w:kern w:val="0"/>
                <w:sz w:val="18"/>
                <w:szCs w:val="18"/>
                <w:lang w:bidi="ar"/>
              </w:rPr>
              <w:t>发生一般生产安全事故的</w:t>
            </w:r>
          </w:p>
        </w:tc>
        <w:tc>
          <w:tcPr>
            <w:tcW w:w="2655" w:type="dxa"/>
            <w:tcBorders>
              <w:tl2br w:val="nil"/>
              <w:tr2bl w:val="nil"/>
            </w:tcBorders>
            <w:shd w:val="clear" w:color="auto" w:fill="auto"/>
            <w:tcMar>
              <w:top w:w="15" w:type="dxa"/>
              <w:left w:w="15" w:type="dxa"/>
              <w:right w:w="15" w:type="dxa"/>
            </w:tcMar>
            <w:vAlign w:val="center"/>
          </w:tcPr>
          <w:p w14:paraId="528D20C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对煤矿企业其他负责人处上一年年收入百分之二十以上百分之三十以下的罚款。</w:t>
            </w:r>
          </w:p>
        </w:tc>
      </w:tr>
      <w:tr w14:paraId="053C6E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93"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3C018A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150227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3FD03F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3255ED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691DE6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5F2985B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sz w:val="18"/>
                <w:szCs w:val="18"/>
              </w:rPr>
              <w:t>其他负责人和安全生产管理人员未依法履行安全生产管理职责，导致</w:t>
            </w:r>
            <w:r>
              <w:rPr>
                <w:rFonts w:hint="eastAsia" w:ascii="仿宋_GB2312" w:hAnsi="宋体" w:eastAsia="仿宋_GB2312" w:cs="仿宋_GB2312"/>
                <w:kern w:val="0"/>
                <w:sz w:val="18"/>
                <w:szCs w:val="18"/>
                <w:lang w:bidi="ar"/>
              </w:rPr>
              <w:t>发生较大生产安全事故的</w:t>
            </w:r>
          </w:p>
        </w:tc>
        <w:tc>
          <w:tcPr>
            <w:tcW w:w="2655" w:type="dxa"/>
            <w:tcBorders>
              <w:tl2br w:val="nil"/>
              <w:tr2bl w:val="nil"/>
            </w:tcBorders>
            <w:shd w:val="clear" w:color="auto" w:fill="auto"/>
            <w:tcMar>
              <w:top w:w="15" w:type="dxa"/>
              <w:left w:w="15" w:type="dxa"/>
              <w:right w:w="15" w:type="dxa"/>
            </w:tcMar>
            <w:vAlign w:val="center"/>
          </w:tcPr>
          <w:p w14:paraId="48954AD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对煤矿企业其他负责人处上一年年收入百分之三十以上百分之四十以下的罚款。</w:t>
            </w:r>
          </w:p>
        </w:tc>
      </w:tr>
      <w:tr w14:paraId="275B74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28" w:hRule="atLeast"/>
          <w:jc w:val="center"/>
        </w:trPr>
        <w:tc>
          <w:tcPr>
            <w:tcW w:w="418" w:type="dxa"/>
            <w:vMerge w:val="continue"/>
            <w:tcBorders>
              <w:bottom w:val="single" w:color="auto" w:sz="4" w:space="0"/>
              <w:tl2br w:val="nil"/>
              <w:tr2bl w:val="nil"/>
            </w:tcBorders>
            <w:shd w:val="clear" w:color="auto" w:fill="auto"/>
            <w:noWrap/>
            <w:tcMar>
              <w:top w:w="15" w:type="dxa"/>
              <w:left w:w="15" w:type="dxa"/>
              <w:right w:w="15" w:type="dxa"/>
            </w:tcMar>
            <w:vAlign w:val="center"/>
          </w:tcPr>
          <w:p w14:paraId="18C7428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bottom w:val="single" w:color="auto" w:sz="4" w:space="0"/>
              <w:tl2br w:val="nil"/>
              <w:tr2bl w:val="nil"/>
            </w:tcBorders>
            <w:shd w:val="clear" w:color="auto" w:fill="auto"/>
            <w:tcMar>
              <w:top w:w="15" w:type="dxa"/>
              <w:left w:w="15" w:type="dxa"/>
              <w:right w:w="15" w:type="dxa"/>
            </w:tcMar>
            <w:vAlign w:val="center"/>
          </w:tcPr>
          <w:p w14:paraId="1293D7E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bottom w:val="single" w:color="auto" w:sz="4" w:space="0"/>
              <w:tl2br w:val="nil"/>
              <w:tr2bl w:val="nil"/>
            </w:tcBorders>
            <w:shd w:val="clear" w:color="auto" w:fill="auto"/>
            <w:tcMar>
              <w:top w:w="15" w:type="dxa"/>
              <w:left w:w="15" w:type="dxa"/>
              <w:right w:w="15" w:type="dxa"/>
            </w:tcMar>
            <w:vAlign w:val="center"/>
          </w:tcPr>
          <w:p w14:paraId="132C086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bottom w:val="single" w:color="auto" w:sz="4" w:space="0"/>
              <w:tl2br w:val="nil"/>
              <w:tr2bl w:val="nil"/>
            </w:tcBorders>
            <w:shd w:val="clear" w:color="auto" w:fill="auto"/>
            <w:tcMar>
              <w:top w:w="15" w:type="dxa"/>
              <w:left w:w="15" w:type="dxa"/>
              <w:right w:w="15" w:type="dxa"/>
            </w:tcMar>
            <w:vAlign w:val="center"/>
          </w:tcPr>
          <w:p w14:paraId="5A66116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C633F9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6B8EE28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val="en-US" w:eastAsia="zh-CN" w:bidi="ar"/>
              </w:rPr>
            </w:pPr>
            <w:r>
              <w:rPr>
                <w:rFonts w:hint="eastAsia" w:ascii="仿宋_GB2312" w:hAnsi="宋体" w:eastAsia="仿宋_GB2312" w:cs="仿宋_GB2312"/>
                <w:sz w:val="18"/>
                <w:szCs w:val="18"/>
              </w:rPr>
              <w:t>其他负责人和安全生产管理人员未依法履行安全生产管理职责，导致</w:t>
            </w:r>
            <w:r>
              <w:rPr>
                <w:rFonts w:hint="eastAsia" w:ascii="仿宋_GB2312" w:hAnsi="宋体" w:eastAsia="仿宋_GB2312" w:cs="仿宋_GB2312"/>
                <w:kern w:val="0"/>
                <w:sz w:val="18"/>
                <w:szCs w:val="18"/>
                <w:lang w:val="en-US" w:eastAsia="zh-CN" w:bidi="ar"/>
              </w:rPr>
              <w:t>①</w:t>
            </w:r>
            <w:r>
              <w:rPr>
                <w:rFonts w:hint="eastAsia" w:ascii="仿宋_GB2312" w:hAnsi="宋体" w:eastAsia="仿宋_GB2312" w:cs="仿宋_GB2312"/>
                <w:kern w:val="0"/>
                <w:sz w:val="18"/>
                <w:szCs w:val="18"/>
                <w:lang w:bidi="ar"/>
              </w:rPr>
              <w:t>发生重大生产安全事故</w:t>
            </w:r>
            <w:r>
              <w:rPr>
                <w:rFonts w:hint="eastAsia" w:ascii="仿宋_GB2312" w:hAnsi="宋体" w:eastAsia="仿宋_GB2312" w:cs="仿宋_GB2312"/>
                <w:kern w:val="0"/>
                <w:sz w:val="18"/>
                <w:szCs w:val="18"/>
                <w:lang w:val="en-US" w:eastAsia="zh-CN" w:bidi="ar"/>
              </w:rPr>
              <w:t>的</w:t>
            </w:r>
          </w:p>
          <w:p w14:paraId="1F16A73A">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1192" w:author="LV" w:date="2026-07-14T15:56:10Z"/>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val="en-US" w:eastAsia="zh-CN" w:bidi="ar"/>
              </w:rPr>
              <w:t>②发生</w:t>
            </w:r>
            <w:r>
              <w:rPr>
                <w:rFonts w:hint="eastAsia" w:ascii="仿宋_GB2312" w:hAnsi="宋体" w:eastAsia="仿宋_GB2312" w:cs="仿宋_GB2312"/>
                <w:kern w:val="0"/>
                <w:sz w:val="18"/>
                <w:szCs w:val="18"/>
                <w:lang w:bidi="ar"/>
              </w:rPr>
              <w:t>特别重大生产安全事故的</w:t>
            </w:r>
          </w:p>
          <w:p w14:paraId="54AA16E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tc>
        <w:tc>
          <w:tcPr>
            <w:tcW w:w="2655" w:type="dxa"/>
            <w:tcBorders>
              <w:tl2br w:val="nil"/>
              <w:tr2bl w:val="nil"/>
            </w:tcBorders>
            <w:shd w:val="clear" w:color="auto" w:fill="auto"/>
            <w:tcMar>
              <w:top w:w="15" w:type="dxa"/>
              <w:left w:w="15" w:type="dxa"/>
              <w:right w:w="15" w:type="dxa"/>
            </w:tcMar>
            <w:vAlign w:val="center"/>
          </w:tcPr>
          <w:p w14:paraId="52DF82A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val="en-US" w:eastAsia="zh-CN" w:bidi="ar"/>
              </w:rPr>
              <w:t>①</w:t>
            </w:r>
            <w:r>
              <w:rPr>
                <w:rFonts w:hint="eastAsia" w:ascii="仿宋_GB2312" w:hAnsi="宋体" w:eastAsia="仿宋_GB2312" w:cs="仿宋_GB2312"/>
                <w:kern w:val="0"/>
                <w:sz w:val="18"/>
                <w:szCs w:val="18"/>
                <w:lang w:bidi="ar"/>
              </w:rPr>
              <w:t>对煤矿企业其他负责人处上一年年收入百分之四十以上百分之五十以下的罚款。</w:t>
            </w:r>
          </w:p>
          <w:p w14:paraId="222AEAD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val="en-US" w:eastAsia="zh-CN" w:bidi="ar"/>
              </w:rPr>
              <w:t>②</w:t>
            </w:r>
            <w:r>
              <w:rPr>
                <w:rFonts w:hint="eastAsia" w:ascii="仿宋_GB2312" w:hAnsi="宋体" w:eastAsia="仿宋_GB2312" w:cs="仿宋_GB2312"/>
                <w:kern w:val="0"/>
                <w:sz w:val="18"/>
                <w:szCs w:val="18"/>
                <w:lang w:bidi="ar"/>
              </w:rPr>
              <w:t>对煤矿企业其他负责人处上一年年收入百分之五十的罚款。</w:t>
            </w:r>
          </w:p>
        </w:tc>
      </w:tr>
      <w:tr w14:paraId="3C20EF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6DAC18AD">
            <w:pPr>
              <w:keepNext w:val="0"/>
              <w:keepLines w:val="0"/>
              <w:pageBreakBefore w:val="0"/>
              <w:widowControl w:val="0"/>
              <w:kinsoku/>
              <w:wordWrap/>
              <w:overflowPunct w:val="0"/>
              <w:topLinePunct w:val="0"/>
              <w:autoSpaceDE/>
              <w:autoSpaceDN/>
              <w:bidi w:val="0"/>
              <w:adjustRightInd w:val="0"/>
              <w:snapToGrid w:val="0"/>
              <w:spacing w:line="256" w:lineRule="exact"/>
              <w:ind w:left="0" w:leftChars="0" w:right="0" w:rightChars="0" w:firstLine="0" w:firstLineChars="0"/>
              <w:jc w:val="center"/>
              <w:textAlignment w:val="center"/>
              <w:rPr>
                <w:rFonts w:hint="eastAsia" w:ascii="仿宋_GB2312" w:hAnsi="宋体" w:eastAsia="仿宋_GB2312" w:cs="仿宋_GB2312"/>
                <w:sz w:val="18"/>
                <w:szCs w:val="18"/>
                <w:lang w:eastAsia="zh-CN"/>
              </w:rPr>
            </w:pPr>
            <w:r>
              <w:rPr>
                <w:rFonts w:hint="eastAsia" w:ascii="仿宋_GB2312" w:hAnsi="宋体" w:eastAsia="仿宋_GB2312" w:cs="仿宋_GB2312"/>
                <w:kern w:val="0"/>
                <w:sz w:val="18"/>
                <w:szCs w:val="18"/>
                <w:lang w:val="en-US" w:eastAsia="zh-CN" w:bidi="ar"/>
              </w:rPr>
              <w:t>8</w:t>
            </w:r>
          </w:p>
        </w:tc>
        <w:tc>
          <w:tcPr>
            <w:tcW w:w="1005" w:type="dxa"/>
            <w:vMerge w:val="restart"/>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1008A65E">
            <w:pPr>
              <w:keepNext w:val="0"/>
              <w:keepLines w:val="0"/>
              <w:pageBreakBefore w:val="0"/>
              <w:widowControl w:val="0"/>
              <w:kinsoku/>
              <w:wordWrap/>
              <w:overflowPunct w:val="0"/>
              <w:topLinePunct w:val="0"/>
              <w:autoSpaceDE/>
              <w:autoSpaceDN/>
              <w:bidi w:val="0"/>
              <w:adjustRightInd w:val="0"/>
              <w:snapToGrid w:val="0"/>
              <w:spacing w:line="256"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煤矿安全生产管理</w:t>
            </w:r>
            <w:r>
              <w:rPr>
                <w:rFonts w:hint="eastAsia" w:ascii="仿宋_GB2312" w:hAnsi="宋体" w:eastAsia="仿宋_GB2312" w:cs="仿宋_GB2312"/>
                <w:kern w:val="0"/>
                <w:sz w:val="18"/>
                <w:szCs w:val="18"/>
                <w:lang w:val="en-US" w:eastAsia="zh-CN" w:bidi="ar"/>
              </w:rPr>
              <w:t>机构以及安全生产管理</w:t>
            </w:r>
            <w:r>
              <w:rPr>
                <w:rFonts w:hint="eastAsia" w:ascii="仿宋_GB2312" w:hAnsi="宋体" w:eastAsia="仿宋_GB2312" w:cs="仿宋_GB2312"/>
                <w:kern w:val="0"/>
                <w:sz w:val="18"/>
                <w:szCs w:val="18"/>
                <w:lang w:bidi="ar"/>
              </w:rPr>
              <w:t>人员未履行职责的</w:t>
            </w:r>
          </w:p>
        </w:tc>
        <w:tc>
          <w:tcPr>
            <w:tcW w:w="3667" w:type="dxa"/>
            <w:vMerge w:val="restart"/>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51E0010F">
            <w:pPr>
              <w:keepNext w:val="0"/>
              <w:keepLines w:val="0"/>
              <w:pageBreakBefore w:val="0"/>
              <w:widowControl w:val="0"/>
              <w:kinsoku/>
              <w:wordWrap/>
              <w:overflowPunct w:val="0"/>
              <w:topLinePunct w:val="0"/>
              <w:autoSpaceDE/>
              <w:autoSpaceDN/>
              <w:bidi w:val="0"/>
              <w:adjustRightInd w:val="0"/>
              <w:snapToGrid w:val="0"/>
              <w:spacing w:line="256"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《安全生产法》第二十五条 生产经营单位的安全生产管理机构以及安全生产管理人员履行下列职责：（一）组织或者参与拟订本单位安全生产规章制度、操作规程和生产安全事故应急救援预案；（二）组织或者参与本单位安全生产教育和培训，如实记录安全生产教育和培训情况；（三）组织开展危险源辨识和评估，督促落实本单位重大危险源的安全管理措施；（四）组织或者参与本单位应急救援演练</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（五）检查本单位的安全生产状况，及时排查生产安全事故隐患，提出改进安全生产管理的建议；（六）制止和纠正违章指挥、强令冒险作业、违反操作规程的行为；（七）督促落实本单位安全生产整改措施。</w:t>
            </w:r>
          </w:p>
          <w:p w14:paraId="388FC3CF">
            <w:pPr>
              <w:keepNext w:val="0"/>
              <w:keepLines w:val="0"/>
              <w:pageBreakBefore w:val="0"/>
              <w:widowControl w:val="0"/>
              <w:kinsoku/>
              <w:wordWrap/>
              <w:overflowPunct w:val="0"/>
              <w:topLinePunct w:val="0"/>
              <w:autoSpaceDE/>
              <w:autoSpaceDN/>
              <w:bidi w:val="0"/>
              <w:adjustRightInd w:val="0"/>
              <w:snapToGrid w:val="0"/>
              <w:spacing w:line="256"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《煤矿安全生产条例》第十九条第一款  煤矿企业应当设置安全生产管理机构并配备专职安全生产管理人员。安全生产管理机构和安全生产管理人员负有下列安全生产职责：（一）组织或者参与拟订安全生产规章制度、作业规程、操作规程和生产安全事故应急救援预案；（二）组织或者参与安全生产教育和培训，如实记录安全生产教育和培训情况；（三）组织开展安全生产法律法规宣传教育；（四）组织开展安全风险辨识评估，督促落实重大安全风险管控措施；（五）制止和纠正违章指挥、强令冒险作业、违反规程的行为，发现威胁安全的紧急情况时，有权要求立即停止危险区域内的作业，撤出作业人员；（六）检查安全生产状况，及时排查事故隐患，对事故隐患排查治理情况进行统计分析，提出改进安全生产管理的建议；（七）组织或者参与应急救援演练；（八）督促落实安全生产整改措施。</w:t>
            </w:r>
          </w:p>
        </w:tc>
        <w:tc>
          <w:tcPr>
            <w:tcW w:w="4082" w:type="dxa"/>
            <w:vMerge w:val="restart"/>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2507A9BF">
            <w:pPr>
              <w:keepNext w:val="0"/>
              <w:keepLines w:val="0"/>
              <w:pageBreakBefore w:val="0"/>
              <w:widowControl w:val="0"/>
              <w:kinsoku/>
              <w:wordWrap/>
              <w:overflowPunct w:val="0"/>
              <w:topLinePunct w:val="0"/>
              <w:autoSpaceDE/>
              <w:autoSpaceDN/>
              <w:bidi w:val="0"/>
              <w:adjustRightInd w:val="0"/>
              <w:snapToGrid w:val="0"/>
              <w:spacing w:line="256"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《安全生产法》第九十六条 生产经营单位的其他负责人和安全生产管理人员未履行本法规定的安全生产管理职责的，责令限期改正，处一万元以上三万元以下的罚款；导致发生生产安全事故的，暂停或者吊销其与安全生产有关的资格，并处上一年年收入百分之二十以上百分之五十以下的罚款；构成犯罪的，依照刑法有关规定追究刑事责任。</w:t>
            </w:r>
          </w:p>
          <w:p w14:paraId="38590FAC">
            <w:pPr>
              <w:keepNext w:val="0"/>
              <w:keepLines w:val="0"/>
              <w:pageBreakBefore w:val="0"/>
              <w:widowControl w:val="0"/>
              <w:kinsoku/>
              <w:wordWrap/>
              <w:overflowPunct w:val="0"/>
              <w:topLinePunct w:val="0"/>
              <w:autoSpaceDE/>
              <w:autoSpaceDN/>
              <w:bidi w:val="0"/>
              <w:adjustRightInd w:val="0"/>
              <w:snapToGrid w:val="0"/>
              <w:spacing w:line="256"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《煤矿安全生产条例》第六十八条  煤矿企业的决策机构、主要负责人、其他负责人和安全生产管理人员未依法履行安全生产管理职责的，依照《中华人民共和国安全生产法》有关规定处罚并承担相应责任。</w:t>
            </w:r>
          </w:p>
        </w:tc>
        <w:tc>
          <w:tcPr>
            <w:tcW w:w="459" w:type="dxa"/>
            <w:tcBorders>
              <w:tl2br w:val="nil"/>
              <w:tr2bl w:val="nil"/>
            </w:tcBorders>
            <w:shd w:val="clear" w:color="auto" w:fill="auto"/>
            <w:noWrap/>
            <w:tcMar>
              <w:top w:w="15" w:type="dxa"/>
              <w:left w:w="15" w:type="dxa"/>
              <w:right w:w="15" w:type="dxa"/>
            </w:tcMar>
            <w:vAlign w:val="center"/>
          </w:tcPr>
          <w:p w14:paraId="14C14ECA">
            <w:pPr>
              <w:keepNext w:val="0"/>
              <w:keepLines w:val="0"/>
              <w:pageBreakBefore w:val="0"/>
              <w:widowControl w:val="0"/>
              <w:kinsoku/>
              <w:wordWrap/>
              <w:overflowPunct w:val="0"/>
              <w:topLinePunct w:val="0"/>
              <w:autoSpaceDE/>
              <w:autoSpaceDN/>
              <w:bidi w:val="0"/>
              <w:adjustRightInd w:val="0"/>
              <w:snapToGrid w:val="0"/>
              <w:spacing w:line="256"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037011DB">
            <w:pPr>
              <w:keepNext w:val="0"/>
              <w:keepLines w:val="0"/>
              <w:pageBreakBefore w:val="0"/>
              <w:widowControl w:val="0"/>
              <w:kinsoku/>
              <w:wordWrap/>
              <w:overflowPunct w:val="0"/>
              <w:topLinePunct w:val="0"/>
              <w:autoSpaceDE/>
              <w:autoSpaceDN/>
              <w:bidi w:val="0"/>
              <w:adjustRightInd w:val="0"/>
              <w:snapToGrid w:val="0"/>
              <w:spacing w:line="256"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F345381">
            <w:pPr>
              <w:keepNext w:val="0"/>
              <w:keepLines w:val="0"/>
              <w:pageBreakBefore w:val="0"/>
              <w:widowControl w:val="0"/>
              <w:kinsoku/>
              <w:wordWrap/>
              <w:overflowPunct w:val="0"/>
              <w:topLinePunct w:val="0"/>
              <w:autoSpaceDE/>
              <w:autoSpaceDN/>
              <w:bidi w:val="0"/>
              <w:adjustRightInd w:val="0"/>
              <w:snapToGrid w:val="0"/>
              <w:spacing w:line="256"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53EC1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388E1ACE">
            <w:pPr>
              <w:keepNext w:val="0"/>
              <w:keepLines w:val="0"/>
              <w:pageBreakBefore w:val="0"/>
              <w:widowControl w:val="0"/>
              <w:kinsoku/>
              <w:wordWrap/>
              <w:overflowPunct w:val="0"/>
              <w:topLinePunct w:val="0"/>
              <w:autoSpaceDE/>
              <w:autoSpaceDN/>
              <w:bidi w:val="0"/>
              <w:adjustRightInd w:val="0"/>
              <w:snapToGrid w:val="0"/>
              <w:spacing w:line="256"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0FDC06E6">
            <w:pPr>
              <w:keepNext w:val="0"/>
              <w:keepLines w:val="0"/>
              <w:pageBreakBefore w:val="0"/>
              <w:widowControl w:val="0"/>
              <w:kinsoku/>
              <w:wordWrap/>
              <w:overflowPunct w:val="0"/>
              <w:topLinePunct w:val="0"/>
              <w:autoSpaceDE/>
              <w:autoSpaceDN/>
              <w:bidi w:val="0"/>
              <w:adjustRightInd w:val="0"/>
              <w:snapToGrid w:val="0"/>
              <w:spacing w:line="256"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1E081B9A">
            <w:pPr>
              <w:keepNext w:val="0"/>
              <w:keepLines w:val="0"/>
              <w:pageBreakBefore w:val="0"/>
              <w:widowControl w:val="0"/>
              <w:kinsoku/>
              <w:wordWrap/>
              <w:overflowPunct w:val="0"/>
              <w:topLinePunct w:val="0"/>
              <w:autoSpaceDE/>
              <w:autoSpaceDN/>
              <w:bidi w:val="0"/>
              <w:adjustRightInd w:val="0"/>
              <w:snapToGrid w:val="0"/>
              <w:spacing w:line="256"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3D0B79E7">
            <w:pPr>
              <w:keepNext w:val="0"/>
              <w:keepLines w:val="0"/>
              <w:pageBreakBefore w:val="0"/>
              <w:widowControl w:val="0"/>
              <w:kinsoku/>
              <w:wordWrap/>
              <w:overflowPunct w:val="0"/>
              <w:topLinePunct w:val="0"/>
              <w:autoSpaceDE/>
              <w:autoSpaceDN/>
              <w:bidi w:val="0"/>
              <w:adjustRightInd w:val="0"/>
              <w:snapToGrid w:val="0"/>
              <w:spacing w:line="256"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C12B528">
            <w:pPr>
              <w:keepNext w:val="0"/>
              <w:keepLines w:val="0"/>
              <w:pageBreakBefore w:val="0"/>
              <w:widowControl w:val="0"/>
              <w:kinsoku/>
              <w:wordWrap/>
              <w:overflowPunct w:val="0"/>
              <w:topLinePunct w:val="0"/>
              <w:autoSpaceDE/>
              <w:autoSpaceDN/>
              <w:bidi w:val="0"/>
              <w:adjustRightInd w:val="0"/>
              <w:snapToGrid w:val="0"/>
              <w:spacing w:line="256"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2BF56558">
            <w:pPr>
              <w:keepNext w:val="0"/>
              <w:keepLines w:val="0"/>
              <w:pageBreakBefore w:val="0"/>
              <w:widowControl w:val="0"/>
              <w:kinsoku/>
              <w:wordWrap/>
              <w:overflowPunct w:val="0"/>
              <w:topLinePunct w:val="0"/>
              <w:autoSpaceDE/>
              <w:autoSpaceDN/>
              <w:bidi w:val="0"/>
              <w:adjustRightInd w:val="0"/>
              <w:snapToGrid w:val="0"/>
              <w:spacing w:line="256"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767671C1">
            <w:pPr>
              <w:keepNext w:val="0"/>
              <w:keepLines w:val="0"/>
              <w:pageBreakBefore w:val="0"/>
              <w:widowControl w:val="0"/>
              <w:kinsoku/>
              <w:wordWrap/>
              <w:overflowPunct w:val="0"/>
              <w:topLinePunct w:val="0"/>
              <w:autoSpaceDE/>
              <w:autoSpaceDN/>
              <w:bidi w:val="0"/>
              <w:adjustRightInd w:val="0"/>
              <w:snapToGrid w:val="0"/>
              <w:spacing w:line="256"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F01ED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34BA0A61">
            <w:pPr>
              <w:keepNext w:val="0"/>
              <w:keepLines w:val="0"/>
              <w:pageBreakBefore w:val="0"/>
              <w:widowControl w:val="0"/>
              <w:kinsoku/>
              <w:wordWrap/>
              <w:overflowPunct w:val="0"/>
              <w:topLinePunct w:val="0"/>
              <w:autoSpaceDE/>
              <w:autoSpaceDN/>
              <w:bidi w:val="0"/>
              <w:adjustRightInd w:val="0"/>
              <w:snapToGrid w:val="0"/>
              <w:spacing w:line="256"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35EADBB2">
            <w:pPr>
              <w:keepNext w:val="0"/>
              <w:keepLines w:val="0"/>
              <w:pageBreakBefore w:val="0"/>
              <w:widowControl w:val="0"/>
              <w:kinsoku/>
              <w:wordWrap/>
              <w:overflowPunct w:val="0"/>
              <w:topLinePunct w:val="0"/>
              <w:autoSpaceDE/>
              <w:autoSpaceDN/>
              <w:bidi w:val="0"/>
              <w:adjustRightInd w:val="0"/>
              <w:snapToGrid w:val="0"/>
              <w:spacing w:line="256"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0B71D7C7">
            <w:pPr>
              <w:keepNext w:val="0"/>
              <w:keepLines w:val="0"/>
              <w:pageBreakBefore w:val="0"/>
              <w:widowControl w:val="0"/>
              <w:kinsoku/>
              <w:wordWrap/>
              <w:overflowPunct w:val="0"/>
              <w:topLinePunct w:val="0"/>
              <w:autoSpaceDE/>
              <w:autoSpaceDN/>
              <w:bidi w:val="0"/>
              <w:adjustRightInd w:val="0"/>
              <w:snapToGrid w:val="0"/>
              <w:spacing w:line="256"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5E96A851">
            <w:pPr>
              <w:keepNext w:val="0"/>
              <w:keepLines w:val="0"/>
              <w:pageBreakBefore w:val="0"/>
              <w:widowControl w:val="0"/>
              <w:kinsoku/>
              <w:wordWrap/>
              <w:overflowPunct w:val="0"/>
              <w:topLinePunct w:val="0"/>
              <w:autoSpaceDE/>
              <w:autoSpaceDN/>
              <w:bidi w:val="0"/>
              <w:adjustRightInd w:val="0"/>
              <w:snapToGrid w:val="0"/>
              <w:spacing w:line="256"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29A1F02">
            <w:pPr>
              <w:keepNext w:val="0"/>
              <w:keepLines w:val="0"/>
              <w:pageBreakBefore w:val="0"/>
              <w:widowControl w:val="0"/>
              <w:kinsoku/>
              <w:wordWrap/>
              <w:overflowPunct w:val="0"/>
              <w:topLinePunct w:val="0"/>
              <w:autoSpaceDE/>
              <w:autoSpaceDN/>
              <w:bidi w:val="0"/>
              <w:adjustRightInd w:val="0"/>
              <w:snapToGrid w:val="0"/>
              <w:spacing w:line="256"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40723DA7">
            <w:pPr>
              <w:keepNext w:val="0"/>
              <w:keepLines w:val="0"/>
              <w:pageBreakBefore w:val="0"/>
              <w:widowControl w:val="0"/>
              <w:kinsoku/>
              <w:wordWrap/>
              <w:overflowPunct w:val="0"/>
              <w:topLinePunct w:val="0"/>
              <w:autoSpaceDE/>
              <w:autoSpaceDN/>
              <w:bidi w:val="0"/>
              <w:adjustRightInd w:val="0"/>
              <w:snapToGrid w:val="0"/>
              <w:spacing w:line="256"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64E6F253">
            <w:pPr>
              <w:keepNext w:val="0"/>
              <w:keepLines w:val="0"/>
              <w:pageBreakBefore w:val="0"/>
              <w:widowControl w:val="0"/>
              <w:kinsoku/>
              <w:wordWrap/>
              <w:overflowPunct w:val="0"/>
              <w:topLinePunct w:val="0"/>
              <w:autoSpaceDE/>
              <w:autoSpaceDN/>
              <w:bidi w:val="0"/>
              <w:adjustRightInd w:val="0"/>
              <w:snapToGrid w:val="0"/>
              <w:spacing w:line="256"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9CB2B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6"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4A5BA867">
            <w:pPr>
              <w:keepNext w:val="0"/>
              <w:keepLines w:val="0"/>
              <w:pageBreakBefore w:val="0"/>
              <w:widowControl w:val="0"/>
              <w:kinsoku/>
              <w:wordWrap/>
              <w:overflowPunct w:val="0"/>
              <w:topLinePunct w:val="0"/>
              <w:autoSpaceDE/>
              <w:autoSpaceDN/>
              <w:bidi w:val="0"/>
              <w:adjustRightInd w:val="0"/>
              <w:snapToGrid w:val="0"/>
              <w:spacing w:line="256"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72D47D9D">
            <w:pPr>
              <w:keepNext w:val="0"/>
              <w:keepLines w:val="0"/>
              <w:pageBreakBefore w:val="0"/>
              <w:widowControl w:val="0"/>
              <w:kinsoku/>
              <w:wordWrap/>
              <w:overflowPunct w:val="0"/>
              <w:topLinePunct w:val="0"/>
              <w:autoSpaceDE/>
              <w:autoSpaceDN/>
              <w:bidi w:val="0"/>
              <w:adjustRightInd w:val="0"/>
              <w:snapToGrid w:val="0"/>
              <w:spacing w:line="256"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7DEFDF94">
            <w:pPr>
              <w:keepNext w:val="0"/>
              <w:keepLines w:val="0"/>
              <w:pageBreakBefore w:val="0"/>
              <w:widowControl w:val="0"/>
              <w:kinsoku/>
              <w:wordWrap/>
              <w:overflowPunct w:val="0"/>
              <w:topLinePunct w:val="0"/>
              <w:autoSpaceDE/>
              <w:autoSpaceDN/>
              <w:bidi w:val="0"/>
              <w:adjustRightInd w:val="0"/>
              <w:snapToGrid w:val="0"/>
              <w:spacing w:line="256"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7D25D7AB">
            <w:pPr>
              <w:keepNext w:val="0"/>
              <w:keepLines w:val="0"/>
              <w:pageBreakBefore w:val="0"/>
              <w:widowControl w:val="0"/>
              <w:kinsoku/>
              <w:wordWrap/>
              <w:overflowPunct w:val="0"/>
              <w:topLinePunct w:val="0"/>
              <w:autoSpaceDE/>
              <w:autoSpaceDN/>
              <w:bidi w:val="0"/>
              <w:adjustRightInd w:val="0"/>
              <w:snapToGrid w:val="0"/>
              <w:spacing w:line="256"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F8305F0">
            <w:pPr>
              <w:keepNext w:val="0"/>
              <w:keepLines w:val="0"/>
              <w:pageBreakBefore w:val="0"/>
              <w:widowControl w:val="0"/>
              <w:kinsoku/>
              <w:wordWrap/>
              <w:overflowPunct w:val="0"/>
              <w:topLinePunct w:val="0"/>
              <w:autoSpaceDE/>
              <w:autoSpaceDN/>
              <w:bidi w:val="0"/>
              <w:adjustRightInd w:val="0"/>
              <w:snapToGrid w:val="0"/>
              <w:spacing w:line="256"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62A5D8E7">
            <w:pPr>
              <w:keepNext w:val="0"/>
              <w:keepLines w:val="0"/>
              <w:pageBreakBefore w:val="0"/>
              <w:widowControl w:val="0"/>
              <w:kinsoku/>
              <w:wordWrap/>
              <w:overflowPunct w:val="0"/>
              <w:topLinePunct w:val="0"/>
              <w:autoSpaceDE/>
              <w:autoSpaceDN/>
              <w:bidi w:val="0"/>
              <w:adjustRightInd w:val="0"/>
              <w:snapToGrid w:val="0"/>
              <w:spacing w:line="256"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生产经营单位的安全生产管理机构以及安全生产管理人员存在1项未履行职责的。</w:t>
            </w:r>
          </w:p>
        </w:tc>
        <w:tc>
          <w:tcPr>
            <w:tcW w:w="2655" w:type="dxa"/>
            <w:tcBorders>
              <w:tl2br w:val="nil"/>
              <w:tr2bl w:val="nil"/>
            </w:tcBorders>
            <w:shd w:val="clear" w:color="auto" w:fill="auto"/>
            <w:tcMar>
              <w:top w:w="15" w:type="dxa"/>
              <w:left w:w="15" w:type="dxa"/>
              <w:right w:w="15" w:type="dxa"/>
            </w:tcMar>
            <w:vAlign w:val="center"/>
          </w:tcPr>
          <w:p w14:paraId="30247E8B">
            <w:pPr>
              <w:keepNext w:val="0"/>
              <w:keepLines w:val="0"/>
              <w:pageBreakBefore w:val="0"/>
              <w:widowControl w:val="0"/>
              <w:kinsoku/>
              <w:wordWrap/>
              <w:overflowPunct w:val="0"/>
              <w:topLinePunct w:val="0"/>
              <w:autoSpaceDE/>
              <w:autoSpaceDN/>
              <w:bidi w:val="0"/>
              <w:adjustRightInd w:val="0"/>
              <w:snapToGrid w:val="0"/>
              <w:spacing w:line="256"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处1万元以上1.5万元以下的罚款。</w:t>
            </w:r>
          </w:p>
        </w:tc>
      </w:tr>
      <w:tr w14:paraId="5683FE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43"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197954B1">
            <w:pPr>
              <w:keepNext w:val="0"/>
              <w:keepLines w:val="0"/>
              <w:pageBreakBefore w:val="0"/>
              <w:widowControl w:val="0"/>
              <w:kinsoku/>
              <w:wordWrap/>
              <w:overflowPunct w:val="0"/>
              <w:topLinePunct w:val="0"/>
              <w:autoSpaceDE/>
              <w:autoSpaceDN/>
              <w:bidi w:val="0"/>
              <w:adjustRightInd w:val="0"/>
              <w:snapToGrid w:val="0"/>
              <w:spacing w:line="256"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5EA46A55">
            <w:pPr>
              <w:keepNext w:val="0"/>
              <w:keepLines w:val="0"/>
              <w:pageBreakBefore w:val="0"/>
              <w:widowControl w:val="0"/>
              <w:kinsoku/>
              <w:wordWrap/>
              <w:overflowPunct w:val="0"/>
              <w:topLinePunct w:val="0"/>
              <w:autoSpaceDE/>
              <w:autoSpaceDN/>
              <w:bidi w:val="0"/>
              <w:adjustRightInd w:val="0"/>
              <w:snapToGrid w:val="0"/>
              <w:spacing w:line="256"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327C7DF1">
            <w:pPr>
              <w:keepNext w:val="0"/>
              <w:keepLines w:val="0"/>
              <w:pageBreakBefore w:val="0"/>
              <w:widowControl w:val="0"/>
              <w:kinsoku/>
              <w:wordWrap/>
              <w:overflowPunct w:val="0"/>
              <w:topLinePunct w:val="0"/>
              <w:autoSpaceDE/>
              <w:autoSpaceDN/>
              <w:bidi w:val="0"/>
              <w:adjustRightInd w:val="0"/>
              <w:snapToGrid w:val="0"/>
              <w:spacing w:line="256"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2BABA5DE">
            <w:pPr>
              <w:keepNext w:val="0"/>
              <w:keepLines w:val="0"/>
              <w:pageBreakBefore w:val="0"/>
              <w:widowControl w:val="0"/>
              <w:kinsoku/>
              <w:wordWrap/>
              <w:overflowPunct w:val="0"/>
              <w:topLinePunct w:val="0"/>
              <w:autoSpaceDE/>
              <w:autoSpaceDN/>
              <w:bidi w:val="0"/>
              <w:adjustRightInd w:val="0"/>
              <w:snapToGrid w:val="0"/>
              <w:spacing w:line="256"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95EB58F">
            <w:pPr>
              <w:keepNext w:val="0"/>
              <w:keepLines w:val="0"/>
              <w:pageBreakBefore w:val="0"/>
              <w:widowControl w:val="0"/>
              <w:kinsoku/>
              <w:wordWrap/>
              <w:overflowPunct w:val="0"/>
              <w:topLinePunct w:val="0"/>
              <w:autoSpaceDE/>
              <w:autoSpaceDN/>
              <w:bidi w:val="0"/>
              <w:adjustRightInd w:val="0"/>
              <w:snapToGrid w:val="0"/>
              <w:spacing w:line="256"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5B976A3C">
            <w:pPr>
              <w:keepNext w:val="0"/>
              <w:keepLines w:val="0"/>
              <w:pageBreakBefore w:val="0"/>
              <w:widowControl w:val="0"/>
              <w:kinsoku/>
              <w:wordWrap/>
              <w:overflowPunct w:val="0"/>
              <w:topLinePunct w:val="0"/>
              <w:autoSpaceDE/>
              <w:autoSpaceDN/>
              <w:bidi w:val="0"/>
              <w:adjustRightInd w:val="0"/>
              <w:snapToGrid w:val="0"/>
              <w:spacing w:line="256"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生产经营单位的安全生产管理机构以及安全生产管理人员存在2项未履行职责的。</w:t>
            </w:r>
          </w:p>
        </w:tc>
        <w:tc>
          <w:tcPr>
            <w:tcW w:w="2655" w:type="dxa"/>
            <w:tcBorders>
              <w:tl2br w:val="nil"/>
              <w:tr2bl w:val="nil"/>
            </w:tcBorders>
            <w:shd w:val="clear" w:color="auto" w:fill="auto"/>
            <w:tcMar>
              <w:top w:w="15" w:type="dxa"/>
              <w:left w:w="15" w:type="dxa"/>
              <w:right w:w="15" w:type="dxa"/>
            </w:tcMar>
            <w:vAlign w:val="center"/>
          </w:tcPr>
          <w:p w14:paraId="08AA9DBF">
            <w:pPr>
              <w:keepNext w:val="0"/>
              <w:keepLines w:val="0"/>
              <w:pageBreakBefore w:val="0"/>
              <w:widowControl w:val="0"/>
              <w:kinsoku/>
              <w:wordWrap/>
              <w:overflowPunct w:val="0"/>
              <w:topLinePunct w:val="0"/>
              <w:autoSpaceDE/>
              <w:autoSpaceDN/>
              <w:bidi w:val="0"/>
              <w:adjustRightInd w:val="0"/>
              <w:snapToGrid w:val="0"/>
              <w:spacing w:line="256"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处1.5万元以上2.5万元以下的罚款。</w:t>
            </w:r>
          </w:p>
        </w:tc>
      </w:tr>
      <w:tr w14:paraId="027B3E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10"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01FB8E47">
            <w:pPr>
              <w:keepNext w:val="0"/>
              <w:keepLines w:val="0"/>
              <w:pageBreakBefore w:val="0"/>
              <w:widowControl w:val="0"/>
              <w:kinsoku/>
              <w:wordWrap/>
              <w:overflowPunct w:val="0"/>
              <w:topLinePunct w:val="0"/>
              <w:autoSpaceDE/>
              <w:autoSpaceDN/>
              <w:bidi w:val="0"/>
              <w:adjustRightInd w:val="0"/>
              <w:snapToGrid w:val="0"/>
              <w:spacing w:line="256"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38F84129">
            <w:pPr>
              <w:keepNext w:val="0"/>
              <w:keepLines w:val="0"/>
              <w:pageBreakBefore w:val="0"/>
              <w:widowControl w:val="0"/>
              <w:kinsoku/>
              <w:wordWrap/>
              <w:overflowPunct w:val="0"/>
              <w:topLinePunct w:val="0"/>
              <w:autoSpaceDE/>
              <w:autoSpaceDN/>
              <w:bidi w:val="0"/>
              <w:adjustRightInd w:val="0"/>
              <w:snapToGrid w:val="0"/>
              <w:spacing w:line="256"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39CA3782">
            <w:pPr>
              <w:keepNext w:val="0"/>
              <w:keepLines w:val="0"/>
              <w:pageBreakBefore w:val="0"/>
              <w:widowControl w:val="0"/>
              <w:kinsoku/>
              <w:wordWrap/>
              <w:overflowPunct w:val="0"/>
              <w:topLinePunct w:val="0"/>
              <w:autoSpaceDE/>
              <w:autoSpaceDN/>
              <w:bidi w:val="0"/>
              <w:adjustRightInd w:val="0"/>
              <w:snapToGrid w:val="0"/>
              <w:spacing w:line="256"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11E6AE1E">
            <w:pPr>
              <w:keepNext w:val="0"/>
              <w:keepLines w:val="0"/>
              <w:pageBreakBefore w:val="0"/>
              <w:widowControl w:val="0"/>
              <w:kinsoku/>
              <w:wordWrap/>
              <w:overflowPunct w:val="0"/>
              <w:topLinePunct w:val="0"/>
              <w:autoSpaceDE/>
              <w:autoSpaceDN/>
              <w:bidi w:val="0"/>
              <w:adjustRightInd w:val="0"/>
              <w:snapToGrid w:val="0"/>
              <w:spacing w:line="256"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322DBAF">
            <w:pPr>
              <w:keepNext w:val="0"/>
              <w:keepLines w:val="0"/>
              <w:pageBreakBefore w:val="0"/>
              <w:widowControl w:val="0"/>
              <w:kinsoku/>
              <w:wordWrap/>
              <w:overflowPunct w:val="0"/>
              <w:topLinePunct w:val="0"/>
              <w:autoSpaceDE/>
              <w:autoSpaceDN/>
              <w:bidi w:val="0"/>
              <w:adjustRightInd w:val="0"/>
              <w:snapToGrid w:val="0"/>
              <w:spacing w:line="256"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47305FC2">
            <w:pPr>
              <w:keepNext w:val="0"/>
              <w:keepLines w:val="0"/>
              <w:pageBreakBefore w:val="0"/>
              <w:widowControl w:val="0"/>
              <w:kinsoku/>
              <w:wordWrap/>
              <w:overflowPunct w:val="0"/>
              <w:topLinePunct w:val="0"/>
              <w:autoSpaceDE/>
              <w:autoSpaceDN/>
              <w:bidi w:val="0"/>
              <w:adjustRightInd w:val="0"/>
              <w:snapToGrid w:val="0"/>
              <w:spacing w:line="256"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生产经营单位的安全生产管理机构以及安全生产管理人员存在3项及以上未履行职责的。</w:t>
            </w:r>
          </w:p>
        </w:tc>
        <w:tc>
          <w:tcPr>
            <w:tcW w:w="2655" w:type="dxa"/>
            <w:tcBorders>
              <w:tl2br w:val="nil"/>
              <w:tr2bl w:val="nil"/>
            </w:tcBorders>
            <w:shd w:val="clear" w:color="auto" w:fill="auto"/>
            <w:tcMar>
              <w:top w:w="15" w:type="dxa"/>
              <w:left w:w="15" w:type="dxa"/>
              <w:right w:w="15" w:type="dxa"/>
            </w:tcMar>
            <w:vAlign w:val="center"/>
          </w:tcPr>
          <w:p w14:paraId="46CD7C2D">
            <w:pPr>
              <w:keepNext w:val="0"/>
              <w:keepLines w:val="0"/>
              <w:pageBreakBefore w:val="0"/>
              <w:widowControl w:val="0"/>
              <w:kinsoku/>
              <w:wordWrap/>
              <w:overflowPunct w:val="0"/>
              <w:topLinePunct w:val="0"/>
              <w:autoSpaceDE/>
              <w:autoSpaceDN/>
              <w:bidi w:val="0"/>
              <w:adjustRightInd w:val="0"/>
              <w:snapToGrid w:val="0"/>
              <w:spacing w:line="256"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处2</w:t>
            </w:r>
            <w:r>
              <w:rPr>
                <w:rFonts w:ascii="仿宋_GB2312" w:hAnsi="宋体" w:eastAsia="仿宋_GB2312" w:cs="仿宋_GB2312"/>
                <w:kern w:val="0"/>
                <w:sz w:val="18"/>
                <w:szCs w:val="18"/>
                <w:lang w:val="is-IS" w:bidi="ar"/>
              </w:rPr>
              <w:t>.</w:t>
            </w:r>
            <w:r>
              <w:rPr>
                <w:rFonts w:hint="eastAsia" w:ascii="仿宋_GB2312" w:hAnsi="宋体" w:eastAsia="仿宋_GB2312" w:cs="仿宋_GB2312"/>
                <w:kern w:val="0"/>
                <w:sz w:val="18"/>
                <w:szCs w:val="18"/>
                <w:lang w:bidi="ar"/>
              </w:rPr>
              <w:t>5万元以上3万元以下的罚款。</w:t>
            </w:r>
          </w:p>
        </w:tc>
      </w:tr>
      <w:tr w14:paraId="5ECDE6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1193" w:author="LV" w:date="2026-07-14T16:10:20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wBefore w:w="0" w:type="auto"/>
          <w:trHeight w:val="675" w:hRule="atLeast"/>
          <w:jc w:val="center"/>
          <w:trPrChange w:id="1193" w:author="LV" w:date="2026-07-14T16:10:20Z">
            <w:trPr>
              <w:gridBefore w:val="2"/>
              <w:wBefore w:w="15" w:type="dxa"/>
              <w:trHeight w:val="850" w:hRule="atLeast"/>
              <w:jc w:val="center"/>
            </w:trPr>
          </w:trPrChange>
        </w:trPr>
        <w:tc>
          <w:tcPr>
            <w:tcW w:w="418" w:type="dxa"/>
            <w:vMerge w:val="restart"/>
            <w:tcBorders>
              <w:top w:val="single" w:color="auto" w:sz="4" w:space="0"/>
              <w:tl2br w:val="nil"/>
              <w:tr2bl w:val="nil"/>
            </w:tcBorders>
            <w:shd w:val="clear" w:color="auto" w:fill="auto"/>
            <w:noWrap/>
            <w:tcMar>
              <w:top w:w="15" w:type="dxa"/>
              <w:left w:w="15" w:type="dxa"/>
              <w:right w:w="15" w:type="dxa"/>
            </w:tcMar>
            <w:vAlign w:val="center"/>
            <w:tcPrChange w:id="1194" w:author="LV" w:date="2026-07-14T16:10:20Z">
              <w:tcPr>
                <w:tcW w:w="418" w:type="dxa"/>
                <w:gridSpan w:val="3"/>
                <w:vMerge w:val="restart"/>
                <w:tcBorders>
                  <w:top w:val="single" w:color="auto" w:sz="4" w:space="0"/>
                  <w:tl2br w:val="nil"/>
                  <w:tr2bl w:val="nil"/>
                </w:tcBorders>
                <w:shd w:val="clear" w:color="auto" w:fill="auto"/>
                <w:noWrap/>
                <w:tcMar>
                  <w:top w:w="15" w:type="dxa"/>
                  <w:left w:w="15" w:type="dxa"/>
                  <w:right w:w="15" w:type="dxa"/>
                </w:tcMar>
                <w:vAlign w:val="center"/>
              </w:tcPr>
            </w:tcPrChange>
          </w:tcPr>
          <w:p w14:paraId="2829710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hint="eastAsia" w:ascii="仿宋_GB2312" w:hAnsi="宋体" w:eastAsia="仿宋_GB2312" w:cs="仿宋_GB2312"/>
                <w:sz w:val="18"/>
                <w:szCs w:val="18"/>
                <w:lang w:val="en-US" w:eastAsia="zh-CN"/>
              </w:rPr>
            </w:pPr>
            <w:r>
              <w:rPr>
                <w:rFonts w:hint="eastAsia" w:ascii="仿宋_GB2312" w:hAnsi="宋体" w:eastAsia="仿宋_GB2312" w:cs="仿宋_GB2312"/>
                <w:sz w:val="18"/>
                <w:szCs w:val="18"/>
                <w:lang w:val="en-US" w:eastAsia="zh-CN"/>
              </w:rPr>
              <w:t>9</w:t>
            </w:r>
          </w:p>
        </w:tc>
        <w:tc>
          <w:tcPr>
            <w:tcW w:w="1005" w:type="dxa"/>
            <w:vMerge w:val="restart"/>
            <w:tcBorders>
              <w:top w:val="single" w:color="auto" w:sz="4" w:space="0"/>
              <w:tl2br w:val="nil"/>
              <w:tr2bl w:val="nil"/>
            </w:tcBorders>
            <w:shd w:val="clear" w:color="auto" w:fill="auto"/>
            <w:tcMar>
              <w:top w:w="15" w:type="dxa"/>
              <w:left w:w="15" w:type="dxa"/>
              <w:right w:w="15" w:type="dxa"/>
            </w:tcMar>
            <w:vAlign w:val="center"/>
            <w:tcPrChange w:id="1195" w:author="LV" w:date="2026-07-14T16:10:20Z">
              <w:tcPr>
                <w:tcW w:w="1005" w:type="dxa"/>
                <w:gridSpan w:val="3"/>
                <w:vMerge w:val="restart"/>
                <w:tcBorders>
                  <w:top w:val="single" w:color="auto" w:sz="4" w:space="0"/>
                  <w:tl2br w:val="nil"/>
                  <w:tr2bl w:val="nil"/>
                </w:tcBorders>
                <w:shd w:val="clear" w:color="auto" w:fill="auto"/>
                <w:tcMar>
                  <w:top w:w="15" w:type="dxa"/>
                  <w:left w:w="15" w:type="dxa"/>
                  <w:right w:w="15" w:type="dxa"/>
                </w:tcMar>
                <w:vAlign w:val="center"/>
              </w:tcPr>
            </w:tcPrChange>
          </w:tcPr>
          <w:p w14:paraId="0C5571A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hint="eastAsia" w:ascii="仿宋_GB2312" w:hAnsi="宋体" w:eastAsia="仿宋_GB2312" w:cs="仿宋_GB2312"/>
                <w:sz w:val="18"/>
                <w:szCs w:val="18"/>
              </w:rPr>
              <w:t>煤矿安全生产管理人员未履行安全生产管理职责，导致事故发生的违法行为</w:t>
            </w:r>
          </w:p>
        </w:tc>
        <w:tc>
          <w:tcPr>
            <w:tcW w:w="3667" w:type="dxa"/>
            <w:vMerge w:val="restart"/>
            <w:tcBorders>
              <w:top w:val="single" w:color="auto" w:sz="4" w:space="0"/>
              <w:tl2br w:val="nil"/>
              <w:tr2bl w:val="nil"/>
            </w:tcBorders>
            <w:shd w:val="clear" w:color="auto" w:fill="auto"/>
            <w:tcMar>
              <w:top w:w="15" w:type="dxa"/>
              <w:left w:w="15" w:type="dxa"/>
              <w:right w:w="15" w:type="dxa"/>
            </w:tcMar>
            <w:vAlign w:val="center"/>
            <w:tcPrChange w:id="1196" w:author="LV" w:date="2026-07-14T16:10:20Z">
              <w:tcPr>
                <w:tcW w:w="3667" w:type="dxa"/>
                <w:gridSpan w:val="3"/>
                <w:vMerge w:val="restart"/>
                <w:tcBorders>
                  <w:top w:val="single" w:color="auto" w:sz="4" w:space="0"/>
                  <w:tl2br w:val="nil"/>
                  <w:tr2bl w:val="nil"/>
                </w:tcBorders>
                <w:shd w:val="clear" w:color="auto" w:fill="auto"/>
                <w:tcMar>
                  <w:top w:w="15" w:type="dxa"/>
                  <w:left w:w="15" w:type="dxa"/>
                  <w:right w:w="15" w:type="dxa"/>
                </w:tcMar>
                <w:vAlign w:val="center"/>
              </w:tcPr>
            </w:tcPrChange>
          </w:tcPr>
          <w:p w14:paraId="20C3310C">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sz w:val="18"/>
                <w:szCs w:val="18"/>
              </w:rPr>
            </w:pPr>
            <w:r>
              <w:rPr>
                <w:rFonts w:hint="eastAsia" w:ascii="仿宋_GB2312" w:hAnsi="宋体" w:eastAsia="仿宋_GB2312" w:cs="仿宋_GB2312"/>
                <w:sz w:val="18"/>
                <w:szCs w:val="18"/>
              </w:rPr>
              <w:t>《安全生产法》第五条  生产经营单位的主要负责人是本单位安全生产第一责任人，对本单位的安全生产工作全面负责。其他负责人对职责范围内的安全生产工作负责。</w:t>
            </w:r>
          </w:p>
          <w:p w14:paraId="19DF5EBD">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sz w:val="18"/>
                <w:szCs w:val="18"/>
              </w:rPr>
            </w:pPr>
            <w:r>
              <w:rPr>
                <w:rFonts w:hint="eastAsia" w:ascii="仿宋_GB2312" w:hAnsi="宋体" w:eastAsia="仿宋_GB2312" w:cs="仿宋_GB2312"/>
                <w:sz w:val="18"/>
                <w:szCs w:val="18"/>
              </w:rPr>
              <w:t xml:space="preserve">《安全生产法》第二十二条  生产经营单位的全员安全生产责任制应当明确各岗位的责任人员、责任范围和考核标准等内容。 </w:t>
            </w:r>
          </w:p>
          <w:p w14:paraId="5CB76E70">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sz w:val="18"/>
                <w:szCs w:val="18"/>
              </w:rPr>
            </w:pPr>
            <w:r>
              <w:rPr>
                <w:rFonts w:hint="eastAsia" w:ascii="仿宋_GB2312" w:hAnsi="宋体" w:eastAsia="仿宋_GB2312" w:cs="仿宋_GB2312"/>
                <w:sz w:val="18"/>
                <w:szCs w:val="18"/>
              </w:rPr>
              <w:t xml:space="preserve">生产经营单位应当建立相应的机制，加强对全员安全生产责任制落实情况的监督考核，保证全员安全生产责任制的落实。 </w:t>
            </w:r>
          </w:p>
          <w:p w14:paraId="7C7A5D9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hint="eastAsia" w:ascii="仿宋_GB2312" w:hAnsi="宋体" w:eastAsia="仿宋_GB2312" w:cs="仿宋_GB2312"/>
                <w:sz w:val="18"/>
                <w:szCs w:val="18"/>
              </w:rPr>
              <w:t>《煤矿安全生产条例》第四条第二款  煤矿企业主要负责人（含实际控制人，下同）是本企业安全生产第一责任人，对本企业安全生产工作全面负责。其他负责人对职责范围内的安全生产工作负责。</w:t>
            </w:r>
          </w:p>
        </w:tc>
        <w:tc>
          <w:tcPr>
            <w:tcW w:w="4082" w:type="dxa"/>
            <w:vMerge w:val="restart"/>
            <w:tcBorders>
              <w:top w:val="single" w:color="auto" w:sz="4" w:space="0"/>
              <w:tl2br w:val="nil"/>
              <w:tr2bl w:val="nil"/>
            </w:tcBorders>
            <w:shd w:val="clear" w:color="auto" w:fill="auto"/>
            <w:tcMar>
              <w:top w:w="15" w:type="dxa"/>
              <w:left w:w="15" w:type="dxa"/>
              <w:right w:w="15" w:type="dxa"/>
            </w:tcMar>
            <w:vAlign w:val="center"/>
            <w:tcPrChange w:id="1197" w:author="LV" w:date="2026-07-14T16:10:20Z">
              <w:tcPr>
                <w:tcW w:w="4082" w:type="dxa"/>
                <w:gridSpan w:val="3"/>
                <w:vMerge w:val="restart"/>
                <w:tcBorders>
                  <w:top w:val="single" w:color="auto" w:sz="4" w:space="0"/>
                  <w:tl2br w:val="nil"/>
                  <w:tr2bl w:val="nil"/>
                </w:tcBorders>
                <w:shd w:val="clear" w:color="auto" w:fill="auto"/>
                <w:tcMar>
                  <w:top w:w="15" w:type="dxa"/>
                  <w:left w:w="15" w:type="dxa"/>
                  <w:right w:w="15" w:type="dxa"/>
                </w:tcMar>
                <w:vAlign w:val="center"/>
              </w:tcPr>
            </w:tcPrChange>
          </w:tcPr>
          <w:p w14:paraId="5F0EA1CB">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sz w:val="18"/>
                <w:szCs w:val="18"/>
              </w:rPr>
            </w:pPr>
            <w:r>
              <w:rPr>
                <w:rFonts w:hint="eastAsia" w:ascii="仿宋_GB2312" w:hAnsi="宋体" w:eastAsia="仿宋_GB2312" w:cs="仿宋_GB2312"/>
                <w:sz w:val="18"/>
                <w:szCs w:val="18"/>
              </w:rPr>
              <w:t xml:space="preserve">《安全生产法》第九十六条  生产经营单位的其他负责人和安全生产管理人员未履行本法规定的安全生产管理职责的，责令限期改正，处一万元以上三万元以下的罚款；导致发生生产安全事故的，暂停或者吊销其与安全生产有关的资格，并处上一年年收入百分之二十以上百分之五十以下的罚款；构成犯罪的，依照刑法有关规定追究刑事责任。 </w:t>
            </w:r>
          </w:p>
          <w:p w14:paraId="1446C928">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sz w:val="18"/>
                <w:szCs w:val="18"/>
              </w:rPr>
            </w:pPr>
            <w:r>
              <w:rPr>
                <w:rFonts w:hint="eastAsia" w:ascii="仿宋_GB2312" w:hAnsi="宋体" w:eastAsia="仿宋_GB2312" w:cs="仿宋_GB2312"/>
                <w:sz w:val="18"/>
                <w:szCs w:val="18"/>
              </w:rPr>
              <w:t xml:space="preserve">《生产安全事故罚款处罚规定》第二十条  事故发生单位其他负责人和安全生产管理人员未依法履行安全生产管理职责，导致事故发生的，依照下列规定处以罚款： </w:t>
            </w:r>
          </w:p>
          <w:p w14:paraId="1FEB68D6">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sz w:val="18"/>
                <w:szCs w:val="18"/>
              </w:rPr>
            </w:pPr>
            <w:r>
              <w:rPr>
                <w:rFonts w:hint="eastAsia" w:ascii="仿宋_GB2312" w:hAnsi="宋体" w:eastAsia="仿宋_GB2312" w:cs="仿宋_GB2312"/>
                <w:sz w:val="18"/>
                <w:szCs w:val="18"/>
              </w:rPr>
              <w:t xml:space="preserve">（一）发生一般事故的，处上一年年收入20％至30%的罚款； </w:t>
            </w:r>
          </w:p>
          <w:p w14:paraId="23334D8C">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sz w:val="18"/>
                <w:szCs w:val="18"/>
              </w:rPr>
            </w:pPr>
            <w:r>
              <w:rPr>
                <w:rFonts w:hint="eastAsia" w:ascii="仿宋_GB2312" w:hAnsi="宋体" w:eastAsia="仿宋_GB2312" w:cs="仿宋_GB2312"/>
                <w:sz w:val="18"/>
                <w:szCs w:val="18"/>
              </w:rPr>
              <w:t xml:space="preserve">（二）发生较大事故的，处上一年年收入30％至40%的罚款； </w:t>
            </w:r>
          </w:p>
          <w:p w14:paraId="0DB3BF1D">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sz w:val="18"/>
                <w:szCs w:val="18"/>
              </w:rPr>
            </w:pPr>
            <w:r>
              <w:rPr>
                <w:rFonts w:hint="eastAsia" w:ascii="仿宋_GB2312" w:hAnsi="宋体" w:eastAsia="仿宋_GB2312" w:cs="仿宋_GB2312"/>
                <w:sz w:val="18"/>
                <w:szCs w:val="18"/>
              </w:rPr>
              <w:t xml:space="preserve">（三）发生重大事故的，处上一年年收入40％至50%的罚款； </w:t>
            </w:r>
          </w:p>
          <w:p w14:paraId="5E4C602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hint="eastAsia" w:ascii="仿宋_GB2312" w:hAnsi="宋体" w:eastAsia="仿宋_GB2312" w:cs="仿宋_GB2312"/>
                <w:sz w:val="18"/>
                <w:szCs w:val="18"/>
              </w:rPr>
              <w:t>（四）发生特别重大事故的，处上一年年收入50％的罚款。</w:t>
            </w:r>
          </w:p>
        </w:tc>
        <w:tc>
          <w:tcPr>
            <w:tcW w:w="459" w:type="dxa"/>
            <w:tcBorders>
              <w:tl2br w:val="nil"/>
              <w:tr2bl w:val="nil"/>
            </w:tcBorders>
            <w:shd w:val="clear" w:color="auto" w:fill="auto"/>
            <w:noWrap/>
            <w:tcMar>
              <w:top w:w="15" w:type="dxa"/>
              <w:left w:w="15" w:type="dxa"/>
              <w:right w:w="15" w:type="dxa"/>
            </w:tcMar>
            <w:vAlign w:val="center"/>
            <w:tcPrChange w:id="1198" w:author="LV" w:date="2026-07-14T16:10:20Z">
              <w:tcPr>
                <w:tcW w:w="459" w:type="dxa"/>
                <w:gridSpan w:val="3"/>
                <w:tcBorders>
                  <w:tl2br w:val="nil"/>
                  <w:tr2bl w:val="nil"/>
                </w:tcBorders>
                <w:shd w:val="clear" w:color="auto" w:fill="auto"/>
                <w:noWrap/>
                <w:tcMar>
                  <w:top w:w="15" w:type="dxa"/>
                  <w:left w:w="15" w:type="dxa"/>
                  <w:right w:w="15" w:type="dxa"/>
                </w:tcMar>
                <w:vAlign w:val="center"/>
              </w:tcPr>
            </w:tcPrChange>
          </w:tcPr>
          <w:p w14:paraId="232D614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Change w:id="1199" w:author="LV" w:date="2026-07-14T16:10:20Z">
              <w:tcPr>
                <w:tcW w:w="1829" w:type="dxa"/>
                <w:gridSpan w:val="3"/>
                <w:tcBorders>
                  <w:tl2br w:val="nil"/>
                  <w:tr2bl w:val="nil"/>
                </w:tcBorders>
                <w:shd w:val="clear" w:color="auto" w:fill="auto"/>
                <w:tcMar>
                  <w:top w:w="15" w:type="dxa"/>
                  <w:left w:w="15" w:type="dxa"/>
                  <w:right w:w="15" w:type="dxa"/>
                </w:tcMar>
                <w:vAlign w:val="center"/>
              </w:tcPr>
            </w:tcPrChange>
          </w:tcPr>
          <w:p w14:paraId="39F429B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Change w:id="1200" w:author="LV" w:date="2026-07-14T16:10:20Z">
              <w:tcPr>
                <w:tcW w:w="2655" w:type="dxa"/>
                <w:gridSpan w:val="3"/>
                <w:tcBorders>
                  <w:tl2br w:val="nil"/>
                  <w:tr2bl w:val="nil"/>
                </w:tcBorders>
                <w:shd w:val="clear" w:color="auto" w:fill="auto"/>
                <w:tcMar>
                  <w:top w:w="15" w:type="dxa"/>
                  <w:left w:w="15" w:type="dxa"/>
                  <w:right w:w="15" w:type="dxa"/>
                </w:tcMar>
                <w:vAlign w:val="center"/>
              </w:tcPr>
            </w:tcPrChange>
          </w:tcPr>
          <w:p w14:paraId="65435493">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1C4409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1201" w:author="LV" w:date="2026-07-14T16:09:51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wBefore w:w="0" w:type="auto"/>
          <w:trHeight w:val="655" w:hRule="atLeast"/>
          <w:jc w:val="center"/>
          <w:trPrChange w:id="1201" w:author="LV" w:date="2026-07-14T16:09:51Z">
            <w:trPr>
              <w:gridBefore w:val="2"/>
              <w:wBefore w:w="15" w:type="dxa"/>
              <w:trHeight w:val="850" w:hRule="atLeast"/>
              <w:jc w:val="center"/>
            </w:trPr>
          </w:trPrChange>
        </w:trPr>
        <w:tc>
          <w:tcPr>
            <w:tcW w:w="418" w:type="dxa"/>
            <w:vMerge w:val="continue"/>
            <w:tcBorders>
              <w:tl2br w:val="nil"/>
              <w:tr2bl w:val="nil"/>
            </w:tcBorders>
            <w:shd w:val="clear" w:color="auto" w:fill="auto"/>
            <w:noWrap/>
            <w:tcMar>
              <w:top w:w="15" w:type="dxa"/>
              <w:left w:w="15" w:type="dxa"/>
              <w:right w:w="15" w:type="dxa"/>
            </w:tcMar>
            <w:vAlign w:val="center"/>
            <w:tcPrChange w:id="1202" w:author="LV" w:date="2026-07-14T16:09:51Z">
              <w:tcPr>
                <w:tcW w:w="418" w:type="dxa"/>
                <w:gridSpan w:val="3"/>
                <w:vMerge w:val="continue"/>
                <w:tcBorders>
                  <w:tl2br w:val="nil"/>
                  <w:tr2bl w:val="nil"/>
                </w:tcBorders>
                <w:shd w:val="clear" w:color="auto" w:fill="auto"/>
                <w:noWrap/>
                <w:tcMar>
                  <w:top w:w="15" w:type="dxa"/>
                  <w:left w:w="15" w:type="dxa"/>
                  <w:right w:w="15" w:type="dxa"/>
                </w:tcMar>
                <w:vAlign w:val="center"/>
              </w:tcPr>
            </w:tcPrChange>
          </w:tcPr>
          <w:p w14:paraId="4E3B2B6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Change w:id="1203" w:author="LV" w:date="2026-07-14T16:09:51Z">
              <w:tcPr>
                <w:tcW w:w="1005" w:type="dxa"/>
                <w:gridSpan w:val="3"/>
                <w:vMerge w:val="continue"/>
                <w:tcBorders>
                  <w:tl2br w:val="nil"/>
                  <w:tr2bl w:val="nil"/>
                </w:tcBorders>
                <w:shd w:val="clear" w:color="auto" w:fill="auto"/>
                <w:tcMar>
                  <w:top w:w="15" w:type="dxa"/>
                  <w:left w:w="15" w:type="dxa"/>
                  <w:right w:w="15" w:type="dxa"/>
                </w:tcMar>
                <w:vAlign w:val="center"/>
              </w:tcPr>
            </w:tcPrChange>
          </w:tcPr>
          <w:p w14:paraId="2DC1ABA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Change w:id="1204" w:author="LV" w:date="2026-07-14T16:09:51Z">
              <w:tcPr>
                <w:tcW w:w="3667" w:type="dxa"/>
                <w:gridSpan w:val="3"/>
                <w:vMerge w:val="continue"/>
                <w:tcBorders>
                  <w:tl2br w:val="nil"/>
                  <w:tr2bl w:val="nil"/>
                </w:tcBorders>
                <w:shd w:val="clear" w:color="auto" w:fill="auto"/>
                <w:tcMar>
                  <w:top w:w="15" w:type="dxa"/>
                  <w:left w:w="15" w:type="dxa"/>
                  <w:right w:w="15" w:type="dxa"/>
                </w:tcMar>
                <w:vAlign w:val="center"/>
              </w:tcPr>
            </w:tcPrChange>
          </w:tcPr>
          <w:p w14:paraId="30AF837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Change w:id="1205" w:author="LV" w:date="2026-07-14T16:09:51Z">
              <w:tcPr>
                <w:tcW w:w="4082" w:type="dxa"/>
                <w:gridSpan w:val="3"/>
                <w:vMerge w:val="continue"/>
                <w:tcBorders>
                  <w:tl2br w:val="nil"/>
                  <w:tr2bl w:val="nil"/>
                </w:tcBorders>
                <w:shd w:val="clear" w:color="auto" w:fill="auto"/>
                <w:tcMar>
                  <w:top w:w="15" w:type="dxa"/>
                  <w:left w:w="15" w:type="dxa"/>
                  <w:right w:w="15" w:type="dxa"/>
                </w:tcMar>
                <w:vAlign w:val="center"/>
              </w:tcPr>
            </w:tcPrChange>
          </w:tcPr>
          <w:p w14:paraId="79D28B1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Change w:id="1206" w:author="LV" w:date="2026-07-14T16:09:51Z">
              <w:tcPr>
                <w:tcW w:w="459" w:type="dxa"/>
                <w:gridSpan w:val="3"/>
                <w:tcBorders>
                  <w:tl2br w:val="nil"/>
                  <w:tr2bl w:val="nil"/>
                </w:tcBorders>
                <w:shd w:val="clear" w:color="auto" w:fill="auto"/>
                <w:noWrap/>
                <w:tcMar>
                  <w:top w:w="15" w:type="dxa"/>
                  <w:left w:w="15" w:type="dxa"/>
                  <w:right w:w="15" w:type="dxa"/>
                </w:tcMar>
                <w:vAlign w:val="center"/>
              </w:tcPr>
            </w:tcPrChange>
          </w:tcPr>
          <w:p w14:paraId="1F2C46D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Change w:id="1207" w:author="LV" w:date="2026-07-14T16:09:51Z">
              <w:tcPr>
                <w:tcW w:w="1829" w:type="dxa"/>
                <w:gridSpan w:val="3"/>
                <w:tcBorders>
                  <w:tl2br w:val="nil"/>
                  <w:tr2bl w:val="nil"/>
                </w:tcBorders>
                <w:shd w:val="clear" w:color="auto" w:fill="auto"/>
                <w:tcMar>
                  <w:top w:w="15" w:type="dxa"/>
                  <w:left w:w="15" w:type="dxa"/>
                  <w:right w:w="15" w:type="dxa"/>
                </w:tcMar>
                <w:vAlign w:val="center"/>
              </w:tcPr>
            </w:tcPrChange>
          </w:tcPr>
          <w:p w14:paraId="79A3E9E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Change w:id="1208" w:author="LV" w:date="2026-07-14T16:09:51Z">
              <w:tcPr>
                <w:tcW w:w="2655" w:type="dxa"/>
                <w:gridSpan w:val="3"/>
                <w:tcBorders>
                  <w:tl2br w:val="nil"/>
                  <w:tr2bl w:val="nil"/>
                </w:tcBorders>
                <w:shd w:val="clear" w:color="auto" w:fill="auto"/>
                <w:tcMar>
                  <w:top w:w="15" w:type="dxa"/>
                  <w:left w:w="15" w:type="dxa"/>
                  <w:right w:w="15" w:type="dxa"/>
                </w:tcMar>
                <w:vAlign w:val="center"/>
              </w:tcPr>
            </w:tcPrChange>
          </w:tcPr>
          <w:p w14:paraId="374FAF9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399884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1209" w:author="LV" w:date="2026-07-14T16:10:06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wBefore w:w="0" w:type="auto"/>
          <w:trHeight w:val="655" w:hRule="atLeast"/>
          <w:jc w:val="center"/>
          <w:trPrChange w:id="1209" w:author="LV" w:date="2026-07-14T16:10:06Z">
            <w:trPr>
              <w:gridBefore w:val="2"/>
              <w:wBefore w:w="15" w:type="dxa"/>
              <w:trHeight w:val="850" w:hRule="atLeast"/>
              <w:jc w:val="center"/>
            </w:trPr>
          </w:trPrChange>
        </w:trPr>
        <w:tc>
          <w:tcPr>
            <w:tcW w:w="418" w:type="dxa"/>
            <w:vMerge w:val="continue"/>
            <w:tcBorders>
              <w:tl2br w:val="nil"/>
              <w:tr2bl w:val="nil"/>
            </w:tcBorders>
            <w:shd w:val="clear" w:color="auto" w:fill="auto"/>
            <w:noWrap/>
            <w:tcMar>
              <w:top w:w="15" w:type="dxa"/>
              <w:left w:w="15" w:type="dxa"/>
              <w:right w:w="15" w:type="dxa"/>
            </w:tcMar>
            <w:vAlign w:val="center"/>
            <w:tcPrChange w:id="1210" w:author="LV" w:date="2026-07-14T16:10:06Z">
              <w:tcPr>
                <w:tcW w:w="418" w:type="dxa"/>
                <w:gridSpan w:val="3"/>
                <w:vMerge w:val="continue"/>
                <w:tcBorders>
                  <w:tl2br w:val="nil"/>
                  <w:tr2bl w:val="nil"/>
                </w:tcBorders>
                <w:shd w:val="clear" w:color="auto" w:fill="auto"/>
                <w:noWrap/>
                <w:tcMar>
                  <w:top w:w="15" w:type="dxa"/>
                  <w:left w:w="15" w:type="dxa"/>
                  <w:right w:w="15" w:type="dxa"/>
                </w:tcMar>
                <w:vAlign w:val="center"/>
              </w:tcPr>
            </w:tcPrChange>
          </w:tcPr>
          <w:p w14:paraId="7B11433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Change w:id="1211" w:author="LV" w:date="2026-07-14T16:10:06Z">
              <w:tcPr>
                <w:tcW w:w="1005" w:type="dxa"/>
                <w:gridSpan w:val="3"/>
                <w:vMerge w:val="continue"/>
                <w:tcBorders>
                  <w:tl2br w:val="nil"/>
                  <w:tr2bl w:val="nil"/>
                </w:tcBorders>
                <w:shd w:val="clear" w:color="auto" w:fill="auto"/>
                <w:tcMar>
                  <w:top w:w="15" w:type="dxa"/>
                  <w:left w:w="15" w:type="dxa"/>
                  <w:right w:w="15" w:type="dxa"/>
                </w:tcMar>
                <w:vAlign w:val="center"/>
              </w:tcPr>
            </w:tcPrChange>
          </w:tcPr>
          <w:p w14:paraId="3D9A9B4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Change w:id="1212" w:author="LV" w:date="2026-07-14T16:10:06Z">
              <w:tcPr>
                <w:tcW w:w="3667" w:type="dxa"/>
                <w:gridSpan w:val="3"/>
                <w:vMerge w:val="continue"/>
                <w:tcBorders>
                  <w:tl2br w:val="nil"/>
                  <w:tr2bl w:val="nil"/>
                </w:tcBorders>
                <w:shd w:val="clear" w:color="auto" w:fill="auto"/>
                <w:tcMar>
                  <w:top w:w="15" w:type="dxa"/>
                  <w:left w:w="15" w:type="dxa"/>
                  <w:right w:w="15" w:type="dxa"/>
                </w:tcMar>
                <w:vAlign w:val="center"/>
              </w:tcPr>
            </w:tcPrChange>
          </w:tcPr>
          <w:p w14:paraId="1EC68F0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Change w:id="1213" w:author="LV" w:date="2026-07-14T16:10:06Z">
              <w:tcPr>
                <w:tcW w:w="4082" w:type="dxa"/>
                <w:gridSpan w:val="3"/>
                <w:vMerge w:val="continue"/>
                <w:tcBorders>
                  <w:tl2br w:val="nil"/>
                  <w:tr2bl w:val="nil"/>
                </w:tcBorders>
                <w:shd w:val="clear" w:color="auto" w:fill="auto"/>
                <w:tcMar>
                  <w:top w:w="15" w:type="dxa"/>
                  <w:left w:w="15" w:type="dxa"/>
                  <w:right w:w="15" w:type="dxa"/>
                </w:tcMar>
                <w:vAlign w:val="center"/>
              </w:tcPr>
            </w:tcPrChange>
          </w:tcPr>
          <w:p w14:paraId="313DC88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Change w:id="1214" w:author="LV" w:date="2026-07-14T16:10:06Z">
              <w:tcPr>
                <w:tcW w:w="459" w:type="dxa"/>
                <w:gridSpan w:val="3"/>
                <w:tcBorders>
                  <w:tl2br w:val="nil"/>
                  <w:tr2bl w:val="nil"/>
                </w:tcBorders>
                <w:shd w:val="clear" w:color="auto" w:fill="auto"/>
                <w:noWrap/>
                <w:tcMar>
                  <w:top w:w="15" w:type="dxa"/>
                  <w:left w:w="15" w:type="dxa"/>
                  <w:right w:w="15" w:type="dxa"/>
                </w:tcMar>
                <w:vAlign w:val="center"/>
              </w:tcPr>
            </w:tcPrChange>
          </w:tcPr>
          <w:p w14:paraId="5BDC247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Change w:id="1215" w:author="LV" w:date="2026-07-14T16:10:06Z">
              <w:tcPr>
                <w:tcW w:w="1829" w:type="dxa"/>
                <w:gridSpan w:val="3"/>
                <w:tcBorders>
                  <w:tl2br w:val="nil"/>
                  <w:tr2bl w:val="nil"/>
                </w:tcBorders>
                <w:shd w:val="clear" w:color="auto" w:fill="auto"/>
                <w:tcMar>
                  <w:top w:w="15" w:type="dxa"/>
                  <w:left w:w="15" w:type="dxa"/>
                  <w:right w:w="15" w:type="dxa"/>
                </w:tcMar>
                <w:vAlign w:val="center"/>
              </w:tcPr>
            </w:tcPrChange>
          </w:tcPr>
          <w:p w14:paraId="037DEB5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Change w:id="1216" w:author="LV" w:date="2026-07-14T16:10:06Z">
              <w:tcPr>
                <w:tcW w:w="2655" w:type="dxa"/>
                <w:gridSpan w:val="3"/>
                <w:tcBorders>
                  <w:tl2br w:val="nil"/>
                  <w:tr2bl w:val="nil"/>
                </w:tcBorders>
                <w:shd w:val="clear" w:color="auto" w:fill="auto"/>
                <w:tcMar>
                  <w:top w:w="15" w:type="dxa"/>
                  <w:left w:w="15" w:type="dxa"/>
                  <w:right w:w="15" w:type="dxa"/>
                </w:tcMar>
                <w:vAlign w:val="center"/>
              </w:tcPr>
            </w:tcPrChange>
          </w:tcPr>
          <w:p w14:paraId="59EE44B6">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522231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1217" w:author="LV" w:date="2026-07-14T16:10:09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wBefore w:w="0" w:type="auto"/>
          <w:trHeight w:val="1528" w:hRule="atLeast"/>
          <w:jc w:val="center"/>
          <w:trPrChange w:id="1217" w:author="LV" w:date="2026-07-14T16:10:09Z">
            <w:trPr>
              <w:gridBefore w:val="2"/>
              <w:wBefore w:w="15" w:type="dxa"/>
              <w:trHeight w:val="1843" w:hRule="atLeast"/>
              <w:jc w:val="center"/>
            </w:trPr>
          </w:trPrChange>
        </w:trPr>
        <w:tc>
          <w:tcPr>
            <w:tcW w:w="418" w:type="dxa"/>
            <w:vMerge w:val="continue"/>
            <w:tcBorders>
              <w:tl2br w:val="nil"/>
              <w:tr2bl w:val="nil"/>
            </w:tcBorders>
            <w:shd w:val="clear" w:color="auto" w:fill="auto"/>
            <w:noWrap/>
            <w:tcMar>
              <w:top w:w="15" w:type="dxa"/>
              <w:left w:w="15" w:type="dxa"/>
              <w:right w:w="15" w:type="dxa"/>
            </w:tcMar>
            <w:vAlign w:val="center"/>
            <w:tcPrChange w:id="1218" w:author="LV" w:date="2026-07-14T16:10:09Z">
              <w:tcPr>
                <w:tcW w:w="418" w:type="dxa"/>
                <w:gridSpan w:val="3"/>
                <w:vMerge w:val="continue"/>
                <w:tcBorders>
                  <w:tl2br w:val="nil"/>
                  <w:tr2bl w:val="nil"/>
                </w:tcBorders>
                <w:shd w:val="clear" w:color="auto" w:fill="auto"/>
                <w:noWrap/>
                <w:tcMar>
                  <w:top w:w="15" w:type="dxa"/>
                  <w:left w:w="15" w:type="dxa"/>
                  <w:right w:w="15" w:type="dxa"/>
                </w:tcMar>
                <w:vAlign w:val="center"/>
              </w:tcPr>
            </w:tcPrChange>
          </w:tcPr>
          <w:p w14:paraId="16DFE4C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Change w:id="1219" w:author="LV" w:date="2026-07-14T16:10:09Z">
              <w:tcPr>
                <w:tcW w:w="1005" w:type="dxa"/>
                <w:gridSpan w:val="3"/>
                <w:vMerge w:val="continue"/>
                <w:tcBorders>
                  <w:tl2br w:val="nil"/>
                  <w:tr2bl w:val="nil"/>
                </w:tcBorders>
                <w:shd w:val="clear" w:color="auto" w:fill="auto"/>
                <w:tcMar>
                  <w:top w:w="15" w:type="dxa"/>
                  <w:left w:w="15" w:type="dxa"/>
                  <w:right w:w="15" w:type="dxa"/>
                </w:tcMar>
                <w:vAlign w:val="center"/>
              </w:tcPr>
            </w:tcPrChange>
          </w:tcPr>
          <w:p w14:paraId="089C71E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Change w:id="1220" w:author="LV" w:date="2026-07-14T16:10:09Z">
              <w:tcPr>
                <w:tcW w:w="3667" w:type="dxa"/>
                <w:gridSpan w:val="3"/>
                <w:vMerge w:val="continue"/>
                <w:tcBorders>
                  <w:tl2br w:val="nil"/>
                  <w:tr2bl w:val="nil"/>
                </w:tcBorders>
                <w:shd w:val="clear" w:color="auto" w:fill="auto"/>
                <w:tcMar>
                  <w:top w:w="15" w:type="dxa"/>
                  <w:left w:w="15" w:type="dxa"/>
                  <w:right w:w="15" w:type="dxa"/>
                </w:tcMar>
                <w:vAlign w:val="center"/>
              </w:tcPr>
            </w:tcPrChange>
          </w:tcPr>
          <w:p w14:paraId="422FB45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Change w:id="1221" w:author="LV" w:date="2026-07-14T16:10:09Z">
              <w:tcPr>
                <w:tcW w:w="4082" w:type="dxa"/>
                <w:gridSpan w:val="3"/>
                <w:vMerge w:val="continue"/>
                <w:tcBorders>
                  <w:tl2br w:val="nil"/>
                  <w:tr2bl w:val="nil"/>
                </w:tcBorders>
                <w:shd w:val="clear" w:color="auto" w:fill="auto"/>
                <w:tcMar>
                  <w:top w:w="15" w:type="dxa"/>
                  <w:left w:w="15" w:type="dxa"/>
                  <w:right w:w="15" w:type="dxa"/>
                </w:tcMar>
                <w:vAlign w:val="center"/>
              </w:tcPr>
            </w:tcPrChange>
          </w:tcPr>
          <w:p w14:paraId="4D7B164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Change w:id="1222" w:author="LV" w:date="2026-07-14T16:10:09Z">
              <w:tcPr>
                <w:tcW w:w="459" w:type="dxa"/>
                <w:gridSpan w:val="3"/>
                <w:tcBorders>
                  <w:tl2br w:val="nil"/>
                  <w:tr2bl w:val="nil"/>
                </w:tcBorders>
                <w:shd w:val="clear" w:color="auto" w:fill="auto"/>
                <w:noWrap/>
                <w:tcMar>
                  <w:top w:w="15" w:type="dxa"/>
                  <w:left w:w="15" w:type="dxa"/>
                  <w:right w:w="15" w:type="dxa"/>
                </w:tcMar>
                <w:vAlign w:val="center"/>
              </w:tcPr>
            </w:tcPrChange>
          </w:tcPr>
          <w:p w14:paraId="3307F21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Change w:id="1223" w:author="LV" w:date="2026-07-14T16:10:09Z">
              <w:tcPr>
                <w:tcW w:w="1829" w:type="dxa"/>
                <w:gridSpan w:val="3"/>
                <w:tcBorders>
                  <w:tl2br w:val="nil"/>
                  <w:tr2bl w:val="nil"/>
                </w:tcBorders>
                <w:shd w:val="clear" w:color="auto" w:fill="auto"/>
                <w:tcMar>
                  <w:top w:w="15" w:type="dxa"/>
                  <w:left w:w="15" w:type="dxa"/>
                  <w:right w:w="15" w:type="dxa"/>
                </w:tcMar>
                <w:vAlign w:val="center"/>
              </w:tcPr>
            </w:tcPrChange>
          </w:tcPr>
          <w:p w14:paraId="7560C7C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sz w:val="18"/>
                <w:szCs w:val="18"/>
              </w:rPr>
              <w:t>其他负责人和安全生产管理人员未依法履行安全生产管理职责，导致</w:t>
            </w:r>
            <w:r>
              <w:rPr>
                <w:rFonts w:hint="eastAsia" w:ascii="仿宋_GB2312" w:hAnsi="宋体" w:eastAsia="仿宋_GB2312" w:cs="仿宋_GB2312"/>
                <w:kern w:val="0"/>
                <w:sz w:val="18"/>
                <w:szCs w:val="18"/>
                <w:lang w:bidi="ar"/>
              </w:rPr>
              <w:t>发生一般生产安全事故的</w:t>
            </w:r>
          </w:p>
        </w:tc>
        <w:tc>
          <w:tcPr>
            <w:tcW w:w="2655" w:type="dxa"/>
            <w:tcBorders>
              <w:tl2br w:val="nil"/>
              <w:tr2bl w:val="nil"/>
            </w:tcBorders>
            <w:shd w:val="clear" w:color="auto" w:fill="auto"/>
            <w:tcMar>
              <w:top w:w="15" w:type="dxa"/>
              <w:left w:w="15" w:type="dxa"/>
              <w:right w:w="15" w:type="dxa"/>
            </w:tcMar>
            <w:vAlign w:val="center"/>
            <w:tcPrChange w:id="1224" w:author="LV" w:date="2026-07-14T16:10:09Z">
              <w:tcPr>
                <w:tcW w:w="2655" w:type="dxa"/>
                <w:gridSpan w:val="3"/>
                <w:tcBorders>
                  <w:tl2br w:val="nil"/>
                  <w:tr2bl w:val="nil"/>
                </w:tcBorders>
                <w:shd w:val="clear" w:color="auto" w:fill="auto"/>
                <w:tcMar>
                  <w:top w:w="15" w:type="dxa"/>
                  <w:left w:w="15" w:type="dxa"/>
                  <w:right w:w="15" w:type="dxa"/>
                </w:tcMar>
                <w:vAlign w:val="center"/>
              </w:tcPr>
            </w:tcPrChange>
          </w:tcPr>
          <w:p w14:paraId="0967700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sz w:val="18"/>
                <w:szCs w:val="18"/>
              </w:rPr>
              <w:t>暂停或者吊销其与安全生产有关的资格</w:t>
            </w:r>
            <w:r>
              <w:rPr>
                <w:rFonts w:hint="eastAsia" w:ascii="仿宋_GB2312" w:hAnsi="宋体" w:eastAsia="仿宋_GB2312" w:cs="仿宋_GB2312"/>
                <w:sz w:val="18"/>
                <w:szCs w:val="18"/>
                <w:lang w:eastAsia="zh-CN"/>
              </w:rPr>
              <w:t>，</w:t>
            </w:r>
            <w:r>
              <w:rPr>
                <w:rFonts w:hint="eastAsia" w:ascii="仿宋_GB2312" w:hAnsi="宋体" w:eastAsia="仿宋_GB2312" w:cs="仿宋_GB2312"/>
                <w:kern w:val="0"/>
                <w:sz w:val="18"/>
                <w:szCs w:val="18"/>
                <w:lang w:bidi="ar"/>
              </w:rPr>
              <w:t>对煤矿企业安全生产管理人员处上一年年收入百分之二十以上百分之三十以下的罚款。</w:t>
            </w:r>
          </w:p>
        </w:tc>
      </w:tr>
      <w:tr w14:paraId="793042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1225" w:author="LV" w:date="2026-07-14T16:10:15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wBefore w:w="0" w:type="auto"/>
          <w:trHeight w:val="1838" w:hRule="atLeast"/>
          <w:jc w:val="center"/>
          <w:trPrChange w:id="1225" w:author="LV" w:date="2026-07-14T16:10:15Z">
            <w:trPr>
              <w:gridBefore w:val="2"/>
              <w:wBefore w:w="15" w:type="dxa"/>
              <w:trHeight w:val="1843" w:hRule="atLeast"/>
              <w:jc w:val="center"/>
            </w:trPr>
          </w:trPrChange>
        </w:trPr>
        <w:tc>
          <w:tcPr>
            <w:tcW w:w="418" w:type="dxa"/>
            <w:vMerge w:val="continue"/>
            <w:tcBorders>
              <w:tl2br w:val="nil"/>
              <w:tr2bl w:val="nil"/>
            </w:tcBorders>
            <w:shd w:val="clear" w:color="auto" w:fill="auto"/>
            <w:noWrap/>
            <w:tcMar>
              <w:top w:w="15" w:type="dxa"/>
              <w:left w:w="15" w:type="dxa"/>
              <w:right w:w="15" w:type="dxa"/>
            </w:tcMar>
            <w:vAlign w:val="center"/>
            <w:tcPrChange w:id="1226" w:author="LV" w:date="2026-07-14T16:10:15Z">
              <w:tcPr>
                <w:tcW w:w="418" w:type="dxa"/>
                <w:gridSpan w:val="3"/>
                <w:vMerge w:val="continue"/>
                <w:tcBorders>
                  <w:tl2br w:val="nil"/>
                  <w:tr2bl w:val="nil"/>
                </w:tcBorders>
                <w:shd w:val="clear" w:color="auto" w:fill="auto"/>
                <w:noWrap/>
                <w:tcMar>
                  <w:top w:w="15" w:type="dxa"/>
                  <w:left w:w="15" w:type="dxa"/>
                  <w:right w:w="15" w:type="dxa"/>
                </w:tcMar>
                <w:vAlign w:val="center"/>
              </w:tcPr>
            </w:tcPrChange>
          </w:tcPr>
          <w:p w14:paraId="040060C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Change w:id="1227" w:author="LV" w:date="2026-07-14T16:10:15Z">
              <w:tcPr>
                <w:tcW w:w="1005" w:type="dxa"/>
                <w:gridSpan w:val="3"/>
                <w:vMerge w:val="continue"/>
                <w:tcBorders>
                  <w:tl2br w:val="nil"/>
                  <w:tr2bl w:val="nil"/>
                </w:tcBorders>
                <w:shd w:val="clear" w:color="auto" w:fill="auto"/>
                <w:tcMar>
                  <w:top w:w="15" w:type="dxa"/>
                  <w:left w:w="15" w:type="dxa"/>
                  <w:right w:w="15" w:type="dxa"/>
                </w:tcMar>
                <w:vAlign w:val="center"/>
              </w:tcPr>
            </w:tcPrChange>
          </w:tcPr>
          <w:p w14:paraId="3FCF190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Change w:id="1228" w:author="LV" w:date="2026-07-14T16:10:15Z">
              <w:tcPr>
                <w:tcW w:w="3667" w:type="dxa"/>
                <w:gridSpan w:val="3"/>
                <w:vMerge w:val="continue"/>
                <w:tcBorders>
                  <w:tl2br w:val="nil"/>
                  <w:tr2bl w:val="nil"/>
                </w:tcBorders>
                <w:shd w:val="clear" w:color="auto" w:fill="auto"/>
                <w:tcMar>
                  <w:top w:w="15" w:type="dxa"/>
                  <w:left w:w="15" w:type="dxa"/>
                  <w:right w:w="15" w:type="dxa"/>
                </w:tcMar>
                <w:vAlign w:val="center"/>
              </w:tcPr>
            </w:tcPrChange>
          </w:tcPr>
          <w:p w14:paraId="2C21F73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Change w:id="1229" w:author="LV" w:date="2026-07-14T16:10:15Z">
              <w:tcPr>
                <w:tcW w:w="4082" w:type="dxa"/>
                <w:gridSpan w:val="3"/>
                <w:vMerge w:val="continue"/>
                <w:tcBorders>
                  <w:tl2br w:val="nil"/>
                  <w:tr2bl w:val="nil"/>
                </w:tcBorders>
                <w:shd w:val="clear" w:color="auto" w:fill="auto"/>
                <w:tcMar>
                  <w:top w:w="15" w:type="dxa"/>
                  <w:left w:w="15" w:type="dxa"/>
                  <w:right w:w="15" w:type="dxa"/>
                </w:tcMar>
                <w:vAlign w:val="center"/>
              </w:tcPr>
            </w:tcPrChange>
          </w:tcPr>
          <w:p w14:paraId="1D65EA2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Change w:id="1230" w:author="LV" w:date="2026-07-14T16:10:15Z">
              <w:tcPr>
                <w:tcW w:w="459" w:type="dxa"/>
                <w:gridSpan w:val="3"/>
                <w:tcBorders>
                  <w:tl2br w:val="nil"/>
                  <w:tr2bl w:val="nil"/>
                </w:tcBorders>
                <w:shd w:val="clear" w:color="auto" w:fill="auto"/>
                <w:noWrap/>
                <w:tcMar>
                  <w:top w:w="15" w:type="dxa"/>
                  <w:left w:w="15" w:type="dxa"/>
                  <w:right w:w="15" w:type="dxa"/>
                </w:tcMar>
                <w:vAlign w:val="center"/>
              </w:tcPr>
            </w:tcPrChange>
          </w:tcPr>
          <w:p w14:paraId="54BBB90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Change w:id="1231" w:author="LV" w:date="2026-07-14T16:10:15Z">
              <w:tcPr>
                <w:tcW w:w="1829" w:type="dxa"/>
                <w:gridSpan w:val="3"/>
                <w:tcBorders>
                  <w:tl2br w:val="nil"/>
                  <w:tr2bl w:val="nil"/>
                </w:tcBorders>
                <w:shd w:val="clear" w:color="auto" w:fill="auto"/>
                <w:tcMar>
                  <w:top w:w="15" w:type="dxa"/>
                  <w:left w:w="15" w:type="dxa"/>
                  <w:right w:w="15" w:type="dxa"/>
                </w:tcMar>
                <w:vAlign w:val="center"/>
              </w:tcPr>
            </w:tcPrChange>
          </w:tcPr>
          <w:p w14:paraId="47C0429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sz w:val="18"/>
                <w:szCs w:val="18"/>
              </w:rPr>
              <w:t>其他负责人和安全生产管理人员未依法履行安全生产管理职责，导致</w:t>
            </w:r>
            <w:r>
              <w:rPr>
                <w:rFonts w:hint="eastAsia" w:ascii="仿宋_GB2312" w:hAnsi="宋体" w:eastAsia="仿宋_GB2312" w:cs="仿宋_GB2312"/>
                <w:b w:val="0"/>
                <w:bCs w:val="0"/>
                <w:color w:val="auto"/>
                <w:kern w:val="0"/>
                <w:sz w:val="18"/>
                <w:szCs w:val="18"/>
                <w:highlight w:val="none"/>
                <w:vertAlign w:val="baseline"/>
                <w:lang w:val="en-US" w:eastAsia="zh-CN" w:bidi="ar"/>
              </w:rPr>
              <w:t>发生较大生产安全事故的</w:t>
            </w:r>
          </w:p>
        </w:tc>
        <w:tc>
          <w:tcPr>
            <w:tcW w:w="2655" w:type="dxa"/>
            <w:tcBorders>
              <w:tl2br w:val="nil"/>
              <w:tr2bl w:val="nil"/>
            </w:tcBorders>
            <w:shd w:val="clear" w:color="auto" w:fill="auto"/>
            <w:tcMar>
              <w:top w:w="15" w:type="dxa"/>
              <w:left w:w="15" w:type="dxa"/>
              <w:right w:w="15" w:type="dxa"/>
            </w:tcMar>
            <w:vAlign w:val="center"/>
            <w:tcPrChange w:id="1232" w:author="LV" w:date="2026-07-14T16:10:15Z">
              <w:tcPr>
                <w:tcW w:w="2655" w:type="dxa"/>
                <w:gridSpan w:val="3"/>
                <w:tcBorders>
                  <w:tl2br w:val="nil"/>
                  <w:tr2bl w:val="nil"/>
                </w:tcBorders>
                <w:shd w:val="clear" w:color="auto" w:fill="auto"/>
                <w:tcMar>
                  <w:top w:w="15" w:type="dxa"/>
                  <w:left w:w="15" w:type="dxa"/>
                  <w:right w:w="15" w:type="dxa"/>
                </w:tcMar>
                <w:vAlign w:val="center"/>
              </w:tcPr>
            </w:tcPrChange>
          </w:tcPr>
          <w:p w14:paraId="7484DD4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sz w:val="18"/>
                <w:szCs w:val="18"/>
              </w:rPr>
              <w:t>暂停或者吊销其与安全生产有关的资格</w:t>
            </w:r>
            <w:r>
              <w:rPr>
                <w:rFonts w:hint="eastAsia" w:ascii="仿宋_GB2312" w:hAnsi="宋体" w:eastAsia="仿宋_GB2312" w:cs="仿宋_GB2312"/>
                <w:sz w:val="18"/>
                <w:szCs w:val="18"/>
                <w:lang w:eastAsia="zh-CN"/>
              </w:rPr>
              <w:t>，</w:t>
            </w:r>
            <w:r>
              <w:rPr>
                <w:rFonts w:hint="eastAsia" w:ascii="仿宋_GB2312" w:hAnsi="宋体" w:eastAsia="仿宋_GB2312" w:cs="仿宋_GB2312"/>
                <w:kern w:val="0"/>
                <w:sz w:val="18"/>
                <w:szCs w:val="18"/>
                <w:lang w:bidi="ar"/>
              </w:rPr>
              <w:t>对煤矿企业安全生产管理人员处上一年年收入百分之三十以上百分之四十以下的罚款。</w:t>
            </w:r>
          </w:p>
        </w:tc>
      </w:tr>
      <w:tr w14:paraId="6BC1D0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43" w:hRule="atLeast"/>
          <w:jc w:val="center"/>
        </w:trPr>
        <w:tc>
          <w:tcPr>
            <w:tcW w:w="418" w:type="dxa"/>
            <w:vMerge w:val="continue"/>
            <w:tcBorders>
              <w:bottom w:val="single" w:color="auto" w:sz="4" w:space="0"/>
              <w:tl2br w:val="nil"/>
              <w:tr2bl w:val="nil"/>
            </w:tcBorders>
            <w:shd w:val="clear" w:color="auto" w:fill="auto"/>
            <w:noWrap/>
            <w:tcMar>
              <w:top w:w="15" w:type="dxa"/>
              <w:left w:w="15" w:type="dxa"/>
              <w:right w:w="15" w:type="dxa"/>
            </w:tcMar>
            <w:vAlign w:val="center"/>
          </w:tcPr>
          <w:p w14:paraId="1589BE1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bottom w:val="single" w:color="auto" w:sz="4" w:space="0"/>
              <w:tl2br w:val="nil"/>
              <w:tr2bl w:val="nil"/>
            </w:tcBorders>
            <w:shd w:val="clear" w:color="auto" w:fill="auto"/>
            <w:tcMar>
              <w:top w:w="15" w:type="dxa"/>
              <w:left w:w="15" w:type="dxa"/>
              <w:right w:w="15" w:type="dxa"/>
            </w:tcMar>
            <w:vAlign w:val="center"/>
          </w:tcPr>
          <w:p w14:paraId="61691D3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bottom w:val="single" w:color="auto" w:sz="4" w:space="0"/>
              <w:tl2br w:val="nil"/>
              <w:tr2bl w:val="nil"/>
            </w:tcBorders>
            <w:shd w:val="clear" w:color="auto" w:fill="auto"/>
            <w:tcMar>
              <w:top w:w="15" w:type="dxa"/>
              <w:left w:w="15" w:type="dxa"/>
              <w:right w:w="15" w:type="dxa"/>
            </w:tcMar>
            <w:vAlign w:val="center"/>
          </w:tcPr>
          <w:p w14:paraId="10645BB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bottom w:val="single" w:color="auto" w:sz="4" w:space="0"/>
              <w:tl2br w:val="nil"/>
              <w:tr2bl w:val="nil"/>
            </w:tcBorders>
            <w:shd w:val="clear" w:color="auto" w:fill="auto"/>
            <w:tcMar>
              <w:top w:w="15" w:type="dxa"/>
              <w:left w:w="15" w:type="dxa"/>
              <w:right w:w="15" w:type="dxa"/>
            </w:tcMar>
            <w:vAlign w:val="center"/>
          </w:tcPr>
          <w:p w14:paraId="78B0A46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43A6DF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7D2FB64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eastAsia="zh-CN" w:bidi="ar"/>
              </w:rPr>
            </w:pPr>
            <w:r>
              <w:rPr>
                <w:rFonts w:hint="eastAsia" w:ascii="仿宋_GB2312" w:hAnsi="宋体" w:eastAsia="仿宋_GB2312" w:cs="仿宋_GB2312"/>
                <w:sz w:val="18"/>
                <w:szCs w:val="18"/>
              </w:rPr>
              <w:t>其他负责人和安全生产管理人员未依法履行安全生产管理职责，导致</w:t>
            </w:r>
            <w:r>
              <w:rPr>
                <w:rFonts w:hint="eastAsia" w:ascii="仿宋_GB2312" w:hAnsi="宋体" w:eastAsia="仿宋_GB2312" w:cs="仿宋_GB2312"/>
                <w:kern w:val="0"/>
                <w:sz w:val="18"/>
                <w:szCs w:val="18"/>
                <w:lang w:val="en-US" w:eastAsia="zh-CN" w:bidi="ar"/>
              </w:rPr>
              <w:t>①</w:t>
            </w:r>
            <w:r>
              <w:rPr>
                <w:rFonts w:hint="eastAsia" w:ascii="仿宋_GB2312" w:hAnsi="宋体" w:eastAsia="仿宋_GB2312" w:cs="仿宋_GB2312"/>
                <w:kern w:val="0"/>
                <w:sz w:val="18"/>
                <w:szCs w:val="18"/>
                <w:lang w:bidi="ar"/>
              </w:rPr>
              <w:t>发生重大生产安全事故</w:t>
            </w:r>
            <w:r>
              <w:rPr>
                <w:rFonts w:hint="eastAsia" w:ascii="仿宋_GB2312" w:hAnsi="宋体" w:eastAsia="仿宋_GB2312" w:cs="仿宋_GB2312"/>
                <w:kern w:val="0"/>
                <w:sz w:val="18"/>
                <w:szCs w:val="18"/>
                <w:lang w:eastAsia="zh-CN" w:bidi="ar"/>
              </w:rPr>
              <w:t>的</w:t>
            </w:r>
          </w:p>
          <w:p w14:paraId="2F8572C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val="en-US" w:eastAsia="zh-CN" w:bidi="ar"/>
              </w:rPr>
              <w:t>②发生</w:t>
            </w:r>
            <w:r>
              <w:rPr>
                <w:rFonts w:hint="eastAsia" w:ascii="仿宋_GB2312" w:hAnsi="宋体" w:eastAsia="仿宋_GB2312" w:cs="仿宋_GB2312"/>
                <w:kern w:val="0"/>
                <w:sz w:val="18"/>
                <w:szCs w:val="18"/>
                <w:lang w:bidi="ar"/>
              </w:rPr>
              <w:t>特别重大</w:t>
            </w:r>
            <w:r>
              <w:rPr>
                <w:rFonts w:hint="eastAsia" w:ascii="仿宋_GB2312" w:hAnsi="宋体" w:eastAsia="仿宋_GB2312" w:cs="仿宋_GB2312"/>
                <w:kern w:val="0"/>
                <w:sz w:val="18"/>
                <w:szCs w:val="18"/>
                <w:lang w:val="en-US" w:eastAsia="zh-CN" w:bidi="ar"/>
              </w:rPr>
              <w:t>生产安全</w:t>
            </w:r>
            <w:r>
              <w:rPr>
                <w:rFonts w:hint="eastAsia" w:ascii="仿宋_GB2312" w:hAnsi="宋体" w:eastAsia="仿宋_GB2312" w:cs="仿宋_GB2312"/>
                <w:kern w:val="0"/>
                <w:sz w:val="18"/>
                <w:szCs w:val="18"/>
                <w:lang w:bidi="ar"/>
              </w:rPr>
              <w:t>事故的</w:t>
            </w:r>
          </w:p>
        </w:tc>
        <w:tc>
          <w:tcPr>
            <w:tcW w:w="2655" w:type="dxa"/>
            <w:tcBorders>
              <w:tl2br w:val="nil"/>
              <w:tr2bl w:val="nil"/>
            </w:tcBorders>
            <w:shd w:val="clear" w:color="auto" w:fill="auto"/>
            <w:tcMar>
              <w:top w:w="15" w:type="dxa"/>
              <w:left w:w="15" w:type="dxa"/>
              <w:right w:w="15" w:type="dxa"/>
            </w:tcMar>
            <w:vAlign w:val="center"/>
          </w:tcPr>
          <w:p w14:paraId="76CFED4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sz w:val="18"/>
                <w:szCs w:val="18"/>
                <w:lang w:val="en-US" w:eastAsia="zh-CN"/>
              </w:rPr>
              <w:t>①</w:t>
            </w:r>
            <w:r>
              <w:rPr>
                <w:rFonts w:hint="eastAsia" w:ascii="仿宋_GB2312" w:hAnsi="宋体" w:eastAsia="仿宋_GB2312" w:cs="仿宋_GB2312"/>
                <w:sz w:val="18"/>
                <w:szCs w:val="18"/>
              </w:rPr>
              <w:t>暂停或者吊销其与安全生产有关的资格</w:t>
            </w:r>
            <w:r>
              <w:rPr>
                <w:rFonts w:hint="eastAsia" w:ascii="仿宋_GB2312" w:hAnsi="宋体" w:eastAsia="仿宋_GB2312" w:cs="仿宋_GB2312"/>
                <w:sz w:val="18"/>
                <w:szCs w:val="18"/>
                <w:lang w:eastAsia="zh-CN"/>
              </w:rPr>
              <w:t>，</w:t>
            </w:r>
            <w:r>
              <w:rPr>
                <w:rFonts w:hint="eastAsia" w:ascii="仿宋_GB2312" w:hAnsi="宋体" w:eastAsia="仿宋_GB2312" w:cs="仿宋_GB2312"/>
                <w:kern w:val="0"/>
                <w:sz w:val="18"/>
                <w:szCs w:val="18"/>
                <w:lang w:bidi="ar"/>
              </w:rPr>
              <w:t>对煤矿企业安全生产管理人员处上一年年收入百分之四十以上百分之五十以下的罚款。</w:t>
            </w:r>
          </w:p>
          <w:p w14:paraId="420F82E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val="en-US" w:eastAsia="zh-CN" w:bidi="ar"/>
              </w:rPr>
              <w:t>②</w:t>
            </w:r>
            <w:r>
              <w:rPr>
                <w:rFonts w:hint="eastAsia" w:ascii="仿宋_GB2312" w:hAnsi="宋体" w:eastAsia="仿宋_GB2312" w:cs="仿宋_GB2312"/>
                <w:sz w:val="18"/>
                <w:szCs w:val="18"/>
              </w:rPr>
              <w:t>暂停或者吊销其与安全生产有关的资格</w:t>
            </w:r>
            <w:r>
              <w:rPr>
                <w:rFonts w:hint="eastAsia" w:ascii="仿宋_GB2312" w:hAnsi="宋体" w:eastAsia="仿宋_GB2312" w:cs="仿宋_GB2312"/>
                <w:sz w:val="18"/>
                <w:szCs w:val="18"/>
                <w:lang w:eastAsia="zh-CN"/>
              </w:rPr>
              <w:t>，</w:t>
            </w:r>
            <w:r>
              <w:rPr>
                <w:rFonts w:hint="eastAsia" w:ascii="仿宋_GB2312" w:hAnsi="宋体" w:eastAsia="仿宋_GB2312" w:cs="仿宋_GB2312"/>
                <w:kern w:val="0"/>
                <w:sz w:val="18"/>
                <w:szCs w:val="18"/>
                <w:lang w:bidi="ar"/>
              </w:rPr>
              <w:t>对煤矿企业安全生产管理人员处上一年年收入百分之五十的罚款</w:t>
            </w:r>
          </w:p>
        </w:tc>
      </w:tr>
      <w:tr w14:paraId="047CDB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418" w:type="dxa"/>
            <w:vMerge w:val="restart"/>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11EFE44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val="en-US" w:eastAsia="zh-CN" w:bidi="ar"/>
              </w:rPr>
              <w:t>10</w:t>
            </w:r>
          </w:p>
        </w:tc>
        <w:tc>
          <w:tcPr>
            <w:tcW w:w="1005" w:type="dxa"/>
            <w:vMerge w:val="restart"/>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5D8C591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煤矿决策机构、主要负责人或者个人经营的投资人未按规定保证安全生产所必需资金投入的</w:t>
            </w:r>
          </w:p>
        </w:tc>
        <w:tc>
          <w:tcPr>
            <w:tcW w:w="3667" w:type="dxa"/>
            <w:vMerge w:val="restart"/>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164D05A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《安全生产法》第二十三条第一款 生产经营单位应当具备的安全生产条件所必需的资金投入，由生产经营单位的决策机构、主要负责人或者个人经营的投资人予以保证，并对由于安全生产所必需的资金投入不足导致的后果承担责任。</w:t>
            </w:r>
          </w:p>
          <w:p w14:paraId="4CAA88E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《煤矿安全生产条例》第三十八条  煤矿企业应当及时足额安排安全生产费用等资金，确保符合安全生产要求。煤矿企业的决策机构、主要负责人对由于安全生产所必需的资金投入不足导致的后果承担责任。</w:t>
            </w:r>
          </w:p>
        </w:tc>
        <w:tc>
          <w:tcPr>
            <w:tcW w:w="4082" w:type="dxa"/>
            <w:vMerge w:val="restart"/>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2EA922C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《安全生产法》第九十三条  生产经营单位的决策机构、主要负责人或者个人经营的投资人不依照本法规定保证安全生产所必需的资金投入，致使生产经营单位不具备安全生产条件的，责令限期改正，提供必需的资金；逾期未改正的，责令生产经营单位停产停业整顿。</w:t>
            </w:r>
          </w:p>
          <w:p w14:paraId="624197A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有前款违法行为，导致发生生产安全事故的，对生产经营单位的主要负责人给予撤职处分，对个人经营的投资人处二万元以上二十万元以下的罚款；构成犯罪的，依照刑法有关规定追究刑事责任。</w:t>
            </w:r>
          </w:p>
          <w:p w14:paraId="61BAD08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《安全生产法》第九十四条第一款  生产经营单位的主要负责人未履行本法规定的安全生产管理职责的，责令限期改正，处二万元以上五万元以下的罚款；逾期未改正的，处五万元以上十万元以下的罚款，责令生产经营单位停产停业整顿。</w:t>
            </w:r>
          </w:p>
          <w:p w14:paraId="2826BB5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《煤矿安全生产条例》第六十八条第一款  煤矿企业的决策机构、主要负责人、其他负责人和安全生产管理人员未依法履行安全生产管理职责的，依照《中华人民共和国安全生产法》有关规定处罚并承担相应责任。</w:t>
            </w:r>
          </w:p>
        </w:tc>
        <w:tc>
          <w:tcPr>
            <w:tcW w:w="459" w:type="dxa"/>
            <w:tcBorders>
              <w:tl2br w:val="nil"/>
              <w:tr2bl w:val="nil"/>
            </w:tcBorders>
            <w:shd w:val="clear" w:color="auto" w:fill="auto"/>
            <w:noWrap/>
            <w:tcMar>
              <w:top w:w="15" w:type="dxa"/>
              <w:left w:w="15" w:type="dxa"/>
              <w:right w:w="15" w:type="dxa"/>
            </w:tcMar>
            <w:vAlign w:val="center"/>
          </w:tcPr>
          <w:p w14:paraId="2E8DB45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1C0708D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08A304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349D8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1ABC802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7763831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3B71ABA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1BA0475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EE0BDB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7EF03E2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2155BBC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0FFBD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3186806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40C06AC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1A1A680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504CF43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631336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63241EC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8B7F3E6">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73E65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02"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67BA58F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09D49FD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5C7817D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6BD608D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2645AC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08DF54B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煤矿决策机构、主要负责人或者个人经营的投资人未按规定保证安全生产所必需资金投入，当天提供必需资金的。</w:t>
            </w:r>
          </w:p>
        </w:tc>
        <w:tc>
          <w:tcPr>
            <w:tcW w:w="2655" w:type="dxa"/>
            <w:tcBorders>
              <w:tl2br w:val="nil"/>
              <w:tr2bl w:val="nil"/>
            </w:tcBorders>
            <w:shd w:val="clear" w:color="auto" w:fill="auto"/>
            <w:tcMar>
              <w:top w:w="15" w:type="dxa"/>
              <w:left w:w="15" w:type="dxa"/>
              <w:right w:w="15" w:type="dxa"/>
            </w:tcMar>
            <w:vAlign w:val="center"/>
          </w:tcPr>
          <w:p w14:paraId="06E23A1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val="en-US" w:eastAsia="zh-CN" w:bidi="ar"/>
              </w:rPr>
              <w:t>处2万元以上3万元以下罚款。</w:t>
            </w:r>
          </w:p>
        </w:tc>
      </w:tr>
      <w:tr w14:paraId="734887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5"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51761C6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7D77E7E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4B2F823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04FFA4B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98D771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05C9365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煤矿决策机构、主要负责人或者个人经营的投资人未按规定保证安全生产所必需资金投入，2-3天提供必需资金的。</w:t>
            </w:r>
          </w:p>
        </w:tc>
        <w:tc>
          <w:tcPr>
            <w:tcW w:w="2655" w:type="dxa"/>
            <w:tcBorders>
              <w:tl2br w:val="nil"/>
              <w:tr2bl w:val="nil"/>
            </w:tcBorders>
            <w:shd w:val="clear" w:color="auto" w:fill="auto"/>
            <w:tcMar>
              <w:top w:w="15" w:type="dxa"/>
              <w:left w:w="15" w:type="dxa"/>
              <w:right w:w="15" w:type="dxa"/>
            </w:tcMar>
            <w:vAlign w:val="center"/>
          </w:tcPr>
          <w:p w14:paraId="05E6026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val="en-US" w:eastAsia="zh-CN" w:bidi="ar"/>
              </w:rPr>
              <w:t>处3万元以上4万元以下罚款。</w:t>
            </w:r>
          </w:p>
        </w:tc>
      </w:tr>
      <w:tr w14:paraId="633C3B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48"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32888C2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4A68889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1E29902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0541DD1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4A3C8F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54CAAE6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煤矿决策机构、主要负责人或者个人经营的投资人未按规定保证安全生产所必需资金投入，3天以上提供必需资金，但未超过责令改正期限的。</w:t>
            </w:r>
          </w:p>
        </w:tc>
        <w:tc>
          <w:tcPr>
            <w:tcW w:w="2655" w:type="dxa"/>
            <w:tcBorders>
              <w:tl2br w:val="nil"/>
              <w:tr2bl w:val="nil"/>
            </w:tcBorders>
            <w:shd w:val="clear" w:color="auto" w:fill="auto"/>
            <w:tcMar>
              <w:top w:w="15" w:type="dxa"/>
              <w:left w:w="15" w:type="dxa"/>
              <w:right w:w="15" w:type="dxa"/>
            </w:tcMar>
            <w:vAlign w:val="center"/>
          </w:tcPr>
          <w:p w14:paraId="362E86B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val="en-US" w:eastAsia="zh-CN" w:bidi="ar"/>
              </w:rPr>
              <w:t>处5万元以上5万元以下罚款。</w:t>
            </w:r>
          </w:p>
        </w:tc>
      </w:tr>
      <w:tr w14:paraId="0DA36B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18"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549BB915">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rPr>
                <w:rFonts w:hint="default" w:ascii="仿宋_GB2312" w:hAnsi="宋体" w:eastAsia="仿宋_GB2312" w:cs="仿宋_GB2312"/>
                <w:sz w:val="18"/>
                <w:szCs w:val="18"/>
                <w:lang w:val="en-US" w:eastAsia="zh-CN"/>
              </w:rPr>
            </w:pPr>
            <w:r>
              <w:rPr>
                <w:rFonts w:hint="eastAsia" w:ascii="仿宋_GB2312" w:hAnsi="宋体" w:eastAsia="仿宋_GB2312" w:cs="仿宋_GB2312"/>
                <w:sz w:val="18"/>
                <w:szCs w:val="18"/>
                <w:lang w:val="en-US" w:eastAsia="zh-CN"/>
              </w:rPr>
              <w:t>11</w:t>
            </w:r>
          </w:p>
        </w:tc>
        <w:tc>
          <w:tcPr>
            <w:tcW w:w="1005"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50620824">
            <w:pPr>
              <w:keepNext w:val="0"/>
              <w:keepLines w:val="0"/>
              <w:pageBreakBefore w:val="0"/>
              <w:widowControl w:val="0"/>
              <w:kinsoku/>
              <w:wordWrap/>
              <w:overflowPunct w:val="0"/>
              <w:topLinePunct w:val="0"/>
              <w:autoSpaceDE/>
              <w:autoSpaceDN/>
              <w:bidi w:val="0"/>
              <w:adjustRightInd/>
              <w:snapToGrid/>
              <w:spacing w:line="240" w:lineRule="exact"/>
              <w:rPr>
                <w:rFonts w:ascii="仿宋_GB2312" w:hAnsi="宋体" w:eastAsia="仿宋_GB2312" w:cs="仿宋_GB2312"/>
                <w:sz w:val="18"/>
                <w:szCs w:val="18"/>
              </w:rPr>
            </w:pPr>
            <w:r>
              <w:rPr>
                <w:rFonts w:hint="eastAsia" w:ascii="仿宋_GB2312" w:hAnsi="宋体" w:eastAsia="仿宋_GB2312" w:cs="仿宋_GB2312"/>
                <w:sz w:val="18"/>
                <w:szCs w:val="18"/>
              </w:rPr>
              <w:t>煤矿决策机构、主要负责人或者个人经营的投资人未按规定保证安全生产所必需资金投入，逾期未改正的</w:t>
            </w:r>
          </w:p>
        </w:tc>
        <w:tc>
          <w:tcPr>
            <w:tcW w:w="3667"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46468E96">
            <w:pPr>
              <w:keepNext w:val="0"/>
              <w:keepLines w:val="0"/>
              <w:pageBreakBefore w:val="0"/>
              <w:widowControl w:val="0"/>
              <w:kinsoku/>
              <w:wordWrap/>
              <w:overflowPunct w:val="0"/>
              <w:topLinePunct w:val="0"/>
              <w:autoSpaceDE/>
              <w:autoSpaceDN/>
              <w:bidi w:val="0"/>
              <w:adjustRightInd/>
              <w:snapToGrid/>
              <w:spacing w:line="240" w:lineRule="exact"/>
              <w:rPr>
                <w:rFonts w:hint="eastAsia" w:ascii="仿宋_GB2312" w:hAnsi="宋体" w:eastAsia="仿宋_GB2312" w:cs="仿宋_GB2312"/>
                <w:sz w:val="18"/>
                <w:szCs w:val="18"/>
              </w:rPr>
            </w:pPr>
            <w:r>
              <w:rPr>
                <w:rFonts w:hint="eastAsia" w:ascii="仿宋_GB2312" w:hAnsi="宋体" w:eastAsia="仿宋_GB2312" w:cs="仿宋_GB2312"/>
                <w:sz w:val="18"/>
                <w:szCs w:val="18"/>
              </w:rPr>
              <w:t xml:space="preserve">《安全生产法》第二十三条第一款  生产经营单位应当具备的安全生产条件所必需的资金投入，由生产经营单位的决策机构、主要负责人或者个人经营的投资人予以保证，并对由于安全生产所必需的资金投入不足导致的后果承担责任。 </w:t>
            </w:r>
          </w:p>
          <w:p w14:paraId="05E0EBEF">
            <w:pPr>
              <w:keepNext w:val="0"/>
              <w:keepLines w:val="0"/>
              <w:pageBreakBefore w:val="0"/>
              <w:widowControl w:val="0"/>
              <w:kinsoku/>
              <w:wordWrap/>
              <w:overflowPunct w:val="0"/>
              <w:topLinePunct w:val="0"/>
              <w:autoSpaceDE/>
              <w:autoSpaceDN/>
              <w:bidi w:val="0"/>
              <w:adjustRightInd/>
              <w:snapToGrid/>
              <w:spacing w:line="240" w:lineRule="exact"/>
              <w:rPr>
                <w:rFonts w:hint="eastAsia" w:ascii="仿宋_GB2312" w:hAnsi="宋体" w:eastAsia="仿宋_GB2312" w:cs="仿宋_GB2312"/>
                <w:sz w:val="18"/>
                <w:szCs w:val="18"/>
              </w:rPr>
            </w:pPr>
            <w:r>
              <w:rPr>
                <w:rFonts w:hint="eastAsia" w:ascii="仿宋_GB2312" w:hAnsi="宋体" w:eastAsia="仿宋_GB2312" w:cs="仿宋_GB2312"/>
                <w:sz w:val="18"/>
                <w:szCs w:val="18"/>
              </w:rPr>
              <w:t xml:space="preserve">《煤矿安全生产条例》第三十八条  煤矿企业应当及时足额 </w:t>
            </w:r>
          </w:p>
          <w:p w14:paraId="5DA9F643">
            <w:pPr>
              <w:keepNext w:val="0"/>
              <w:keepLines w:val="0"/>
              <w:pageBreakBefore w:val="0"/>
              <w:widowControl w:val="0"/>
              <w:kinsoku/>
              <w:wordWrap/>
              <w:overflowPunct w:val="0"/>
              <w:topLinePunct w:val="0"/>
              <w:autoSpaceDE/>
              <w:autoSpaceDN/>
              <w:bidi w:val="0"/>
              <w:adjustRightInd/>
              <w:snapToGrid/>
              <w:spacing w:line="240" w:lineRule="exact"/>
              <w:rPr>
                <w:rFonts w:ascii="仿宋_GB2312" w:hAnsi="宋体" w:eastAsia="仿宋_GB2312" w:cs="仿宋_GB2312"/>
                <w:sz w:val="18"/>
                <w:szCs w:val="18"/>
              </w:rPr>
            </w:pPr>
            <w:r>
              <w:rPr>
                <w:rFonts w:hint="eastAsia" w:ascii="仿宋_GB2312" w:hAnsi="宋体" w:eastAsia="仿宋_GB2312" w:cs="仿宋_GB2312"/>
                <w:sz w:val="18"/>
                <w:szCs w:val="18"/>
              </w:rPr>
              <w:t>安排安全生产费用等资金，确保符合安全生产要求。煤矿企业的决策机构、主要负责人对由于安全生产所必需的资金投入不足导致的后果承担责任。</w:t>
            </w:r>
          </w:p>
        </w:tc>
        <w:tc>
          <w:tcPr>
            <w:tcW w:w="4082"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1DD6E332">
            <w:pPr>
              <w:keepNext w:val="0"/>
              <w:keepLines w:val="0"/>
              <w:pageBreakBefore w:val="0"/>
              <w:widowControl w:val="0"/>
              <w:kinsoku/>
              <w:wordWrap/>
              <w:overflowPunct w:val="0"/>
              <w:topLinePunct w:val="0"/>
              <w:autoSpaceDE/>
              <w:autoSpaceDN/>
              <w:bidi w:val="0"/>
              <w:adjustRightInd/>
              <w:snapToGrid/>
              <w:spacing w:line="240" w:lineRule="exact"/>
              <w:rPr>
                <w:rFonts w:ascii="仿宋_GB2312" w:hAnsi="宋体" w:eastAsia="仿宋_GB2312" w:cs="仿宋_GB2312"/>
                <w:sz w:val="18"/>
                <w:szCs w:val="18"/>
              </w:rPr>
            </w:pPr>
            <w:r>
              <w:rPr>
                <w:rFonts w:hint="eastAsia" w:ascii="仿宋_GB2312" w:hAnsi="宋体" w:eastAsia="仿宋_GB2312" w:cs="仿宋_GB2312"/>
                <w:sz w:val="18"/>
                <w:szCs w:val="18"/>
              </w:rPr>
              <w:t>《安全生产法》第九十三条第一款  生产经营单位的决策机构、主要负责人或者个人经营的投资人不依照本法规定保证安全生产所必需的资金投入，致使生产经营单位不具备安全生产条件的，责令限期改正，提供必需的资金；逾期未改正的，责令生产经营单位停产停业整顿。</w:t>
            </w:r>
          </w:p>
        </w:tc>
        <w:tc>
          <w:tcPr>
            <w:tcW w:w="4943" w:type="dxa"/>
            <w:gridSpan w:val="3"/>
            <w:tcBorders>
              <w:tl2br w:val="nil"/>
              <w:tr2bl w:val="nil"/>
            </w:tcBorders>
            <w:shd w:val="clear" w:color="auto" w:fill="auto"/>
            <w:noWrap/>
            <w:tcMar>
              <w:top w:w="15" w:type="dxa"/>
              <w:left w:w="15" w:type="dxa"/>
              <w:right w:w="15" w:type="dxa"/>
            </w:tcMar>
            <w:vAlign w:val="center"/>
          </w:tcPr>
          <w:p w14:paraId="15430571">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责令煤矿企业停产整顿。</w:t>
            </w:r>
          </w:p>
        </w:tc>
      </w:tr>
      <w:tr w14:paraId="778451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18" w:type="dxa"/>
            <w:vMerge w:val="restart"/>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3656710B">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center"/>
              <w:rPr>
                <w:rFonts w:hint="default"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val="en-US" w:eastAsia="zh-CN" w:bidi="ar"/>
              </w:rPr>
              <w:t>12</w:t>
            </w:r>
          </w:p>
        </w:tc>
        <w:tc>
          <w:tcPr>
            <w:tcW w:w="1005" w:type="dxa"/>
            <w:vMerge w:val="restart"/>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0152C450">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eastAsia="zh-CN" w:bidi="ar"/>
              </w:rPr>
            </w:pPr>
            <w:r>
              <w:rPr>
                <w:rFonts w:hint="eastAsia" w:ascii="仿宋_GB2312" w:hAnsi="宋体" w:eastAsia="仿宋_GB2312" w:cs="仿宋_GB2312"/>
                <w:kern w:val="0"/>
                <w:sz w:val="18"/>
                <w:szCs w:val="18"/>
                <w:lang w:bidi="ar"/>
              </w:rPr>
              <w:t>煤矿决策机构、主要负责人或者个人经营的投资人未按规定保证安全生产所必需资金投入，致使生产经营单位不具备安全生产条件，导致发生生产安全事</w:t>
            </w:r>
            <w:r>
              <w:rPr>
                <w:rFonts w:hint="eastAsia" w:ascii="仿宋_GB2312" w:hAnsi="宋体" w:eastAsia="仿宋_GB2312" w:cs="仿宋_GB2312"/>
                <w:color w:val="auto"/>
                <w:kern w:val="0"/>
                <w:sz w:val="18"/>
                <w:szCs w:val="18"/>
                <w:lang w:bidi="ar"/>
              </w:rPr>
              <w:t>故</w:t>
            </w:r>
            <w:r>
              <w:rPr>
                <w:rFonts w:hint="eastAsia" w:ascii="仿宋_GB2312" w:hAnsi="宋体" w:eastAsia="仿宋_GB2312" w:cs="仿宋_GB2312"/>
                <w:color w:val="auto"/>
                <w:kern w:val="0"/>
                <w:sz w:val="18"/>
                <w:szCs w:val="18"/>
                <w:lang w:eastAsia="zh-CN" w:bidi="ar"/>
              </w:rPr>
              <w:t>的</w:t>
            </w:r>
          </w:p>
        </w:tc>
        <w:tc>
          <w:tcPr>
            <w:tcW w:w="3667" w:type="dxa"/>
            <w:vMerge w:val="restart"/>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40B53771">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《安全生产法》第二十三条第一款 生产经营单位应当具备的安全生产条件所必需的资金投入，由生产经营单位的决策机构、主要负责人或者个人经营的投资人予以保证，并对由于安全生产所必需的资金投入不足导致的后果承担责任。</w:t>
            </w:r>
          </w:p>
          <w:p w14:paraId="005B3CE9">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《煤矿安全生产条例》第三十八条  煤矿企业应当及时足额安排安全生产费用等资金，确保符合安全生产要求。煤矿企业的决策机构、主要负责人对由于安全生产所必需的资金投入不足导致的后果承担责任。</w:t>
            </w:r>
          </w:p>
        </w:tc>
        <w:tc>
          <w:tcPr>
            <w:tcW w:w="4082" w:type="dxa"/>
            <w:vMerge w:val="restart"/>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08C34748">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《安全生产法》第九十三条 生产经营单位的决策机构、主要负责人或者个人经营的投资人不依照本法规定保证安全生产所必需的资金投入，致使生产经营单位不具备安全生产条件的，责令限期改正，提供必需的资金；逾期未改正的，责令生产经营单位停产停业整顿。有前款违法行为，导致发生生产安全事故的，对生产经营单位的主要负责人给予撤职处分，对个人经营的投资人处二万元以上二十万元以下的罚款；构成犯罪的，依照刑法有关规定追究刑事责任。</w:t>
            </w:r>
          </w:p>
          <w:p w14:paraId="0CD4AA04">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《生产安全事故罚款处罚规定》第二十一条  个人经营的投资人未依照《中华人民共和国安全生产法》的规定保证安全生产所必需的资金投入，致使生产经营单位不具备安全生产条件，导致发生生产安全事故的，依照下列规定对个人经营的投资人处以罚款：</w:t>
            </w:r>
          </w:p>
          <w:p w14:paraId="0514390F">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（一）发生一般事故的，处2万元以上5万元以下的罚款；</w:t>
            </w:r>
          </w:p>
          <w:p w14:paraId="549FFE7F">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（二）发生较大事故的，处5万元以上10万元以下的罚款；</w:t>
            </w:r>
          </w:p>
          <w:p w14:paraId="6FC8D54F">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（三）发生重大事故的，处10万元以上15万元以下的罚款；</w:t>
            </w:r>
          </w:p>
          <w:p w14:paraId="352FFDA5">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（四）发生特别重大事故的，处15万元以上20万元以下的罚款。</w:t>
            </w:r>
          </w:p>
        </w:tc>
        <w:tc>
          <w:tcPr>
            <w:tcW w:w="459" w:type="dxa"/>
            <w:tcBorders>
              <w:bottom w:val="single" w:color="auto" w:sz="4" w:space="0"/>
              <w:tl2br w:val="nil"/>
              <w:tr2bl w:val="nil"/>
            </w:tcBorders>
            <w:shd w:val="clear" w:color="auto" w:fill="auto"/>
            <w:noWrap/>
            <w:tcMar>
              <w:top w:w="15" w:type="dxa"/>
              <w:left w:w="15" w:type="dxa"/>
              <w:right w:w="15" w:type="dxa"/>
            </w:tcMar>
            <w:vAlign w:val="center"/>
          </w:tcPr>
          <w:p w14:paraId="4BAF0B2B">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不予处罚</w:t>
            </w:r>
          </w:p>
        </w:tc>
        <w:tc>
          <w:tcPr>
            <w:tcW w:w="1829" w:type="dxa"/>
            <w:tcBorders>
              <w:bottom w:val="single" w:color="auto" w:sz="4" w:space="0"/>
              <w:tl2br w:val="nil"/>
              <w:tr2bl w:val="nil"/>
            </w:tcBorders>
            <w:shd w:val="clear" w:color="auto" w:fill="auto"/>
            <w:tcMar>
              <w:top w:w="15" w:type="dxa"/>
              <w:left w:w="15" w:type="dxa"/>
              <w:right w:w="15" w:type="dxa"/>
            </w:tcMar>
            <w:vAlign w:val="center"/>
          </w:tcPr>
          <w:p w14:paraId="5B368F8F">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655" w:type="dxa"/>
            <w:tcBorders>
              <w:bottom w:val="single" w:color="auto" w:sz="4" w:space="0"/>
              <w:tl2br w:val="nil"/>
              <w:tr2bl w:val="nil"/>
            </w:tcBorders>
            <w:shd w:val="clear" w:color="auto" w:fill="auto"/>
            <w:tcMar>
              <w:top w:w="15" w:type="dxa"/>
              <w:left w:w="15" w:type="dxa"/>
              <w:right w:w="15" w:type="dxa"/>
            </w:tcMar>
            <w:vAlign w:val="center"/>
          </w:tcPr>
          <w:p w14:paraId="3B01B89F">
            <w:pPr>
              <w:keepNext w:val="0"/>
              <w:keepLines w:val="0"/>
              <w:pageBreakBefore w:val="0"/>
              <w:widowControl w:val="0"/>
              <w:kinsoku/>
              <w:wordWrap/>
              <w:overflowPunct w:val="0"/>
              <w:topLinePunct w:val="0"/>
              <w:autoSpaceDE/>
              <w:autoSpaceDN/>
              <w:bidi w:val="0"/>
              <w:adjustRightInd/>
              <w:snapToGrid/>
              <w:spacing w:line="24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10A633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3D6FB1F6">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4F5F7E13">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48B81300">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4F226F89">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p>
        </w:tc>
        <w:tc>
          <w:tcPr>
            <w:tcW w:w="459"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7C1FBA4B">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center"/>
              <w:rPr>
                <w:rFonts w:ascii="仿宋_GB2312" w:hAnsi="宋体" w:eastAsia="仿宋_GB2312" w:cs="仿宋_GB2312"/>
                <w:kern w:val="0"/>
                <w:sz w:val="18"/>
                <w:szCs w:val="18"/>
                <w:lang w:bidi="ar"/>
              </w:rPr>
            </w:pPr>
            <w:r>
              <w:rPr>
                <w:rFonts w:ascii="仿宋_GB2312" w:hAnsi="宋体" w:eastAsia="仿宋_GB2312" w:cs="仿宋_GB2312"/>
                <w:kern w:val="0"/>
                <w:sz w:val="18"/>
                <w:szCs w:val="18"/>
                <w:lang w:bidi="ar"/>
              </w:rPr>
              <w:t>免予处罚</w:t>
            </w:r>
          </w:p>
        </w:tc>
        <w:tc>
          <w:tcPr>
            <w:tcW w:w="1829"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37947298">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不适用</w:t>
            </w:r>
          </w:p>
        </w:tc>
        <w:tc>
          <w:tcPr>
            <w:tcW w:w="2655"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25416178">
            <w:pPr>
              <w:keepNext w:val="0"/>
              <w:keepLines w:val="0"/>
              <w:pageBreakBefore w:val="0"/>
              <w:widowControl w:val="0"/>
              <w:kinsoku/>
              <w:wordWrap/>
              <w:overflowPunct w:val="0"/>
              <w:topLinePunct w:val="0"/>
              <w:autoSpaceDE/>
              <w:autoSpaceDN/>
              <w:bidi w:val="0"/>
              <w:adjustRightInd/>
              <w:snapToGrid/>
              <w:spacing w:line="24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29643F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2B7E2F29">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0C108BE9">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2FE9C75D">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0BDA70FE">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p>
        </w:tc>
        <w:tc>
          <w:tcPr>
            <w:tcW w:w="459"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40923C05">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减轻处罚</w:t>
            </w:r>
          </w:p>
        </w:tc>
        <w:tc>
          <w:tcPr>
            <w:tcW w:w="1829"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462CB1F8">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655"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55C3E2FC">
            <w:pPr>
              <w:keepNext w:val="0"/>
              <w:keepLines w:val="0"/>
              <w:pageBreakBefore w:val="0"/>
              <w:widowControl w:val="0"/>
              <w:kinsoku/>
              <w:wordWrap/>
              <w:overflowPunct w:val="0"/>
              <w:topLinePunct w:val="0"/>
              <w:autoSpaceDE/>
              <w:autoSpaceDN/>
              <w:bidi w:val="0"/>
              <w:adjustRightInd/>
              <w:snapToGrid/>
              <w:spacing w:line="24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23F37A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6"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7498FC6C">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7B7F44A1">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24D4F820">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3DFB7BB9">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p>
        </w:tc>
        <w:tc>
          <w:tcPr>
            <w:tcW w:w="459"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2049A5E9">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从轻处罚</w:t>
            </w:r>
          </w:p>
        </w:tc>
        <w:tc>
          <w:tcPr>
            <w:tcW w:w="1829"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7B3E2902">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有《安全生产法》第九十三条第一款违法行为，导致发生一般事故的。</w:t>
            </w:r>
          </w:p>
        </w:tc>
        <w:tc>
          <w:tcPr>
            <w:tcW w:w="2655"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04CCA254">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对个人经营的投资人处2万元以上</w:t>
            </w:r>
            <w:r>
              <w:rPr>
                <w:rFonts w:hint="eastAsia" w:ascii="仿宋_GB2312" w:hAnsi="宋体" w:eastAsia="仿宋_GB2312" w:cs="仿宋_GB2312"/>
                <w:kern w:val="0"/>
                <w:sz w:val="18"/>
                <w:szCs w:val="18"/>
                <w:lang w:val="en-US" w:eastAsia="zh-CN" w:bidi="ar"/>
              </w:rPr>
              <w:t>5</w:t>
            </w:r>
            <w:r>
              <w:rPr>
                <w:rFonts w:hint="eastAsia" w:ascii="仿宋_GB2312" w:hAnsi="宋体" w:eastAsia="仿宋_GB2312" w:cs="仿宋_GB2312"/>
                <w:kern w:val="0"/>
                <w:sz w:val="18"/>
                <w:szCs w:val="18"/>
                <w:lang w:bidi="ar"/>
              </w:rPr>
              <w:t>万元以下的罚款。</w:t>
            </w:r>
          </w:p>
        </w:tc>
      </w:tr>
      <w:tr w14:paraId="536054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14"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03B1F2E4">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5168D700">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0FB9CFBD">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458F7E9E">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p>
        </w:tc>
        <w:tc>
          <w:tcPr>
            <w:tcW w:w="459"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53074E1F">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一般处罚</w:t>
            </w:r>
          </w:p>
        </w:tc>
        <w:tc>
          <w:tcPr>
            <w:tcW w:w="1829"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1A06EB04">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有《安全生产法》第九十三条第一款违法行为，导致发生较大事故的。</w:t>
            </w:r>
          </w:p>
        </w:tc>
        <w:tc>
          <w:tcPr>
            <w:tcW w:w="2655"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59DB5A18">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对个人经营的投资人处</w:t>
            </w:r>
            <w:r>
              <w:rPr>
                <w:rFonts w:hint="eastAsia" w:ascii="仿宋_GB2312" w:hAnsi="宋体" w:eastAsia="仿宋_GB2312" w:cs="仿宋_GB2312"/>
                <w:kern w:val="0"/>
                <w:sz w:val="18"/>
                <w:szCs w:val="18"/>
                <w:lang w:val="en-US" w:eastAsia="zh-CN" w:bidi="ar"/>
              </w:rPr>
              <w:t>5</w:t>
            </w:r>
            <w:r>
              <w:rPr>
                <w:rFonts w:hint="eastAsia" w:ascii="仿宋_GB2312" w:hAnsi="宋体" w:eastAsia="仿宋_GB2312" w:cs="仿宋_GB2312"/>
                <w:kern w:val="0"/>
                <w:sz w:val="18"/>
                <w:szCs w:val="18"/>
                <w:lang w:bidi="ar"/>
              </w:rPr>
              <w:t>万元以上</w:t>
            </w:r>
            <w:r>
              <w:rPr>
                <w:rFonts w:hint="eastAsia" w:ascii="仿宋_GB2312" w:hAnsi="宋体" w:eastAsia="仿宋_GB2312" w:cs="仿宋_GB2312"/>
                <w:kern w:val="0"/>
                <w:sz w:val="18"/>
                <w:szCs w:val="18"/>
                <w:lang w:val="en-US" w:eastAsia="zh-CN" w:bidi="ar"/>
              </w:rPr>
              <w:t>10</w:t>
            </w:r>
            <w:r>
              <w:rPr>
                <w:rFonts w:hint="eastAsia" w:ascii="仿宋_GB2312" w:hAnsi="宋体" w:eastAsia="仿宋_GB2312" w:cs="仿宋_GB2312"/>
                <w:kern w:val="0"/>
                <w:sz w:val="18"/>
                <w:szCs w:val="18"/>
                <w:lang w:bidi="ar"/>
              </w:rPr>
              <w:t>万元以下的罚款。</w:t>
            </w:r>
          </w:p>
        </w:tc>
      </w:tr>
      <w:tr w14:paraId="1D3C5F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2F0096DE">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04AE4CD6">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32FEE42F">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26A4DD6B">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p>
        </w:tc>
        <w:tc>
          <w:tcPr>
            <w:tcW w:w="459" w:type="dxa"/>
            <w:tcBorders>
              <w:top w:val="single" w:color="auto" w:sz="4" w:space="0"/>
              <w:tl2br w:val="nil"/>
              <w:tr2bl w:val="nil"/>
            </w:tcBorders>
            <w:shd w:val="clear" w:color="auto" w:fill="auto"/>
            <w:noWrap/>
            <w:tcMar>
              <w:top w:w="15" w:type="dxa"/>
              <w:left w:w="15" w:type="dxa"/>
              <w:right w:w="15" w:type="dxa"/>
            </w:tcMar>
            <w:vAlign w:val="center"/>
          </w:tcPr>
          <w:p w14:paraId="730FCB50">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从重处罚</w:t>
            </w:r>
          </w:p>
        </w:tc>
        <w:tc>
          <w:tcPr>
            <w:tcW w:w="1829" w:type="dxa"/>
            <w:tcBorders>
              <w:top w:val="single" w:color="auto" w:sz="4" w:space="0"/>
              <w:tl2br w:val="nil"/>
              <w:tr2bl w:val="nil"/>
            </w:tcBorders>
            <w:shd w:val="clear" w:color="auto" w:fill="auto"/>
            <w:tcMar>
              <w:top w:w="15" w:type="dxa"/>
              <w:left w:w="15" w:type="dxa"/>
              <w:right w:w="15" w:type="dxa"/>
            </w:tcMar>
            <w:vAlign w:val="center"/>
          </w:tcPr>
          <w:p w14:paraId="69BB5DDA">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val="en-US" w:eastAsia="zh-CN" w:bidi="ar"/>
              </w:rPr>
              <w:t>①</w:t>
            </w:r>
            <w:r>
              <w:rPr>
                <w:rFonts w:hint="eastAsia" w:ascii="仿宋_GB2312" w:hAnsi="宋体" w:eastAsia="仿宋_GB2312" w:cs="仿宋_GB2312"/>
                <w:kern w:val="0"/>
                <w:sz w:val="18"/>
                <w:szCs w:val="18"/>
                <w:lang w:bidi="ar"/>
              </w:rPr>
              <w:t>有《安全生产法》第九十三条第一款违法行为，导致发生重大事故的。</w:t>
            </w:r>
          </w:p>
          <w:p w14:paraId="689AC59D">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val="en-US" w:eastAsia="zh-CN" w:bidi="ar"/>
              </w:rPr>
              <w:t>②</w:t>
            </w:r>
            <w:r>
              <w:rPr>
                <w:rFonts w:hint="eastAsia" w:ascii="仿宋_GB2312" w:hAnsi="宋体" w:eastAsia="仿宋_GB2312" w:cs="仿宋_GB2312"/>
                <w:kern w:val="0"/>
                <w:sz w:val="18"/>
                <w:szCs w:val="18"/>
                <w:lang w:bidi="ar"/>
              </w:rPr>
              <w:t>有《安全生产法》第九十三条第一款违法行为，导致发生特别重大事故的。</w:t>
            </w:r>
          </w:p>
        </w:tc>
        <w:tc>
          <w:tcPr>
            <w:tcW w:w="2655" w:type="dxa"/>
            <w:tcBorders>
              <w:top w:val="single" w:color="auto" w:sz="4" w:space="0"/>
              <w:tl2br w:val="nil"/>
              <w:tr2bl w:val="nil"/>
            </w:tcBorders>
            <w:shd w:val="clear" w:color="auto" w:fill="auto"/>
            <w:tcMar>
              <w:top w:w="15" w:type="dxa"/>
              <w:left w:w="15" w:type="dxa"/>
              <w:right w:w="15" w:type="dxa"/>
            </w:tcMar>
            <w:vAlign w:val="center"/>
          </w:tcPr>
          <w:p w14:paraId="721B687F">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val="en-US" w:eastAsia="zh-CN" w:bidi="ar"/>
              </w:rPr>
              <w:t>①</w:t>
            </w:r>
            <w:r>
              <w:rPr>
                <w:rFonts w:hint="eastAsia" w:ascii="仿宋_GB2312" w:hAnsi="宋体" w:eastAsia="仿宋_GB2312" w:cs="仿宋_GB2312"/>
                <w:kern w:val="0"/>
                <w:sz w:val="18"/>
                <w:szCs w:val="18"/>
                <w:lang w:bidi="ar"/>
              </w:rPr>
              <w:t>对个人经营的投资人处</w:t>
            </w:r>
            <w:r>
              <w:rPr>
                <w:rFonts w:ascii="仿宋_GB2312" w:hAnsi="宋体" w:eastAsia="仿宋_GB2312" w:cs="仿宋_GB2312"/>
                <w:kern w:val="0"/>
                <w:sz w:val="18"/>
                <w:szCs w:val="18"/>
                <w:lang w:bidi="ar"/>
              </w:rPr>
              <w:t>1</w:t>
            </w:r>
            <w:r>
              <w:rPr>
                <w:rFonts w:hint="eastAsia" w:ascii="仿宋_GB2312" w:hAnsi="宋体" w:eastAsia="仿宋_GB2312" w:cs="仿宋_GB2312"/>
                <w:kern w:val="0"/>
                <w:sz w:val="18"/>
                <w:szCs w:val="18"/>
                <w:lang w:val="en-US" w:eastAsia="zh-CN" w:bidi="ar"/>
              </w:rPr>
              <w:t>0</w:t>
            </w:r>
            <w:r>
              <w:rPr>
                <w:rFonts w:hint="eastAsia" w:ascii="仿宋_GB2312" w:hAnsi="宋体" w:eastAsia="仿宋_GB2312" w:cs="仿宋_GB2312"/>
                <w:kern w:val="0"/>
                <w:sz w:val="18"/>
                <w:szCs w:val="18"/>
                <w:lang w:bidi="ar"/>
              </w:rPr>
              <w:t>万元以上</w:t>
            </w:r>
            <w:r>
              <w:rPr>
                <w:rFonts w:hint="eastAsia" w:ascii="仿宋_GB2312" w:hAnsi="宋体" w:eastAsia="仿宋_GB2312" w:cs="仿宋_GB2312"/>
                <w:kern w:val="0"/>
                <w:sz w:val="18"/>
                <w:szCs w:val="18"/>
                <w:lang w:val="en-US" w:eastAsia="zh-CN" w:bidi="ar"/>
              </w:rPr>
              <w:t>15</w:t>
            </w:r>
            <w:r>
              <w:rPr>
                <w:rFonts w:hint="eastAsia" w:ascii="仿宋_GB2312" w:hAnsi="宋体" w:eastAsia="仿宋_GB2312" w:cs="仿宋_GB2312"/>
                <w:kern w:val="0"/>
                <w:sz w:val="18"/>
                <w:szCs w:val="18"/>
                <w:lang w:bidi="ar"/>
              </w:rPr>
              <w:t>万元以下的罚款。</w:t>
            </w:r>
          </w:p>
          <w:p w14:paraId="0873C376">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val="en-US" w:eastAsia="zh-CN" w:bidi="ar"/>
              </w:rPr>
              <w:t>②</w:t>
            </w:r>
            <w:r>
              <w:rPr>
                <w:rFonts w:hint="eastAsia" w:ascii="仿宋_GB2312" w:hAnsi="宋体" w:eastAsia="仿宋_GB2312" w:cs="仿宋_GB2312"/>
                <w:kern w:val="0"/>
                <w:sz w:val="18"/>
                <w:szCs w:val="18"/>
                <w:lang w:bidi="ar"/>
              </w:rPr>
              <w:t>对个人经营的投资人处</w:t>
            </w:r>
            <w:r>
              <w:rPr>
                <w:rFonts w:ascii="仿宋_GB2312" w:hAnsi="宋体" w:eastAsia="仿宋_GB2312" w:cs="仿宋_GB2312"/>
                <w:kern w:val="0"/>
                <w:sz w:val="18"/>
                <w:szCs w:val="18"/>
                <w:lang w:bidi="ar"/>
              </w:rPr>
              <w:t>1</w:t>
            </w:r>
            <w:r>
              <w:rPr>
                <w:rFonts w:hint="eastAsia" w:ascii="仿宋_GB2312" w:hAnsi="宋体" w:eastAsia="仿宋_GB2312" w:cs="仿宋_GB2312"/>
                <w:kern w:val="0"/>
                <w:sz w:val="18"/>
                <w:szCs w:val="18"/>
                <w:lang w:val="en-US" w:eastAsia="zh-CN" w:bidi="ar"/>
              </w:rPr>
              <w:t>5</w:t>
            </w:r>
            <w:r>
              <w:rPr>
                <w:rFonts w:hint="eastAsia" w:ascii="仿宋_GB2312" w:hAnsi="宋体" w:eastAsia="仿宋_GB2312" w:cs="仿宋_GB2312"/>
                <w:kern w:val="0"/>
                <w:sz w:val="18"/>
                <w:szCs w:val="18"/>
                <w:lang w:bidi="ar"/>
              </w:rPr>
              <w:t>万元以上</w:t>
            </w:r>
            <w:r>
              <w:rPr>
                <w:rFonts w:hint="eastAsia" w:ascii="仿宋_GB2312" w:hAnsi="宋体" w:eastAsia="仿宋_GB2312" w:cs="仿宋_GB2312"/>
                <w:kern w:val="0"/>
                <w:sz w:val="18"/>
                <w:szCs w:val="18"/>
                <w:lang w:val="en-US" w:eastAsia="zh-CN" w:bidi="ar"/>
              </w:rPr>
              <w:t>20</w:t>
            </w:r>
            <w:r>
              <w:rPr>
                <w:rFonts w:hint="eastAsia" w:ascii="仿宋_GB2312" w:hAnsi="宋体" w:eastAsia="仿宋_GB2312" w:cs="仿宋_GB2312"/>
                <w:kern w:val="0"/>
                <w:sz w:val="18"/>
                <w:szCs w:val="18"/>
                <w:lang w:bidi="ar"/>
              </w:rPr>
              <w:t>万元以下的罚款。</w:t>
            </w:r>
          </w:p>
        </w:tc>
      </w:tr>
      <w:tr w14:paraId="07B3D1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2D2563D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val="en-US" w:eastAsia="zh-CN" w:bidi="ar"/>
              </w:rPr>
              <w:t>13</w:t>
            </w:r>
          </w:p>
        </w:tc>
        <w:tc>
          <w:tcPr>
            <w:tcW w:w="1005" w:type="dxa"/>
            <w:vMerge w:val="restart"/>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1EB2138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煤矿未按照规定设置安全生产管理机构或者配备安全生产管理人员的</w:t>
            </w:r>
          </w:p>
        </w:tc>
        <w:tc>
          <w:tcPr>
            <w:tcW w:w="3667" w:type="dxa"/>
            <w:vMerge w:val="restart"/>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7793FE2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《安全生产法》第二十四条 矿山、金属冶炼、建筑施工、运输单位和危险物品的生产、经营、储存、装卸单位，应当设置安全生产管理机构或者配备专职安全生产管理人员。前款规定以外的其他生产经营单位，从业人员超过一百人的，应当设置安全生产管理机构或者配备专职安全生产管理人员；从业人员在一百人以下的，应当配备专职或者兼职的安全生产管理人员。</w:t>
            </w:r>
          </w:p>
          <w:p w14:paraId="1079AF5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《煤矿安全生产条例》第十九条  煤矿企业应当设置安全生产管理机构并配备专职安全生产管理人员。安全生产管理机构和安全生产管理人员负有下列安全生产职责：（一）组织或者参与拟订安全生产规章制度、作业规程、操作规程和生产安全事故应急救援预案；（二）组织或者参与安全生产教育和培训，如实记录安全生产教育和培训情况；（三）组织开展安全生产法律法规宣传教育；（四）组织开展安全风险辨识评估，督促落实重大安全风险管控措施；（五）制止和纠正违章指挥、强令冒险作业、违反规程的行为，发现威胁安全的紧急情况时，有权要求立即停止危险区域内的作业，撤出作业人员；（六）检查安全生产状况，及时排查事故隐患，对事故隐患排查治理情况进行统计分析，提出改进安全生产管理的建议；（七）组织或者参与应急救援演练；（八）督促落实安全生产整改措施。</w:t>
            </w:r>
          </w:p>
          <w:p w14:paraId="6EB2046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煤矿企业应当配备主要技术负责人，建立健全并落实技术管理体系。</w:t>
            </w:r>
          </w:p>
        </w:tc>
        <w:tc>
          <w:tcPr>
            <w:tcW w:w="4082" w:type="dxa"/>
            <w:vMerge w:val="restart"/>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777EA00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《安全生产法》第九十七条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一）未按照规定设置安全生产管理机构或者配备安全生产管理人员、注册安全工程师的。</w:t>
            </w:r>
          </w:p>
          <w:p w14:paraId="1F41407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《煤矿安全生产条例》第六十二条  煤矿企业有下列行为之一的，依照《中华人民共和国安全生产法》有关规定予以处罚：（一）未按照规定设置安全生产管理机构并配备安全生产管理人员的</w:t>
            </w:r>
          </w:p>
        </w:tc>
        <w:tc>
          <w:tcPr>
            <w:tcW w:w="459" w:type="dxa"/>
            <w:tcBorders>
              <w:tl2br w:val="nil"/>
              <w:tr2bl w:val="nil"/>
            </w:tcBorders>
            <w:shd w:val="clear" w:color="auto" w:fill="auto"/>
            <w:noWrap/>
            <w:tcMar>
              <w:top w:w="15" w:type="dxa"/>
              <w:left w:w="15" w:type="dxa"/>
              <w:right w:w="15" w:type="dxa"/>
            </w:tcMar>
            <w:vAlign w:val="center"/>
          </w:tcPr>
          <w:p w14:paraId="442FC3D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12A7B88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8BA7DC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096C8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26ED956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00760DB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58BEBEA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0C208E8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A2ADD8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217B4D9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074E3B6F">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78FFB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3263FCC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5C152BC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0817BD6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169B345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0223CF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716FC34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46D9B9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68DD5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5AA3D4F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0C6E37C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4B1EC07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234E331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B6AF76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6C6DAAF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pacing w:val="-6"/>
                <w:sz w:val="18"/>
                <w:szCs w:val="18"/>
                <w:highlight w:val="none"/>
              </w:rPr>
            </w:pPr>
            <w:r>
              <w:rPr>
                <w:rFonts w:hint="eastAsia" w:ascii="仿宋_GB2312" w:hAnsi="宋体" w:eastAsia="仿宋_GB2312" w:cs="仿宋_GB2312"/>
                <w:spacing w:val="-6"/>
                <w:kern w:val="0"/>
                <w:sz w:val="18"/>
                <w:szCs w:val="18"/>
                <w:highlight w:val="none"/>
                <w:lang w:bidi="ar"/>
              </w:rPr>
              <w:t>虽设置安全生产管理机构，但配备安全生产管理人员人数或能力等不符合要求比法定要求少1人的。</w:t>
            </w:r>
          </w:p>
        </w:tc>
        <w:tc>
          <w:tcPr>
            <w:tcW w:w="2655" w:type="dxa"/>
            <w:tcBorders>
              <w:tl2br w:val="nil"/>
              <w:tr2bl w:val="nil"/>
            </w:tcBorders>
            <w:shd w:val="clear" w:color="auto" w:fill="auto"/>
            <w:tcMar>
              <w:top w:w="15" w:type="dxa"/>
              <w:left w:w="15" w:type="dxa"/>
              <w:right w:w="15" w:type="dxa"/>
            </w:tcMar>
            <w:vAlign w:val="center"/>
          </w:tcPr>
          <w:p w14:paraId="7979588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处3万元以下的罚款。</w:t>
            </w:r>
          </w:p>
        </w:tc>
      </w:tr>
      <w:tr w14:paraId="0E5A9B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285A6E7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6770F57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7728AD7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69D5565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576FAC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219E78C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pacing w:val="-6"/>
                <w:sz w:val="18"/>
                <w:szCs w:val="18"/>
              </w:rPr>
            </w:pPr>
            <w:r>
              <w:rPr>
                <w:rFonts w:hint="eastAsia" w:ascii="仿宋_GB2312" w:hAnsi="宋体" w:eastAsia="仿宋_GB2312" w:cs="仿宋_GB2312"/>
                <w:spacing w:val="-6"/>
                <w:kern w:val="0"/>
                <w:sz w:val="18"/>
                <w:szCs w:val="18"/>
                <w:lang w:bidi="ar"/>
              </w:rPr>
              <w:t>虽设置安全生产管理机构，但配备安全生产管理人员人数或能力等不符合要求比法定要求少2人的。</w:t>
            </w:r>
          </w:p>
        </w:tc>
        <w:tc>
          <w:tcPr>
            <w:tcW w:w="2655" w:type="dxa"/>
            <w:tcBorders>
              <w:tl2br w:val="nil"/>
              <w:tr2bl w:val="nil"/>
            </w:tcBorders>
            <w:shd w:val="clear" w:color="auto" w:fill="auto"/>
            <w:tcMar>
              <w:top w:w="15" w:type="dxa"/>
              <w:left w:w="15" w:type="dxa"/>
              <w:right w:w="15" w:type="dxa"/>
            </w:tcMar>
            <w:vAlign w:val="center"/>
          </w:tcPr>
          <w:p w14:paraId="28CFF94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处3万元以上7万元以下的罚款。</w:t>
            </w:r>
          </w:p>
        </w:tc>
      </w:tr>
      <w:tr w14:paraId="7684E9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2634F17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1B71FDB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7951FD0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3657E2A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27BE88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5754572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pacing w:val="-6"/>
                <w:sz w:val="18"/>
                <w:szCs w:val="18"/>
              </w:rPr>
            </w:pPr>
            <w:r>
              <w:rPr>
                <w:rFonts w:hint="eastAsia" w:ascii="仿宋_GB2312" w:hAnsi="宋体" w:eastAsia="仿宋_GB2312" w:cs="仿宋_GB2312"/>
                <w:spacing w:val="-6"/>
                <w:kern w:val="0"/>
                <w:sz w:val="18"/>
                <w:szCs w:val="18"/>
                <w:lang w:bidi="ar"/>
              </w:rPr>
              <w:t>未设置安全生产管理机构，或未配备安全生产管理人员，或者虽设置安全生产管理机构但配备安全生产管理人员人数或能力等不符合要求比法定要求少3人以上的。</w:t>
            </w:r>
          </w:p>
        </w:tc>
        <w:tc>
          <w:tcPr>
            <w:tcW w:w="2655" w:type="dxa"/>
            <w:tcBorders>
              <w:tl2br w:val="nil"/>
              <w:tr2bl w:val="nil"/>
            </w:tcBorders>
            <w:shd w:val="clear" w:color="auto" w:fill="auto"/>
            <w:tcMar>
              <w:top w:w="15" w:type="dxa"/>
              <w:left w:w="15" w:type="dxa"/>
              <w:right w:w="15" w:type="dxa"/>
            </w:tcMar>
            <w:vAlign w:val="center"/>
          </w:tcPr>
          <w:p w14:paraId="127C7F3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处7万元以上10万元以下的罚款。</w:t>
            </w:r>
          </w:p>
        </w:tc>
      </w:tr>
      <w:tr w14:paraId="458D14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18" w:type="dxa"/>
            <w:vMerge w:val="restart"/>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2D5A22CE">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textAlignment w:val="center"/>
              <w:rPr>
                <w:rFonts w:hint="eastAsia" w:ascii="仿宋_GB2312" w:hAnsi="宋体" w:eastAsia="仿宋_GB2312" w:cs="仿宋_GB2312"/>
                <w:sz w:val="18"/>
                <w:szCs w:val="18"/>
                <w:lang w:eastAsia="zh-CN"/>
              </w:rPr>
            </w:pPr>
            <w:r>
              <w:rPr>
                <w:rFonts w:hint="eastAsia" w:ascii="仿宋_GB2312" w:hAnsi="宋体" w:eastAsia="仿宋_GB2312" w:cs="仿宋_GB2312"/>
                <w:kern w:val="0"/>
                <w:sz w:val="18"/>
                <w:szCs w:val="18"/>
                <w:lang w:bidi="ar"/>
              </w:rPr>
              <w:t>1</w:t>
            </w:r>
            <w:r>
              <w:rPr>
                <w:rFonts w:hint="eastAsia" w:ascii="仿宋_GB2312" w:hAnsi="宋体" w:eastAsia="仿宋_GB2312" w:cs="仿宋_GB2312"/>
                <w:kern w:val="0"/>
                <w:sz w:val="18"/>
                <w:szCs w:val="18"/>
                <w:lang w:val="en-US" w:eastAsia="zh-CN" w:bidi="ar"/>
              </w:rPr>
              <w:t>4</w:t>
            </w:r>
          </w:p>
        </w:tc>
        <w:tc>
          <w:tcPr>
            <w:tcW w:w="1005" w:type="dxa"/>
            <w:vMerge w:val="restart"/>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240037BC">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煤矿未按照规定设置安全生产管理机构或者配备安全生产管理人员，逾期未改正的</w:t>
            </w:r>
          </w:p>
        </w:tc>
        <w:tc>
          <w:tcPr>
            <w:tcW w:w="3667" w:type="dxa"/>
            <w:vMerge w:val="restart"/>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0B07A145">
            <w:pPr>
              <w:keepNext w:val="0"/>
              <w:keepLines w:val="0"/>
              <w:pageBreakBefore w:val="0"/>
              <w:widowControl w:val="0"/>
              <w:kinsoku/>
              <w:wordWrap/>
              <w:overflowPunct w:val="0"/>
              <w:topLinePunct w:val="0"/>
              <w:autoSpaceDE/>
              <w:autoSpaceDN/>
              <w:bidi w:val="0"/>
              <w:adjustRightInd/>
              <w:snapToGrid/>
              <w:spacing w:line="244"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《安全生产法》第二十四条</w:t>
            </w:r>
            <w:r>
              <w:rPr>
                <w:rFonts w:ascii="仿宋_GB2312" w:hAnsi="宋体" w:eastAsia="仿宋_GB2312" w:cs="仿宋_GB2312"/>
                <w:kern w:val="0"/>
                <w:sz w:val="18"/>
                <w:szCs w:val="18"/>
                <w:lang w:bidi="ar"/>
              </w:rPr>
              <w:t xml:space="preserve"> </w:t>
            </w:r>
            <w:r>
              <w:rPr>
                <w:rFonts w:hint="eastAsia" w:ascii="仿宋_GB2312" w:hAnsi="宋体" w:eastAsia="仿宋_GB2312" w:cs="仿宋_GB2312"/>
                <w:kern w:val="0"/>
                <w:sz w:val="18"/>
                <w:szCs w:val="18"/>
                <w:lang w:bidi="ar"/>
              </w:rPr>
              <w:t>矿山、金属冶炼、建筑施工、运输单位和危险物品的生产、经营、储存、装卸单位，应当设置安全生产管理机构或者配备专职安全生产管理人员。前款规定以外的其他生产经营单位，从业人员超过一百人的，应当设置安全生产管理机构或者配备专职安全生产管理人员；从业人员在一百人以下的，应当配备专职或者兼职的安全生产管理人员</w:t>
            </w:r>
            <w:r>
              <w:rPr>
                <w:rFonts w:ascii="仿宋_GB2312" w:hAnsi="宋体" w:eastAsia="仿宋_GB2312" w:cs="仿宋_GB2312"/>
                <w:kern w:val="0"/>
                <w:sz w:val="18"/>
                <w:szCs w:val="18"/>
                <w:lang w:bidi="ar"/>
              </w:rPr>
              <w:t>。</w:t>
            </w:r>
          </w:p>
          <w:p w14:paraId="2495495E">
            <w:pPr>
              <w:keepNext w:val="0"/>
              <w:keepLines w:val="0"/>
              <w:pageBreakBefore w:val="0"/>
              <w:widowControl w:val="0"/>
              <w:kinsoku/>
              <w:wordWrap/>
              <w:overflowPunct w:val="0"/>
              <w:topLinePunct w:val="0"/>
              <w:autoSpaceDE/>
              <w:autoSpaceDN/>
              <w:bidi w:val="0"/>
              <w:adjustRightInd/>
              <w:snapToGrid/>
              <w:spacing w:line="244" w:lineRule="exact"/>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kern w:val="0"/>
                <w:sz w:val="18"/>
                <w:szCs w:val="18"/>
                <w:lang w:bidi="ar"/>
              </w:rPr>
              <w:t>《煤矿安全生产条例》第十九条  煤矿企业应当设置安全生产管理机构并配备专职安全生产管理人员。安全生产管理机构和安全生产管理人员负有下列安全生产职责：（一）组织或者参与拟订安全生产规章制度、作业规程、操作规程和生产安全事故应急救援预案；（二）组织或者参与安全生产教育和培训，如实记录安全生产教育和培训情况；（三）组织开展安全生产法律法规宣传教育；（四）组织开展安全风险辨识评估，督促落实重大安全风险管控措施；（五）制止和纠正违章指挥、强令冒险作业、违反规程的行为，发现威胁安全的紧急情况时，有权要求立即停止危险区域内的作业，</w:t>
            </w:r>
            <w:r>
              <w:rPr>
                <w:rFonts w:hint="eastAsia" w:ascii="仿宋_GB2312" w:hAnsi="宋体" w:eastAsia="仿宋_GB2312" w:cs="仿宋_GB2312"/>
                <w:spacing w:val="-5"/>
                <w:kern w:val="0"/>
                <w:sz w:val="18"/>
                <w:szCs w:val="18"/>
                <w:lang w:bidi="ar"/>
              </w:rPr>
              <w:t>撤出作业人员；（六）检查安全生产状况，及时排查事故隐患，对事故隐患排查治理情况进行统计分析，提出改进安全生产管理的建议；（七）组织或者参与应急救援演练；（八）督促落实安全生产整改措施。煤矿企业应当配备主要技术负责人，建立健全并落实技术管理体系。</w:t>
            </w:r>
          </w:p>
          <w:p w14:paraId="68BC181C">
            <w:pPr>
              <w:keepNext w:val="0"/>
              <w:keepLines w:val="0"/>
              <w:pageBreakBefore w:val="0"/>
              <w:widowControl w:val="0"/>
              <w:kinsoku/>
              <w:wordWrap/>
              <w:overflowPunct w:val="0"/>
              <w:topLinePunct w:val="0"/>
              <w:autoSpaceDE/>
              <w:autoSpaceDN/>
              <w:bidi w:val="0"/>
              <w:adjustRightInd/>
              <w:snapToGrid/>
              <w:spacing w:line="244"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《煤矿安全生产条例》第二十二条  煤矿企业应当为煤矿分别配备专职矿长、总工程师，分管安全、生产、机电的副矿长以及专业技术人员。对煤（岩）与瓦斯（二氧化碳）突出、高瓦斯、冲击地压、煤层容易自燃、水文地质类型复杂和极复杂的煤矿，还应当设立相应的专门防治机构，配备专职副总工程师。</w:t>
            </w:r>
          </w:p>
        </w:tc>
        <w:tc>
          <w:tcPr>
            <w:tcW w:w="4082" w:type="dxa"/>
            <w:vMerge w:val="restart"/>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3A9119C9">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《安全生产法》第九十七条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一）未按照规定设置安全生产管理机构或者配备安全生产管理人员、注册安全工程师的。</w:t>
            </w:r>
          </w:p>
          <w:p w14:paraId="4426C820">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《煤矿安全生产条例》第六十二条  煤矿企业有下列行为之一的，依照《中华人民共和国安全生产法》有关规定予以处罚：（一）未按照规定设置安全生产管理机构并配备安全生产管理人员的。</w:t>
            </w:r>
          </w:p>
        </w:tc>
        <w:tc>
          <w:tcPr>
            <w:tcW w:w="459" w:type="dxa"/>
            <w:tcBorders>
              <w:tl2br w:val="nil"/>
              <w:tr2bl w:val="nil"/>
            </w:tcBorders>
            <w:shd w:val="clear" w:color="auto" w:fill="auto"/>
            <w:noWrap/>
            <w:tcMar>
              <w:top w:w="15" w:type="dxa"/>
              <w:left w:w="15" w:type="dxa"/>
              <w:right w:w="15" w:type="dxa"/>
            </w:tcMar>
            <w:vAlign w:val="center"/>
          </w:tcPr>
          <w:p w14:paraId="378F5489">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3F3AF311">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BBCCADE">
            <w:pPr>
              <w:keepNext w:val="0"/>
              <w:keepLines w:val="0"/>
              <w:pageBreakBefore w:val="0"/>
              <w:widowControl w:val="0"/>
              <w:kinsoku/>
              <w:wordWrap/>
              <w:overflowPunct w:val="0"/>
              <w:topLinePunct w:val="0"/>
              <w:autoSpaceDE/>
              <w:autoSpaceDN/>
              <w:bidi w:val="0"/>
              <w:adjustRightInd/>
              <w:snapToGrid/>
              <w:spacing w:line="26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0537F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1F93FD04">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4A0A44CF">
            <w:pPr>
              <w:keepNext w:val="0"/>
              <w:keepLines w:val="0"/>
              <w:pageBreakBefore w:val="0"/>
              <w:widowControl w:val="0"/>
              <w:kinsoku/>
              <w:wordWrap/>
              <w:overflowPunct w:val="0"/>
              <w:topLinePunct w:val="0"/>
              <w:autoSpaceDE/>
              <w:autoSpaceDN/>
              <w:bidi w:val="0"/>
              <w:adjustRightInd/>
              <w:snapToGrid/>
              <w:spacing w:line="260"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457C74D4">
            <w:pPr>
              <w:keepNext w:val="0"/>
              <w:keepLines w:val="0"/>
              <w:pageBreakBefore w:val="0"/>
              <w:widowControl w:val="0"/>
              <w:kinsoku/>
              <w:wordWrap/>
              <w:overflowPunct w:val="0"/>
              <w:topLinePunct w:val="0"/>
              <w:autoSpaceDE/>
              <w:autoSpaceDN/>
              <w:bidi w:val="0"/>
              <w:adjustRightInd/>
              <w:snapToGrid/>
              <w:spacing w:line="260"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47F38798">
            <w:pPr>
              <w:keepNext w:val="0"/>
              <w:keepLines w:val="0"/>
              <w:pageBreakBefore w:val="0"/>
              <w:widowControl w:val="0"/>
              <w:kinsoku/>
              <w:wordWrap/>
              <w:overflowPunct w:val="0"/>
              <w:topLinePunct w:val="0"/>
              <w:autoSpaceDE/>
              <w:autoSpaceDN/>
              <w:bidi w:val="0"/>
              <w:adjustRightInd/>
              <w:snapToGrid/>
              <w:spacing w:line="26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19A96BA">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66891169">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7F3B15CE">
            <w:pPr>
              <w:keepNext w:val="0"/>
              <w:keepLines w:val="0"/>
              <w:pageBreakBefore w:val="0"/>
              <w:widowControl w:val="0"/>
              <w:kinsoku/>
              <w:wordWrap/>
              <w:overflowPunct w:val="0"/>
              <w:topLinePunct w:val="0"/>
              <w:autoSpaceDE/>
              <w:autoSpaceDN/>
              <w:bidi w:val="0"/>
              <w:adjustRightInd/>
              <w:snapToGrid/>
              <w:spacing w:line="26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4C197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177CA9F5">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794CBAD0">
            <w:pPr>
              <w:keepNext w:val="0"/>
              <w:keepLines w:val="0"/>
              <w:pageBreakBefore w:val="0"/>
              <w:widowControl w:val="0"/>
              <w:kinsoku/>
              <w:wordWrap/>
              <w:overflowPunct w:val="0"/>
              <w:topLinePunct w:val="0"/>
              <w:autoSpaceDE/>
              <w:autoSpaceDN/>
              <w:bidi w:val="0"/>
              <w:adjustRightInd/>
              <w:snapToGrid/>
              <w:spacing w:line="260"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08E2DC7D">
            <w:pPr>
              <w:keepNext w:val="0"/>
              <w:keepLines w:val="0"/>
              <w:pageBreakBefore w:val="0"/>
              <w:widowControl w:val="0"/>
              <w:kinsoku/>
              <w:wordWrap/>
              <w:overflowPunct w:val="0"/>
              <w:topLinePunct w:val="0"/>
              <w:autoSpaceDE/>
              <w:autoSpaceDN/>
              <w:bidi w:val="0"/>
              <w:adjustRightInd/>
              <w:snapToGrid/>
              <w:spacing w:line="260"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6DE55ADD">
            <w:pPr>
              <w:keepNext w:val="0"/>
              <w:keepLines w:val="0"/>
              <w:pageBreakBefore w:val="0"/>
              <w:widowControl w:val="0"/>
              <w:kinsoku/>
              <w:wordWrap/>
              <w:overflowPunct w:val="0"/>
              <w:topLinePunct w:val="0"/>
              <w:autoSpaceDE/>
              <w:autoSpaceDN/>
              <w:bidi w:val="0"/>
              <w:adjustRightInd/>
              <w:snapToGrid/>
              <w:spacing w:line="26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4A6604F">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64B39168">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8828360">
            <w:pPr>
              <w:keepNext w:val="0"/>
              <w:keepLines w:val="0"/>
              <w:pageBreakBefore w:val="0"/>
              <w:widowControl w:val="0"/>
              <w:kinsoku/>
              <w:wordWrap/>
              <w:overflowPunct w:val="0"/>
              <w:topLinePunct w:val="0"/>
              <w:autoSpaceDE/>
              <w:autoSpaceDN/>
              <w:bidi w:val="0"/>
              <w:adjustRightInd/>
              <w:snapToGrid/>
              <w:spacing w:line="26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EDA1E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734EE7F7">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2F8BA597">
            <w:pPr>
              <w:keepNext w:val="0"/>
              <w:keepLines w:val="0"/>
              <w:pageBreakBefore w:val="0"/>
              <w:widowControl w:val="0"/>
              <w:kinsoku/>
              <w:wordWrap/>
              <w:overflowPunct w:val="0"/>
              <w:topLinePunct w:val="0"/>
              <w:autoSpaceDE/>
              <w:autoSpaceDN/>
              <w:bidi w:val="0"/>
              <w:adjustRightInd/>
              <w:snapToGrid/>
              <w:spacing w:line="260"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68D9FA47">
            <w:pPr>
              <w:keepNext w:val="0"/>
              <w:keepLines w:val="0"/>
              <w:pageBreakBefore w:val="0"/>
              <w:widowControl w:val="0"/>
              <w:kinsoku/>
              <w:wordWrap/>
              <w:overflowPunct w:val="0"/>
              <w:topLinePunct w:val="0"/>
              <w:autoSpaceDE/>
              <w:autoSpaceDN/>
              <w:bidi w:val="0"/>
              <w:adjustRightInd/>
              <w:snapToGrid/>
              <w:spacing w:line="260"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0800C2A5">
            <w:pPr>
              <w:keepNext w:val="0"/>
              <w:keepLines w:val="0"/>
              <w:pageBreakBefore w:val="0"/>
              <w:widowControl w:val="0"/>
              <w:kinsoku/>
              <w:wordWrap/>
              <w:overflowPunct w:val="0"/>
              <w:topLinePunct w:val="0"/>
              <w:autoSpaceDE/>
              <w:autoSpaceDN/>
              <w:bidi w:val="0"/>
              <w:adjustRightInd/>
              <w:snapToGrid/>
              <w:spacing w:line="26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19F314D">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290BE80F">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虽设置安全生产管理机构，但配备安全生产管理人员人数或能力等不符合要求，比法定要求少1人，逾期未改正</w:t>
            </w:r>
            <w:r>
              <w:rPr>
                <w:rFonts w:hint="eastAsia" w:ascii="仿宋_GB2312" w:hAnsi="宋体" w:eastAsia="仿宋_GB2312" w:cs="仿宋_GB2312"/>
                <w:kern w:val="0"/>
                <w:sz w:val="18"/>
                <w:szCs w:val="18"/>
                <w:lang w:val="en-US" w:eastAsia="zh-CN" w:bidi="ar"/>
              </w:rPr>
              <w:t>的</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val="en-US" w:eastAsia="zh-CN" w:bidi="ar"/>
              </w:rPr>
              <w:t>或者</w:t>
            </w:r>
            <w:r>
              <w:rPr>
                <w:rFonts w:hint="eastAsia" w:ascii="仿宋_GB2312" w:hAnsi="宋体" w:eastAsia="仿宋_GB2312" w:cs="仿宋_GB2312"/>
                <w:kern w:val="0"/>
                <w:sz w:val="18"/>
                <w:szCs w:val="18"/>
                <w:lang w:bidi="ar"/>
              </w:rPr>
              <w:t>超过责令改正期限10日以下的情形。</w:t>
            </w:r>
          </w:p>
        </w:tc>
        <w:tc>
          <w:tcPr>
            <w:tcW w:w="2655" w:type="dxa"/>
            <w:tcBorders>
              <w:tl2br w:val="nil"/>
              <w:tr2bl w:val="nil"/>
            </w:tcBorders>
            <w:shd w:val="clear" w:color="auto" w:fill="auto"/>
            <w:tcMar>
              <w:top w:w="15" w:type="dxa"/>
              <w:left w:w="15" w:type="dxa"/>
              <w:right w:w="15" w:type="dxa"/>
            </w:tcMar>
            <w:vAlign w:val="center"/>
          </w:tcPr>
          <w:p w14:paraId="3195B49E">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责令停产停业整顿，对煤矿处10万元以上13万元以下的罚款，对直接负责的主管人员和其他直接责任人员处2万元以上3万元以下的罚款。</w:t>
            </w:r>
          </w:p>
        </w:tc>
      </w:tr>
      <w:tr w14:paraId="330D81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353DD3A5">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409803BD">
            <w:pPr>
              <w:keepNext w:val="0"/>
              <w:keepLines w:val="0"/>
              <w:pageBreakBefore w:val="0"/>
              <w:widowControl w:val="0"/>
              <w:kinsoku/>
              <w:wordWrap/>
              <w:overflowPunct w:val="0"/>
              <w:topLinePunct w:val="0"/>
              <w:autoSpaceDE/>
              <w:autoSpaceDN/>
              <w:bidi w:val="0"/>
              <w:adjustRightInd/>
              <w:snapToGrid/>
              <w:spacing w:line="260"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1A9DAB85">
            <w:pPr>
              <w:keepNext w:val="0"/>
              <w:keepLines w:val="0"/>
              <w:pageBreakBefore w:val="0"/>
              <w:widowControl w:val="0"/>
              <w:kinsoku/>
              <w:wordWrap/>
              <w:overflowPunct w:val="0"/>
              <w:topLinePunct w:val="0"/>
              <w:autoSpaceDE/>
              <w:autoSpaceDN/>
              <w:bidi w:val="0"/>
              <w:adjustRightInd/>
              <w:snapToGrid/>
              <w:spacing w:line="260"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249CFA10">
            <w:pPr>
              <w:keepNext w:val="0"/>
              <w:keepLines w:val="0"/>
              <w:pageBreakBefore w:val="0"/>
              <w:widowControl w:val="0"/>
              <w:kinsoku/>
              <w:wordWrap/>
              <w:overflowPunct w:val="0"/>
              <w:topLinePunct w:val="0"/>
              <w:autoSpaceDE/>
              <w:autoSpaceDN/>
              <w:bidi w:val="0"/>
              <w:adjustRightInd/>
              <w:snapToGrid/>
              <w:spacing w:line="26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E6A3714">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6F545474">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虽设置安全生产管理机构，但配备安全生产管理人员人数或能力等不符合要求，比法定要求少2人，逾期未改正</w:t>
            </w:r>
            <w:r>
              <w:rPr>
                <w:rFonts w:hint="eastAsia" w:ascii="仿宋_GB2312" w:hAnsi="宋体" w:eastAsia="仿宋_GB2312" w:cs="仿宋_GB2312"/>
                <w:kern w:val="0"/>
                <w:sz w:val="18"/>
                <w:szCs w:val="18"/>
                <w:lang w:val="en-US" w:eastAsia="zh-CN" w:bidi="ar"/>
              </w:rPr>
              <w:t>的</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val="en-US" w:eastAsia="zh-CN" w:bidi="ar"/>
              </w:rPr>
              <w:t>或者</w:t>
            </w:r>
            <w:r>
              <w:rPr>
                <w:rFonts w:hint="eastAsia" w:ascii="仿宋_GB2312" w:hAnsi="宋体" w:eastAsia="仿宋_GB2312" w:cs="仿宋_GB2312"/>
                <w:kern w:val="0"/>
                <w:sz w:val="18"/>
                <w:szCs w:val="18"/>
                <w:lang w:bidi="ar"/>
              </w:rPr>
              <w:t>超过责令改正期限10以上20日以下的情形。</w:t>
            </w:r>
          </w:p>
        </w:tc>
        <w:tc>
          <w:tcPr>
            <w:tcW w:w="2655" w:type="dxa"/>
            <w:tcBorders>
              <w:tl2br w:val="nil"/>
              <w:tr2bl w:val="nil"/>
            </w:tcBorders>
            <w:shd w:val="clear" w:color="auto" w:fill="auto"/>
            <w:tcMar>
              <w:top w:w="15" w:type="dxa"/>
              <w:left w:w="15" w:type="dxa"/>
              <w:right w:w="15" w:type="dxa"/>
            </w:tcMar>
            <w:vAlign w:val="center"/>
          </w:tcPr>
          <w:p w14:paraId="3F8882F8">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责令停产停业整顿，对煤矿处13万元以上17万元以下的罚款，对直接负责的主管人员和其他直接责任人员处3万元以上4万元以下的罚款。</w:t>
            </w:r>
          </w:p>
        </w:tc>
      </w:tr>
      <w:tr w14:paraId="63D1E1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27CFCC2A">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3E8318EC">
            <w:pPr>
              <w:keepNext w:val="0"/>
              <w:keepLines w:val="0"/>
              <w:pageBreakBefore w:val="0"/>
              <w:widowControl w:val="0"/>
              <w:kinsoku/>
              <w:wordWrap/>
              <w:overflowPunct w:val="0"/>
              <w:topLinePunct w:val="0"/>
              <w:autoSpaceDE/>
              <w:autoSpaceDN/>
              <w:bidi w:val="0"/>
              <w:adjustRightInd/>
              <w:snapToGrid/>
              <w:spacing w:line="260"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570C57A5">
            <w:pPr>
              <w:keepNext w:val="0"/>
              <w:keepLines w:val="0"/>
              <w:pageBreakBefore w:val="0"/>
              <w:widowControl w:val="0"/>
              <w:kinsoku/>
              <w:wordWrap/>
              <w:overflowPunct w:val="0"/>
              <w:topLinePunct w:val="0"/>
              <w:autoSpaceDE/>
              <w:autoSpaceDN/>
              <w:bidi w:val="0"/>
              <w:adjustRightInd/>
              <w:snapToGrid/>
              <w:spacing w:line="260"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1043C73A">
            <w:pPr>
              <w:keepNext w:val="0"/>
              <w:keepLines w:val="0"/>
              <w:pageBreakBefore w:val="0"/>
              <w:widowControl w:val="0"/>
              <w:kinsoku/>
              <w:wordWrap/>
              <w:overflowPunct w:val="0"/>
              <w:topLinePunct w:val="0"/>
              <w:autoSpaceDE/>
              <w:autoSpaceDN/>
              <w:bidi w:val="0"/>
              <w:adjustRightInd/>
              <w:snapToGrid/>
              <w:spacing w:line="26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D6F17F0">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56ADC196">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未设置安全生产管理机构，或未配备安全生产管理人员，或者虽设置安全生产管理机构但配备安全生产管理人员人数或能力等不符合要求，比法定要求少3人以上，逾期未改正</w:t>
            </w:r>
            <w:r>
              <w:rPr>
                <w:rFonts w:hint="eastAsia" w:ascii="仿宋_GB2312" w:hAnsi="宋体" w:eastAsia="仿宋_GB2312" w:cs="仿宋_GB2312"/>
                <w:kern w:val="0"/>
                <w:sz w:val="18"/>
                <w:szCs w:val="18"/>
                <w:lang w:val="en-US" w:eastAsia="zh-CN" w:bidi="ar"/>
              </w:rPr>
              <w:t>的</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val="en-US" w:eastAsia="zh-CN" w:bidi="ar"/>
              </w:rPr>
              <w:t>或者</w:t>
            </w:r>
            <w:r>
              <w:rPr>
                <w:rFonts w:hint="eastAsia" w:ascii="仿宋_GB2312" w:hAnsi="宋体" w:eastAsia="仿宋_GB2312" w:cs="仿宋_GB2312"/>
                <w:kern w:val="0"/>
                <w:sz w:val="18"/>
                <w:szCs w:val="18"/>
                <w:lang w:bidi="ar"/>
              </w:rPr>
              <w:t>超过责令改正期限20日以上的情形。</w:t>
            </w:r>
          </w:p>
        </w:tc>
        <w:tc>
          <w:tcPr>
            <w:tcW w:w="2655" w:type="dxa"/>
            <w:tcBorders>
              <w:tl2br w:val="nil"/>
              <w:tr2bl w:val="nil"/>
            </w:tcBorders>
            <w:shd w:val="clear" w:color="auto" w:fill="auto"/>
            <w:tcMar>
              <w:top w:w="15" w:type="dxa"/>
              <w:left w:w="15" w:type="dxa"/>
              <w:right w:w="15" w:type="dxa"/>
            </w:tcMar>
            <w:vAlign w:val="center"/>
          </w:tcPr>
          <w:p w14:paraId="282FBA28">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责令停产停业整顿，对煤矿处17万元以上20万元以下的罚款，对直接负责的主管人员和其他直接责任人员处4万元以上5万元以下的罚款。</w:t>
            </w:r>
          </w:p>
        </w:tc>
      </w:tr>
      <w:tr w14:paraId="57E613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1233" w:author="LV" w:date="2026-07-14T16:11:18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wBefore w:w="0" w:type="auto"/>
          <w:trHeight w:val="522" w:hRule="atLeast"/>
          <w:jc w:val="center"/>
          <w:trPrChange w:id="1233" w:author="LV" w:date="2026-07-14T16:11:18Z">
            <w:trPr>
              <w:gridBefore w:val="2"/>
              <w:wBefore w:w="15" w:type="dxa"/>
              <w:trHeight w:val="737" w:hRule="atLeast"/>
              <w:jc w:val="center"/>
            </w:trPr>
          </w:trPrChange>
        </w:trPr>
        <w:tc>
          <w:tcPr>
            <w:tcW w:w="418" w:type="dxa"/>
            <w:vMerge w:val="restart"/>
            <w:tcBorders>
              <w:top w:val="single" w:color="auto" w:sz="4" w:space="0"/>
              <w:bottom w:val="single" w:color="auto" w:sz="4" w:space="0"/>
              <w:tl2br w:val="nil"/>
              <w:tr2bl w:val="nil"/>
            </w:tcBorders>
            <w:shd w:val="clear" w:color="auto" w:fill="auto"/>
            <w:noWrap/>
            <w:tcMar>
              <w:top w:w="15" w:type="dxa"/>
              <w:left w:w="15" w:type="dxa"/>
              <w:right w:w="15" w:type="dxa"/>
            </w:tcMar>
            <w:vAlign w:val="center"/>
            <w:tcPrChange w:id="1234" w:author="LV" w:date="2026-07-14T16:11:18Z">
              <w:tcPr>
                <w:tcW w:w="418" w:type="dxa"/>
                <w:gridSpan w:val="3"/>
                <w:vMerge w:val="restart"/>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tcPrChange>
          </w:tcPr>
          <w:p w14:paraId="72B3157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z w:val="18"/>
                <w:szCs w:val="18"/>
                <w:lang w:eastAsia="zh-CN"/>
              </w:rPr>
            </w:pPr>
            <w:r>
              <w:rPr>
                <w:rFonts w:hint="eastAsia" w:ascii="仿宋_GB2312" w:hAnsi="宋体" w:eastAsia="仿宋_GB2312" w:cs="仿宋_GB2312"/>
                <w:kern w:val="0"/>
                <w:sz w:val="18"/>
                <w:szCs w:val="18"/>
                <w:lang w:bidi="ar"/>
              </w:rPr>
              <w:t>1</w:t>
            </w:r>
            <w:r>
              <w:rPr>
                <w:rFonts w:hint="eastAsia" w:ascii="仿宋_GB2312" w:hAnsi="宋体" w:eastAsia="仿宋_GB2312" w:cs="仿宋_GB2312"/>
                <w:kern w:val="0"/>
                <w:sz w:val="18"/>
                <w:szCs w:val="18"/>
                <w:lang w:val="en-US" w:eastAsia="zh-CN" w:bidi="ar"/>
              </w:rPr>
              <w:t>5</w:t>
            </w:r>
          </w:p>
        </w:tc>
        <w:tc>
          <w:tcPr>
            <w:tcW w:w="1005" w:type="dxa"/>
            <w:vMerge w:val="restart"/>
            <w:tcBorders>
              <w:top w:val="single" w:color="auto" w:sz="4" w:space="0"/>
              <w:bottom w:val="single" w:color="auto" w:sz="4" w:space="0"/>
              <w:tl2br w:val="nil"/>
              <w:tr2bl w:val="nil"/>
            </w:tcBorders>
            <w:shd w:val="clear" w:color="auto" w:fill="auto"/>
            <w:tcMar>
              <w:top w:w="15" w:type="dxa"/>
              <w:left w:w="15" w:type="dxa"/>
              <w:right w:w="15" w:type="dxa"/>
            </w:tcMar>
            <w:vAlign w:val="center"/>
            <w:tcPrChange w:id="1235" w:author="LV" w:date="2026-07-14T16:11:18Z">
              <w:tcPr>
                <w:tcW w:w="1005" w:type="dxa"/>
                <w:gridSpan w:val="3"/>
                <w:vMerge w:val="restart"/>
                <w:tcBorders>
                  <w:top w:val="single" w:color="auto" w:sz="4" w:space="0"/>
                  <w:bottom w:val="single" w:color="auto" w:sz="4" w:space="0"/>
                  <w:tl2br w:val="nil"/>
                  <w:tr2bl w:val="nil"/>
                </w:tcBorders>
                <w:shd w:val="clear" w:color="auto" w:fill="auto"/>
                <w:tcMar>
                  <w:top w:w="15" w:type="dxa"/>
                  <w:left w:w="15" w:type="dxa"/>
                  <w:right w:w="15" w:type="dxa"/>
                </w:tcMar>
                <w:vAlign w:val="center"/>
              </w:tcPr>
            </w:tcPrChange>
          </w:tcPr>
          <w:p w14:paraId="5FCF140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煤矿未按照规定配备注册安全工程师的</w:t>
            </w:r>
          </w:p>
        </w:tc>
        <w:tc>
          <w:tcPr>
            <w:tcW w:w="3667" w:type="dxa"/>
            <w:vMerge w:val="restart"/>
            <w:tcBorders>
              <w:top w:val="single" w:color="auto" w:sz="4" w:space="0"/>
              <w:bottom w:val="single" w:color="auto" w:sz="4" w:space="0"/>
              <w:tl2br w:val="nil"/>
              <w:tr2bl w:val="nil"/>
            </w:tcBorders>
            <w:shd w:val="clear" w:color="auto" w:fill="auto"/>
            <w:tcMar>
              <w:top w:w="15" w:type="dxa"/>
              <w:left w:w="15" w:type="dxa"/>
              <w:right w:w="15" w:type="dxa"/>
            </w:tcMar>
            <w:vAlign w:val="center"/>
            <w:tcPrChange w:id="1236" w:author="LV" w:date="2026-07-14T16:11:18Z">
              <w:tcPr>
                <w:tcW w:w="3667" w:type="dxa"/>
                <w:gridSpan w:val="3"/>
                <w:vMerge w:val="restart"/>
                <w:tcBorders>
                  <w:top w:val="single" w:color="auto" w:sz="4" w:space="0"/>
                  <w:bottom w:val="single" w:color="auto" w:sz="4" w:space="0"/>
                  <w:tl2br w:val="nil"/>
                  <w:tr2bl w:val="nil"/>
                </w:tcBorders>
                <w:shd w:val="clear" w:color="auto" w:fill="auto"/>
                <w:tcMar>
                  <w:top w:w="15" w:type="dxa"/>
                  <w:left w:w="15" w:type="dxa"/>
                  <w:right w:w="15" w:type="dxa"/>
                </w:tcMar>
                <w:vAlign w:val="center"/>
              </w:tcPr>
            </w:tcPrChange>
          </w:tcPr>
          <w:p w14:paraId="03CDE26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《安全生产法》第二十七条第三款 危险物品的生产、储存、装卸单位以及矿山、金属冶炼单位应当有注册安全工程师从事安全生产管理工作。鼓励其他生产经营单位聘用注册安全工程师从事安全生产管理工作。注册安全工程师按专业分类管理，具体办法由国务院人力资源和社会保障部门、国务院应急管理部门会同国务院有关部门制定。</w:t>
            </w:r>
          </w:p>
        </w:tc>
        <w:tc>
          <w:tcPr>
            <w:tcW w:w="4082" w:type="dxa"/>
            <w:vMerge w:val="restart"/>
            <w:tcBorders>
              <w:top w:val="single" w:color="auto" w:sz="4" w:space="0"/>
              <w:bottom w:val="single" w:color="auto" w:sz="4" w:space="0"/>
              <w:tl2br w:val="nil"/>
              <w:tr2bl w:val="nil"/>
            </w:tcBorders>
            <w:shd w:val="clear" w:color="auto" w:fill="auto"/>
            <w:tcMar>
              <w:top w:w="15" w:type="dxa"/>
              <w:left w:w="15" w:type="dxa"/>
              <w:right w:w="15" w:type="dxa"/>
            </w:tcMar>
            <w:vAlign w:val="center"/>
            <w:tcPrChange w:id="1237" w:author="LV" w:date="2026-07-14T16:11:18Z">
              <w:tcPr>
                <w:tcW w:w="4082" w:type="dxa"/>
                <w:gridSpan w:val="3"/>
                <w:vMerge w:val="restart"/>
                <w:tcBorders>
                  <w:top w:val="single" w:color="auto" w:sz="4" w:space="0"/>
                  <w:bottom w:val="single" w:color="auto" w:sz="4" w:space="0"/>
                  <w:tl2br w:val="nil"/>
                  <w:tr2bl w:val="nil"/>
                </w:tcBorders>
                <w:shd w:val="clear" w:color="auto" w:fill="auto"/>
                <w:tcMar>
                  <w:top w:w="15" w:type="dxa"/>
                  <w:left w:w="15" w:type="dxa"/>
                  <w:right w:w="15" w:type="dxa"/>
                </w:tcMar>
                <w:vAlign w:val="center"/>
              </w:tcPr>
            </w:tcPrChange>
          </w:tcPr>
          <w:p w14:paraId="336B025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《安全生产法》第九十七条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一）未按照规定设置安全生产管理机构或者配备安全生产管理人员、注册安全工程师的。</w:t>
            </w:r>
          </w:p>
        </w:tc>
        <w:tc>
          <w:tcPr>
            <w:tcW w:w="459" w:type="dxa"/>
            <w:tcBorders>
              <w:tl2br w:val="nil"/>
              <w:tr2bl w:val="nil"/>
            </w:tcBorders>
            <w:shd w:val="clear" w:color="auto" w:fill="auto"/>
            <w:noWrap/>
            <w:tcMar>
              <w:top w:w="15" w:type="dxa"/>
              <w:left w:w="15" w:type="dxa"/>
              <w:right w:w="15" w:type="dxa"/>
            </w:tcMar>
            <w:vAlign w:val="center"/>
            <w:tcPrChange w:id="1238" w:author="LV" w:date="2026-07-14T16:11:18Z">
              <w:tcPr>
                <w:tcW w:w="459" w:type="dxa"/>
                <w:gridSpan w:val="3"/>
                <w:tcBorders>
                  <w:tl2br w:val="nil"/>
                  <w:tr2bl w:val="nil"/>
                </w:tcBorders>
                <w:shd w:val="clear" w:color="auto" w:fill="auto"/>
                <w:noWrap/>
                <w:tcMar>
                  <w:top w:w="15" w:type="dxa"/>
                  <w:left w:w="15" w:type="dxa"/>
                  <w:right w:w="15" w:type="dxa"/>
                </w:tcMar>
                <w:vAlign w:val="center"/>
              </w:tcPr>
            </w:tcPrChange>
          </w:tcPr>
          <w:p w14:paraId="12DF7C7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Change w:id="1239" w:author="LV" w:date="2026-07-14T16:11:18Z">
              <w:tcPr>
                <w:tcW w:w="1829" w:type="dxa"/>
                <w:gridSpan w:val="3"/>
                <w:tcBorders>
                  <w:tl2br w:val="nil"/>
                  <w:tr2bl w:val="nil"/>
                </w:tcBorders>
                <w:shd w:val="clear" w:color="auto" w:fill="auto"/>
                <w:tcMar>
                  <w:top w:w="15" w:type="dxa"/>
                  <w:left w:w="15" w:type="dxa"/>
                  <w:right w:w="15" w:type="dxa"/>
                </w:tcMar>
                <w:vAlign w:val="center"/>
              </w:tcPr>
            </w:tcPrChange>
          </w:tcPr>
          <w:p w14:paraId="4F4E443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Change w:id="1240" w:author="LV" w:date="2026-07-14T16:11:18Z">
              <w:tcPr>
                <w:tcW w:w="2655" w:type="dxa"/>
                <w:gridSpan w:val="3"/>
                <w:tcBorders>
                  <w:tl2br w:val="nil"/>
                  <w:tr2bl w:val="nil"/>
                </w:tcBorders>
                <w:shd w:val="clear" w:color="auto" w:fill="auto"/>
                <w:tcMar>
                  <w:top w:w="15" w:type="dxa"/>
                  <w:left w:w="15" w:type="dxa"/>
                  <w:right w:w="15" w:type="dxa"/>
                </w:tcMar>
                <w:vAlign w:val="center"/>
              </w:tcPr>
            </w:tcPrChange>
          </w:tcPr>
          <w:p w14:paraId="4552C3D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46323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1241" w:author="LV" w:date="2026-07-14T16:11:21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wBefore w:w="0" w:type="auto"/>
          <w:trHeight w:val="492" w:hRule="atLeast"/>
          <w:jc w:val="center"/>
          <w:trPrChange w:id="1241" w:author="LV" w:date="2026-07-14T16:11:21Z">
            <w:trPr>
              <w:gridBefore w:val="2"/>
              <w:wBefore w:w="15" w:type="dxa"/>
              <w:trHeight w:val="737" w:hRule="atLeast"/>
              <w:jc w:val="center"/>
            </w:trPr>
          </w:trPrChange>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Change w:id="1242" w:author="LV" w:date="2026-07-14T16:11:21Z">
              <w:tcPr>
                <w:tcW w:w="418" w:type="dxa"/>
                <w:gridSpan w:val="3"/>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tcPrChange>
          </w:tcPr>
          <w:p w14:paraId="12866A4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Change w:id="1243" w:author="LV" w:date="2026-07-14T16:11:21Z">
              <w:tcPr>
                <w:tcW w:w="1005" w:type="dxa"/>
                <w:gridSpan w:val="3"/>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tcPrChange>
          </w:tcPr>
          <w:p w14:paraId="738487D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Change w:id="1244" w:author="LV" w:date="2026-07-14T16:11:21Z">
              <w:tcPr>
                <w:tcW w:w="3667" w:type="dxa"/>
                <w:gridSpan w:val="3"/>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tcPrChange>
          </w:tcPr>
          <w:p w14:paraId="796F263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Change w:id="1245" w:author="LV" w:date="2026-07-14T16:11:21Z">
              <w:tcPr>
                <w:tcW w:w="4082" w:type="dxa"/>
                <w:gridSpan w:val="3"/>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tcPrChange>
          </w:tcPr>
          <w:p w14:paraId="50520C2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Change w:id="1246" w:author="LV" w:date="2026-07-14T16:11:21Z">
              <w:tcPr>
                <w:tcW w:w="459" w:type="dxa"/>
                <w:gridSpan w:val="3"/>
                <w:tcBorders>
                  <w:tl2br w:val="nil"/>
                  <w:tr2bl w:val="nil"/>
                </w:tcBorders>
                <w:shd w:val="clear" w:color="auto" w:fill="auto"/>
                <w:noWrap/>
                <w:tcMar>
                  <w:top w:w="15" w:type="dxa"/>
                  <w:left w:w="15" w:type="dxa"/>
                  <w:right w:w="15" w:type="dxa"/>
                </w:tcMar>
                <w:vAlign w:val="center"/>
              </w:tcPr>
            </w:tcPrChange>
          </w:tcPr>
          <w:p w14:paraId="4802D79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Change w:id="1247" w:author="LV" w:date="2026-07-14T16:11:21Z">
              <w:tcPr>
                <w:tcW w:w="1829" w:type="dxa"/>
                <w:gridSpan w:val="3"/>
                <w:tcBorders>
                  <w:tl2br w:val="nil"/>
                  <w:tr2bl w:val="nil"/>
                </w:tcBorders>
                <w:shd w:val="clear" w:color="auto" w:fill="auto"/>
                <w:tcMar>
                  <w:top w:w="15" w:type="dxa"/>
                  <w:left w:w="15" w:type="dxa"/>
                  <w:right w:w="15" w:type="dxa"/>
                </w:tcMar>
                <w:vAlign w:val="center"/>
              </w:tcPr>
            </w:tcPrChange>
          </w:tcPr>
          <w:p w14:paraId="6AB91C6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Change w:id="1248" w:author="LV" w:date="2026-07-14T16:11:21Z">
              <w:tcPr>
                <w:tcW w:w="2655" w:type="dxa"/>
                <w:gridSpan w:val="3"/>
                <w:tcBorders>
                  <w:tl2br w:val="nil"/>
                  <w:tr2bl w:val="nil"/>
                </w:tcBorders>
                <w:shd w:val="clear" w:color="auto" w:fill="auto"/>
                <w:noWrap/>
                <w:tcMar>
                  <w:top w:w="15" w:type="dxa"/>
                  <w:left w:w="15" w:type="dxa"/>
                  <w:right w:w="15" w:type="dxa"/>
                </w:tcMar>
                <w:vAlign w:val="center"/>
              </w:tcPr>
            </w:tcPrChange>
          </w:tcPr>
          <w:p w14:paraId="1CBB410D">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95990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1249" w:author="LV" w:date="2026-07-14T16:11:25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wBefore w:w="0" w:type="auto"/>
          <w:trHeight w:val="532" w:hRule="atLeast"/>
          <w:jc w:val="center"/>
          <w:trPrChange w:id="1249" w:author="LV" w:date="2026-07-14T16:11:25Z">
            <w:trPr>
              <w:gridBefore w:val="2"/>
              <w:wBefore w:w="15" w:type="dxa"/>
              <w:trHeight w:val="737" w:hRule="atLeast"/>
              <w:jc w:val="center"/>
            </w:trPr>
          </w:trPrChange>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Change w:id="1250" w:author="LV" w:date="2026-07-14T16:11:25Z">
              <w:tcPr>
                <w:tcW w:w="418" w:type="dxa"/>
                <w:gridSpan w:val="3"/>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tcPrChange>
          </w:tcPr>
          <w:p w14:paraId="2569E41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Change w:id="1251" w:author="LV" w:date="2026-07-14T16:11:25Z">
              <w:tcPr>
                <w:tcW w:w="1005" w:type="dxa"/>
                <w:gridSpan w:val="3"/>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tcPrChange>
          </w:tcPr>
          <w:p w14:paraId="24262C6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Change w:id="1252" w:author="LV" w:date="2026-07-14T16:11:25Z">
              <w:tcPr>
                <w:tcW w:w="3667" w:type="dxa"/>
                <w:gridSpan w:val="3"/>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tcPrChange>
          </w:tcPr>
          <w:p w14:paraId="45EBDF0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Change w:id="1253" w:author="LV" w:date="2026-07-14T16:11:25Z">
              <w:tcPr>
                <w:tcW w:w="4082" w:type="dxa"/>
                <w:gridSpan w:val="3"/>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tcPrChange>
          </w:tcPr>
          <w:p w14:paraId="18B4321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Change w:id="1254" w:author="LV" w:date="2026-07-14T16:11:25Z">
              <w:tcPr>
                <w:tcW w:w="459" w:type="dxa"/>
                <w:gridSpan w:val="3"/>
                <w:tcBorders>
                  <w:tl2br w:val="nil"/>
                  <w:tr2bl w:val="nil"/>
                </w:tcBorders>
                <w:shd w:val="clear" w:color="auto" w:fill="auto"/>
                <w:noWrap/>
                <w:tcMar>
                  <w:top w:w="15" w:type="dxa"/>
                  <w:left w:w="15" w:type="dxa"/>
                  <w:right w:w="15" w:type="dxa"/>
                </w:tcMar>
                <w:vAlign w:val="center"/>
              </w:tcPr>
            </w:tcPrChange>
          </w:tcPr>
          <w:p w14:paraId="21808AC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Change w:id="1255" w:author="LV" w:date="2026-07-14T16:11:25Z">
              <w:tcPr>
                <w:tcW w:w="1829" w:type="dxa"/>
                <w:gridSpan w:val="3"/>
                <w:tcBorders>
                  <w:tl2br w:val="nil"/>
                  <w:tr2bl w:val="nil"/>
                </w:tcBorders>
                <w:shd w:val="clear" w:color="auto" w:fill="auto"/>
                <w:tcMar>
                  <w:top w:w="15" w:type="dxa"/>
                  <w:left w:w="15" w:type="dxa"/>
                  <w:right w:w="15" w:type="dxa"/>
                </w:tcMar>
                <w:vAlign w:val="center"/>
              </w:tcPr>
            </w:tcPrChange>
          </w:tcPr>
          <w:p w14:paraId="0AD0A5A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Change w:id="1256" w:author="LV" w:date="2026-07-14T16:11:25Z">
              <w:tcPr>
                <w:tcW w:w="2655" w:type="dxa"/>
                <w:gridSpan w:val="3"/>
                <w:tcBorders>
                  <w:tl2br w:val="nil"/>
                  <w:tr2bl w:val="nil"/>
                </w:tcBorders>
                <w:shd w:val="clear" w:color="auto" w:fill="auto"/>
                <w:tcMar>
                  <w:top w:w="15" w:type="dxa"/>
                  <w:left w:w="15" w:type="dxa"/>
                  <w:right w:w="15" w:type="dxa"/>
                </w:tcMar>
                <w:vAlign w:val="center"/>
              </w:tcPr>
            </w:tcPrChange>
          </w:tcPr>
          <w:p w14:paraId="0C77383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16DDE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1257" w:author="LV" w:date="2026-07-14T16:11:34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wBefore w:w="0" w:type="auto"/>
          <w:trHeight w:val="891" w:hRule="atLeast"/>
          <w:jc w:val="center"/>
          <w:trPrChange w:id="1257" w:author="LV" w:date="2026-07-14T16:11:34Z">
            <w:trPr>
              <w:gridBefore w:val="2"/>
              <w:wBefore w:w="15" w:type="dxa"/>
              <w:trHeight w:val="1261" w:hRule="atLeast"/>
              <w:jc w:val="center"/>
            </w:trPr>
          </w:trPrChange>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Change w:id="1258" w:author="LV" w:date="2026-07-14T16:11:34Z">
              <w:tcPr>
                <w:tcW w:w="418" w:type="dxa"/>
                <w:gridSpan w:val="3"/>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tcPrChange>
          </w:tcPr>
          <w:p w14:paraId="1986889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Change w:id="1259" w:author="LV" w:date="2026-07-14T16:11:34Z">
              <w:tcPr>
                <w:tcW w:w="1005" w:type="dxa"/>
                <w:gridSpan w:val="3"/>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tcPrChange>
          </w:tcPr>
          <w:p w14:paraId="5929C7C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Change w:id="1260" w:author="LV" w:date="2026-07-14T16:11:34Z">
              <w:tcPr>
                <w:tcW w:w="3667" w:type="dxa"/>
                <w:gridSpan w:val="3"/>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tcPrChange>
          </w:tcPr>
          <w:p w14:paraId="07EE20D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Change w:id="1261" w:author="LV" w:date="2026-07-14T16:11:34Z">
              <w:tcPr>
                <w:tcW w:w="4082" w:type="dxa"/>
                <w:gridSpan w:val="3"/>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tcPrChange>
          </w:tcPr>
          <w:p w14:paraId="0AC8A66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Change w:id="1262" w:author="LV" w:date="2026-07-14T16:11:34Z">
              <w:tcPr>
                <w:tcW w:w="459" w:type="dxa"/>
                <w:gridSpan w:val="3"/>
                <w:tcBorders>
                  <w:tl2br w:val="nil"/>
                  <w:tr2bl w:val="nil"/>
                </w:tcBorders>
                <w:shd w:val="clear" w:color="auto" w:fill="auto"/>
                <w:noWrap/>
                <w:tcMar>
                  <w:top w:w="15" w:type="dxa"/>
                  <w:left w:w="15" w:type="dxa"/>
                  <w:right w:w="15" w:type="dxa"/>
                </w:tcMar>
                <w:vAlign w:val="center"/>
              </w:tcPr>
            </w:tcPrChange>
          </w:tcPr>
          <w:p w14:paraId="6F81840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Change w:id="1263" w:author="LV" w:date="2026-07-14T16:11:34Z">
              <w:tcPr>
                <w:tcW w:w="1829" w:type="dxa"/>
                <w:gridSpan w:val="3"/>
                <w:tcBorders>
                  <w:tl2br w:val="nil"/>
                  <w:tr2bl w:val="nil"/>
                </w:tcBorders>
                <w:shd w:val="clear" w:color="auto" w:fill="auto"/>
                <w:tcMar>
                  <w:top w:w="15" w:type="dxa"/>
                  <w:left w:w="15" w:type="dxa"/>
                  <w:right w:w="15" w:type="dxa"/>
                </w:tcMar>
                <w:vAlign w:val="center"/>
              </w:tcPr>
            </w:tcPrChange>
          </w:tcPr>
          <w:p w14:paraId="2C93275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虽配备注册安全工程师但人数比法定要求少1人的。</w:t>
            </w:r>
          </w:p>
        </w:tc>
        <w:tc>
          <w:tcPr>
            <w:tcW w:w="2655" w:type="dxa"/>
            <w:tcBorders>
              <w:tl2br w:val="nil"/>
              <w:tr2bl w:val="nil"/>
            </w:tcBorders>
            <w:shd w:val="clear" w:color="auto" w:fill="auto"/>
            <w:tcMar>
              <w:top w:w="15" w:type="dxa"/>
              <w:left w:w="15" w:type="dxa"/>
              <w:right w:w="15" w:type="dxa"/>
            </w:tcMar>
            <w:vAlign w:val="center"/>
            <w:tcPrChange w:id="1264" w:author="LV" w:date="2026-07-14T16:11:34Z">
              <w:tcPr>
                <w:tcW w:w="2655" w:type="dxa"/>
                <w:gridSpan w:val="3"/>
                <w:tcBorders>
                  <w:tl2br w:val="nil"/>
                  <w:tr2bl w:val="nil"/>
                </w:tcBorders>
                <w:shd w:val="clear" w:color="auto" w:fill="auto"/>
                <w:tcMar>
                  <w:top w:w="15" w:type="dxa"/>
                  <w:left w:w="15" w:type="dxa"/>
                  <w:right w:w="15" w:type="dxa"/>
                </w:tcMar>
                <w:vAlign w:val="center"/>
              </w:tcPr>
            </w:tcPrChange>
          </w:tcPr>
          <w:p w14:paraId="763CCC5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处3万元以下的罚款。</w:t>
            </w:r>
          </w:p>
        </w:tc>
      </w:tr>
      <w:tr w14:paraId="7979B1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0"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451ED3C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6987BCA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6D381A2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1C575AD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EFD0FD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57D9896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虽配备注册安全工程师但人数比法定要求少2人的。</w:t>
            </w:r>
          </w:p>
        </w:tc>
        <w:tc>
          <w:tcPr>
            <w:tcW w:w="2655" w:type="dxa"/>
            <w:tcBorders>
              <w:tl2br w:val="nil"/>
              <w:tr2bl w:val="nil"/>
            </w:tcBorders>
            <w:shd w:val="clear" w:color="auto" w:fill="auto"/>
            <w:tcMar>
              <w:top w:w="15" w:type="dxa"/>
              <w:left w:w="15" w:type="dxa"/>
              <w:right w:w="15" w:type="dxa"/>
            </w:tcMar>
            <w:vAlign w:val="center"/>
          </w:tcPr>
          <w:p w14:paraId="6E1F059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处3万元以上7万元以下的罚款。</w:t>
            </w:r>
          </w:p>
        </w:tc>
      </w:tr>
      <w:tr w14:paraId="02BABA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9"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40BDCEA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6B3428F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68D5D52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0ADE6D6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0F16C5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50EAE48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未配备注册安全工程师或者配备注册安全工程师但人数比法定要求少3人以上的。</w:t>
            </w:r>
          </w:p>
        </w:tc>
        <w:tc>
          <w:tcPr>
            <w:tcW w:w="2655" w:type="dxa"/>
            <w:tcBorders>
              <w:tl2br w:val="nil"/>
              <w:tr2bl w:val="nil"/>
            </w:tcBorders>
            <w:shd w:val="clear" w:color="auto" w:fill="auto"/>
            <w:tcMar>
              <w:top w:w="15" w:type="dxa"/>
              <w:left w:w="15" w:type="dxa"/>
              <w:right w:w="15" w:type="dxa"/>
            </w:tcMar>
            <w:vAlign w:val="center"/>
          </w:tcPr>
          <w:p w14:paraId="7B4E277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处7万元以上10万元以下的罚款。</w:t>
            </w:r>
          </w:p>
        </w:tc>
      </w:tr>
      <w:tr w14:paraId="0F022C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607B9B7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z w:val="18"/>
                <w:szCs w:val="18"/>
                <w:lang w:eastAsia="zh-CN"/>
              </w:rPr>
            </w:pPr>
            <w:r>
              <w:rPr>
                <w:rFonts w:hint="eastAsia" w:ascii="仿宋_GB2312" w:hAnsi="宋体" w:eastAsia="仿宋_GB2312" w:cs="仿宋_GB2312"/>
                <w:kern w:val="0"/>
                <w:sz w:val="18"/>
                <w:szCs w:val="18"/>
                <w:lang w:bidi="ar"/>
              </w:rPr>
              <w:t>1</w:t>
            </w:r>
            <w:r>
              <w:rPr>
                <w:rFonts w:hint="eastAsia" w:ascii="仿宋_GB2312" w:hAnsi="宋体" w:eastAsia="仿宋_GB2312" w:cs="仿宋_GB2312"/>
                <w:kern w:val="0"/>
                <w:sz w:val="18"/>
                <w:szCs w:val="18"/>
                <w:lang w:val="en-US" w:eastAsia="zh-CN" w:bidi="ar"/>
              </w:rPr>
              <w:t>6</w:t>
            </w:r>
          </w:p>
        </w:tc>
        <w:tc>
          <w:tcPr>
            <w:tcW w:w="1005" w:type="dxa"/>
            <w:vMerge w:val="restart"/>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0458ECE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煤矿未按照规定配备注册安全工程师，逾期未改正的</w:t>
            </w:r>
          </w:p>
        </w:tc>
        <w:tc>
          <w:tcPr>
            <w:tcW w:w="3667" w:type="dxa"/>
            <w:vMerge w:val="restart"/>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58A6F47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w:t>
            </w:r>
            <w:r>
              <w:rPr>
                <w:rFonts w:hint="eastAsia" w:ascii="仿宋_GB2312" w:hAnsi="宋体" w:eastAsia="仿宋_GB2312" w:cs="仿宋_GB2312"/>
                <w:kern w:val="0"/>
                <w:sz w:val="18"/>
                <w:szCs w:val="18"/>
                <w:highlight w:val="none"/>
                <w:lang w:bidi="ar"/>
              </w:rPr>
              <w:t>生产法》第二十七条第三款 危险物品的生产、储存、装卸单位以及矿山、金属冶炼单位应当有注册安全工程师从事安全生产管理工作。鼓励其他生产经营单位聘用注册安全工程师从事安全生产管理工作。注册安全工程师按专业分类管理，具体办法由国务院人力资源和社会保障部门、国务院应急管理部门会同国务院有关部门制定。</w:t>
            </w:r>
          </w:p>
        </w:tc>
        <w:tc>
          <w:tcPr>
            <w:tcW w:w="4082" w:type="dxa"/>
            <w:vMerge w:val="restart"/>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1FA48A3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《安全生产法》第九十七条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一）未按照规定设置安全生产管理机构或者配备安全生产管理人员、注册安全工程师的。</w:t>
            </w:r>
          </w:p>
        </w:tc>
        <w:tc>
          <w:tcPr>
            <w:tcW w:w="459" w:type="dxa"/>
            <w:tcBorders>
              <w:tl2br w:val="nil"/>
              <w:tr2bl w:val="nil"/>
            </w:tcBorders>
            <w:shd w:val="clear" w:color="auto" w:fill="auto"/>
            <w:noWrap/>
            <w:tcMar>
              <w:top w:w="15" w:type="dxa"/>
              <w:left w:w="15" w:type="dxa"/>
              <w:right w:w="15" w:type="dxa"/>
            </w:tcMar>
            <w:vAlign w:val="center"/>
          </w:tcPr>
          <w:p w14:paraId="538375B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33E9AA3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1B77E3C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21F6F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0992B91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60B8034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7B79208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79BC223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53E3D1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015CD02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71B79BD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BDED0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7C1E547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581FE59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1077DE1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2DCB0D2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B43CDA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17C042A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746DECA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6B8DB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4"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008A342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134120B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76116C8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205B9B5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9F8B60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42D3123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虽配备注册安全工程师，但人数比法定要求少1人，逾期未改正的。</w:t>
            </w:r>
          </w:p>
        </w:tc>
        <w:tc>
          <w:tcPr>
            <w:tcW w:w="2655" w:type="dxa"/>
            <w:tcBorders>
              <w:tl2br w:val="nil"/>
              <w:tr2bl w:val="nil"/>
            </w:tcBorders>
            <w:shd w:val="clear" w:color="auto" w:fill="auto"/>
            <w:tcMar>
              <w:top w:w="15" w:type="dxa"/>
              <w:left w:w="15" w:type="dxa"/>
              <w:right w:w="15" w:type="dxa"/>
            </w:tcMar>
            <w:vAlign w:val="center"/>
          </w:tcPr>
          <w:p w14:paraId="29B9B8C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责令停产停业整顿，对煤矿处10万元以上13万元以下的罚款，对直接负责的主管人员和其他直接责任人员处2万元以上3万元以下的罚款。</w:t>
            </w:r>
          </w:p>
        </w:tc>
      </w:tr>
      <w:tr w14:paraId="693DBD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1E6A64F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414AAAD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717835B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6BAF371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1455C8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2C849F9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虽配备注册安全工程师，但人数比法定要求少2人，逾期未改正的。</w:t>
            </w:r>
          </w:p>
        </w:tc>
        <w:tc>
          <w:tcPr>
            <w:tcW w:w="2655" w:type="dxa"/>
            <w:tcBorders>
              <w:tl2br w:val="nil"/>
              <w:tr2bl w:val="nil"/>
            </w:tcBorders>
            <w:shd w:val="clear" w:color="auto" w:fill="auto"/>
            <w:tcMar>
              <w:top w:w="15" w:type="dxa"/>
              <w:left w:w="15" w:type="dxa"/>
              <w:right w:w="15" w:type="dxa"/>
            </w:tcMar>
            <w:vAlign w:val="center"/>
          </w:tcPr>
          <w:p w14:paraId="335AB8F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责令停产停业整顿，对煤矿处13万元以上17万元以下的罚款，对直接负责的主管人员和其他直接责任人员处3万元以上4万元以下的罚款。</w:t>
            </w:r>
          </w:p>
        </w:tc>
      </w:tr>
      <w:tr w14:paraId="2D8886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035BFFD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5D29C45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2B19425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05C58E6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246E88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37F159D6">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1265" w:author="LV" w:date="2026-07-14T16:11:54Z"/>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未配备注册安全工程师，或者配备注册安全工程师，但人数比法定要求少3人以上，逾期未改正的。</w:t>
            </w:r>
          </w:p>
          <w:p w14:paraId="7598F9DF">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1266" w:author="LV" w:date="2026-07-14T16:11:54Z"/>
                <w:rFonts w:hint="eastAsia" w:ascii="仿宋_GB2312" w:hAnsi="宋体" w:eastAsia="仿宋_GB2312" w:cs="仿宋_GB2312"/>
                <w:kern w:val="0"/>
                <w:sz w:val="18"/>
                <w:szCs w:val="18"/>
                <w:lang w:bidi="ar"/>
              </w:rPr>
            </w:pPr>
          </w:p>
          <w:p w14:paraId="3F3F59BF">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1267" w:author="LV" w:date="2026-07-14T16:11:54Z"/>
                <w:rFonts w:hint="eastAsia" w:ascii="仿宋_GB2312" w:hAnsi="宋体" w:eastAsia="仿宋_GB2312" w:cs="仿宋_GB2312"/>
                <w:kern w:val="0"/>
                <w:sz w:val="18"/>
                <w:szCs w:val="18"/>
                <w:lang w:bidi="ar"/>
              </w:rPr>
            </w:pPr>
          </w:p>
          <w:p w14:paraId="77C20E7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tc>
        <w:tc>
          <w:tcPr>
            <w:tcW w:w="2655" w:type="dxa"/>
            <w:tcBorders>
              <w:tl2br w:val="nil"/>
              <w:tr2bl w:val="nil"/>
            </w:tcBorders>
            <w:shd w:val="clear" w:color="auto" w:fill="auto"/>
            <w:tcMar>
              <w:top w:w="15" w:type="dxa"/>
              <w:left w:w="15" w:type="dxa"/>
              <w:right w:w="15" w:type="dxa"/>
            </w:tcMar>
            <w:vAlign w:val="center"/>
          </w:tcPr>
          <w:p w14:paraId="309AB4C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责令停产停业整顿，对煤矿处17万元以上20万元以下的罚款，对直接负责的主管人员和其他直接责任人员处4万元以上5万元以下的罚款。</w:t>
            </w:r>
          </w:p>
        </w:tc>
      </w:tr>
      <w:tr w14:paraId="149BBA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18" w:type="dxa"/>
            <w:vMerge w:val="restart"/>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7175912F">
            <w:pPr>
              <w:keepNext w:val="0"/>
              <w:keepLines w:val="0"/>
              <w:pageBreakBefore w:val="0"/>
              <w:widowControl w:val="0"/>
              <w:kinsoku/>
              <w:wordWrap/>
              <w:overflowPunct w:val="0"/>
              <w:topLinePunct w:val="0"/>
              <w:autoSpaceDE/>
              <w:autoSpaceDN/>
              <w:bidi w:val="0"/>
              <w:adjustRightInd/>
              <w:snapToGrid/>
              <w:spacing w:line="276" w:lineRule="exact"/>
              <w:ind w:left="0" w:leftChars="0" w:right="0" w:rightChars="0" w:firstLine="0" w:firstLineChars="0"/>
              <w:jc w:val="center"/>
              <w:textAlignment w:val="center"/>
              <w:rPr>
                <w:rFonts w:hint="eastAsia" w:ascii="仿宋_GB2312" w:hAnsi="宋体" w:eastAsia="仿宋_GB2312" w:cs="仿宋_GB2312"/>
                <w:sz w:val="18"/>
                <w:szCs w:val="18"/>
                <w:lang w:eastAsia="zh-CN"/>
              </w:rPr>
            </w:pPr>
            <w:r>
              <w:rPr>
                <w:rFonts w:hint="eastAsia" w:ascii="仿宋_GB2312" w:hAnsi="宋体" w:eastAsia="仿宋_GB2312" w:cs="仿宋_GB2312"/>
                <w:kern w:val="0"/>
                <w:sz w:val="18"/>
                <w:szCs w:val="18"/>
                <w:lang w:bidi="ar"/>
              </w:rPr>
              <w:t>1</w:t>
            </w:r>
            <w:r>
              <w:rPr>
                <w:rFonts w:hint="eastAsia" w:ascii="仿宋_GB2312" w:hAnsi="宋体" w:eastAsia="仿宋_GB2312" w:cs="仿宋_GB2312"/>
                <w:kern w:val="0"/>
                <w:sz w:val="18"/>
                <w:szCs w:val="18"/>
                <w:lang w:val="en-US" w:eastAsia="zh-CN" w:bidi="ar"/>
              </w:rPr>
              <w:t>7</w:t>
            </w:r>
          </w:p>
        </w:tc>
        <w:tc>
          <w:tcPr>
            <w:tcW w:w="1005" w:type="dxa"/>
            <w:vMerge w:val="restart"/>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5C581258">
            <w:pPr>
              <w:keepNext w:val="0"/>
              <w:keepLines w:val="0"/>
              <w:pageBreakBefore w:val="0"/>
              <w:widowControl w:val="0"/>
              <w:kinsoku/>
              <w:wordWrap/>
              <w:overflowPunct w:val="0"/>
              <w:topLinePunct w:val="0"/>
              <w:autoSpaceDE/>
              <w:autoSpaceDN/>
              <w:bidi w:val="0"/>
              <w:adjustRightInd/>
              <w:snapToGrid/>
              <w:spacing w:line="276"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未按照规定制定并落实领导带班等制度的违法行为</w:t>
            </w:r>
          </w:p>
        </w:tc>
        <w:tc>
          <w:tcPr>
            <w:tcW w:w="3667" w:type="dxa"/>
            <w:vMerge w:val="restart"/>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495F7FF4">
            <w:pPr>
              <w:keepNext w:val="0"/>
              <w:keepLines w:val="0"/>
              <w:pageBreakBefore w:val="0"/>
              <w:widowControl w:val="0"/>
              <w:kinsoku/>
              <w:wordWrap/>
              <w:overflowPunct w:val="0"/>
              <w:topLinePunct w:val="0"/>
              <w:autoSpaceDE/>
              <w:autoSpaceDN/>
              <w:bidi w:val="0"/>
              <w:adjustRightInd/>
              <w:snapToGrid/>
              <w:spacing w:line="276"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《煤矿安全生产条例》第二十三条煤矿企业应当按照国家有关规定建立健全领导带班制度并严格考核。</w:t>
            </w:r>
          </w:p>
          <w:p w14:paraId="65F89B77">
            <w:pPr>
              <w:keepNext w:val="0"/>
              <w:keepLines w:val="0"/>
              <w:pageBreakBefore w:val="0"/>
              <w:widowControl w:val="0"/>
              <w:kinsoku/>
              <w:wordWrap/>
              <w:overflowPunct w:val="0"/>
              <w:topLinePunct w:val="0"/>
              <w:autoSpaceDE/>
              <w:autoSpaceDN/>
              <w:bidi w:val="0"/>
              <w:adjustRightInd/>
              <w:snapToGrid/>
              <w:spacing w:line="276"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井工煤矿企业的负责人和生产经营管理人员应当轮流带班下井，并建立下井登记档案。</w:t>
            </w:r>
          </w:p>
          <w:p w14:paraId="2E878A30">
            <w:pPr>
              <w:keepNext w:val="0"/>
              <w:keepLines w:val="0"/>
              <w:widowControl/>
              <w:suppressLineNumbers w:val="0"/>
              <w:jc w:val="left"/>
            </w:pPr>
            <w:r>
              <w:rPr>
                <w:rFonts w:ascii="仿宋_GB2312" w:hAnsi="宋体" w:eastAsia="仿宋_GB2312" w:cs="仿宋_GB2312"/>
                <w:color w:val="000000"/>
                <w:kern w:val="0"/>
                <w:sz w:val="18"/>
                <w:szCs w:val="18"/>
                <w:lang w:val="en-US" w:eastAsia="zh-CN" w:bidi="ar"/>
              </w:rPr>
              <w:t xml:space="preserve">《煤矿领导带班下井及安全监督检查规定》第 </w:t>
            </w:r>
          </w:p>
          <w:p w14:paraId="556EFEE2">
            <w:pPr>
              <w:keepNext w:val="0"/>
              <w:keepLines w:val="0"/>
              <w:widowControl/>
              <w:suppressLineNumbers w:val="0"/>
              <w:jc w:val="left"/>
            </w:pPr>
            <w:r>
              <w:rPr>
                <w:rFonts w:hint="eastAsia" w:ascii="仿宋_GB2312" w:hAnsi="宋体" w:eastAsia="仿宋_GB2312" w:cs="仿宋_GB2312"/>
                <w:color w:val="000000"/>
                <w:kern w:val="0"/>
                <w:sz w:val="18"/>
                <w:szCs w:val="18"/>
                <w:lang w:val="en-US" w:eastAsia="zh-CN" w:bidi="ar"/>
              </w:rPr>
              <w:t xml:space="preserve">七条 煤矿应当建立健全领导带班下井制度，并 </w:t>
            </w:r>
          </w:p>
          <w:p w14:paraId="04EE2C0B">
            <w:pPr>
              <w:keepNext w:val="0"/>
              <w:keepLines w:val="0"/>
              <w:widowControl/>
              <w:suppressLineNumbers w:val="0"/>
              <w:jc w:val="left"/>
            </w:pPr>
            <w:r>
              <w:rPr>
                <w:rFonts w:hint="eastAsia" w:ascii="仿宋_GB2312" w:hAnsi="宋体" w:eastAsia="仿宋_GB2312" w:cs="仿宋_GB2312"/>
                <w:color w:val="000000"/>
                <w:kern w:val="0"/>
                <w:sz w:val="18"/>
                <w:szCs w:val="18"/>
                <w:lang w:val="en-US" w:eastAsia="zh-CN" w:bidi="ar"/>
              </w:rPr>
              <w:t xml:space="preserve">严格考核。带班下井制度应当明确带班下井人 </w:t>
            </w:r>
          </w:p>
          <w:p w14:paraId="127ED860">
            <w:pPr>
              <w:keepNext w:val="0"/>
              <w:keepLines w:val="0"/>
              <w:widowControl/>
              <w:suppressLineNumbers w:val="0"/>
              <w:jc w:val="left"/>
            </w:pPr>
            <w:r>
              <w:rPr>
                <w:rFonts w:hint="eastAsia" w:ascii="仿宋_GB2312" w:hAnsi="宋体" w:eastAsia="仿宋_GB2312" w:cs="仿宋_GB2312"/>
                <w:color w:val="000000"/>
                <w:kern w:val="0"/>
                <w:sz w:val="18"/>
                <w:szCs w:val="18"/>
                <w:lang w:val="en-US" w:eastAsia="zh-CN" w:bidi="ar"/>
              </w:rPr>
              <w:t xml:space="preserve">员、每月带班下井的个数、在井下工作时间、 </w:t>
            </w:r>
          </w:p>
          <w:p w14:paraId="4EE7D843">
            <w:pPr>
              <w:keepNext w:val="0"/>
              <w:keepLines w:val="0"/>
              <w:widowControl/>
              <w:suppressLineNumbers w:val="0"/>
              <w:jc w:val="left"/>
            </w:pPr>
            <w:r>
              <w:rPr>
                <w:rFonts w:hint="eastAsia" w:ascii="仿宋_GB2312" w:hAnsi="宋体" w:eastAsia="仿宋_GB2312" w:cs="仿宋_GB2312"/>
                <w:color w:val="000000"/>
                <w:kern w:val="0"/>
                <w:sz w:val="18"/>
                <w:szCs w:val="18"/>
                <w:lang w:val="en-US" w:eastAsia="zh-CN" w:bidi="ar"/>
              </w:rPr>
              <w:t xml:space="preserve">带班下井的任务、职责权限、群众监督和考核 </w:t>
            </w:r>
          </w:p>
          <w:p w14:paraId="40DE26AB">
            <w:pPr>
              <w:keepNext w:val="0"/>
              <w:keepLines w:val="0"/>
              <w:widowControl/>
              <w:suppressLineNumbers w:val="0"/>
              <w:jc w:val="left"/>
            </w:pPr>
            <w:r>
              <w:rPr>
                <w:rFonts w:hint="eastAsia" w:ascii="仿宋_GB2312" w:hAnsi="宋体" w:eastAsia="仿宋_GB2312" w:cs="仿宋_GB2312"/>
                <w:color w:val="000000"/>
                <w:kern w:val="0"/>
                <w:sz w:val="18"/>
                <w:szCs w:val="18"/>
                <w:lang w:val="en-US" w:eastAsia="zh-CN" w:bidi="ar"/>
              </w:rPr>
              <w:t>奖惩等内容。</w:t>
            </w:r>
          </w:p>
          <w:p w14:paraId="703826CE">
            <w:pPr>
              <w:keepNext w:val="0"/>
              <w:keepLines w:val="0"/>
              <w:widowControl/>
              <w:suppressLineNumbers w:val="0"/>
              <w:jc w:val="left"/>
            </w:pPr>
            <w:r>
              <w:rPr>
                <w:rFonts w:ascii="仿宋_GB2312" w:hAnsi="宋体" w:eastAsia="仿宋_GB2312" w:cs="仿宋_GB2312"/>
                <w:color w:val="000000"/>
                <w:kern w:val="0"/>
                <w:sz w:val="18"/>
                <w:szCs w:val="18"/>
                <w:lang w:val="en-US" w:eastAsia="zh-CN" w:bidi="ar"/>
              </w:rPr>
              <w:t xml:space="preserve">《煤矿领导带班下井及安全监督检查规定》第 </w:t>
            </w:r>
          </w:p>
          <w:p w14:paraId="09362B58">
            <w:pPr>
              <w:keepNext w:val="0"/>
              <w:keepLines w:val="0"/>
              <w:widowControl/>
              <w:suppressLineNumbers w:val="0"/>
              <w:jc w:val="left"/>
            </w:pPr>
            <w:r>
              <w:rPr>
                <w:rFonts w:hint="eastAsia" w:ascii="仿宋_GB2312" w:hAnsi="宋体" w:eastAsia="仿宋_GB2312" w:cs="仿宋_GB2312"/>
                <w:color w:val="000000"/>
                <w:kern w:val="0"/>
                <w:sz w:val="18"/>
                <w:szCs w:val="18"/>
                <w:lang w:val="en-US" w:eastAsia="zh-CN" w:bidi="ar"/>
              </w:rPr>
              <w:t>十条 煤矿领导带班下井实行井下交接班制度。</w:t>
            </w:r>
          </w:p>
          <w:p w14:paraId="3C8079D9">
            <w:pPr>
              <w:keepNext w:val="0"/>
              <w:keepLines w:val="0"/>
              <w:widowControl/>
              <w:suppressLineNumbers w:val="0"/>
              <w:jc w:val="left"/>
            </w:pPr>
            <w:r>
              <w:rPr>
                <w:rFonts w:ascii="仿宋_GB2312" w:hAnsi="宋体" w:eastAsia="仿宋_GB2312" w:cs="仿宋_GB2312"/>
                <w:color w:val="000000"/>
                <w:kern w:val="0"/>
                <w:sz w:val="18"/>
                <w:szCs w:val="18"/>
                <w:lang w:val="en-US" w:eastAsia="zh-CN" w:bidi="ar"/>
              </w:rPr>
              <w:t xml:space="preserve">《煤矿领导带班下井及安全监督检查规定》第 </w:t>
            </w:r>
          </w:p>
          <w:p w14:paraId="55B0687A">
            <w:pPr>
              <w:keepNext w:val="0"/>
              <w:keepLines w:val="0"/>
              <w:widowControl/>
              <w:suppressLineNumbers w:val="0"/>
              <w:jc w:val="left"/>
            </w:pPr>
            <w:r>
              <w:rPr>
                <w:rFonts w:hint="eastAsia" w:ascii="仿宋_GB2312" w:hAnsi="宋体" w:eastAsia="仿宋_GB2312" w:cs="仿宋_GB2312"/>
                <w:color w:val="000000"/>
                <w:kern w:val="0"/>
                <w:sz w:val="18"/>
                <w:szCs w:val="18"/>
                <w:lang w:val="en-US" w:eastAsia="zh-CN" w:bidi="ar"/>
              </w:rPr>
              <w:t xml:space="preserve">十一条 煤矿应当建立领导带班下井档案管理 </w:t>
            </w:r>
          </w:p>
          <w:p w14:paraId="35A2633F">
            <w:pPr>
              <w:keepNext w:val="0"/>
              <w:keepLines w:val="0"/>
              <w:widowControl/>
              <w:suppressLineNumbers w:val="0"/>
              <w:jc w:val="left"/>
            </w:pPr>
            <w:r>
              <w:rPr>
                <w:rFonts w:hint="eastAsia" w:ascii="仿宋_GB2312" w:hAnsi="宋体" w:eastAsia="仿宋_GB2312" w:cs="仿宋_GB2312"/>
                <w:color w:val="000000"/>
                <w:kern w:val="0"/>
                <w:sz w:val="18"/>
                <w:szCs w:val="18"/>
                <w:lang w:val="en-US" w:eastAsia="zh-CN" w:bidi="ar"/>
              </w:rPr>
              <w:t>制度。</w:t>
            </w:r>
          </w:p>
          <w:p w14:paraId="37638FE6">
            <w:pPr>
              <w:keepNext w:val="0"/>
              <w:keepLines w:val="0"/>
              <w:pageBreakBefore w:val="0"/>
              <w:widowControl w:val="0"/>
              <w:kinsoku/>
              <w:wordWrap/>
              <w:overflowPunct w:val="0"/>
              <w:topLinePunct w:val="0"/>
              <w:autoSpaceDE/>
              <w:autoSpaceDN/>
              <w:bidi w:val="0"/>
              <w:adjustRightInd/>
              <w:snapToGrid/>
              <w:spacing w:line="276" w:lineRule="exact"/>
              <w:textAlignment w:val="center"/>
              <w:rPr>
                <w:rFonts w:hint="eastAsia" w:ascii="仿宋_GB2312" w:hAnsi="宋体" w:eastAsia="仿宋_GB2312" w:cs="仿宋_GB2312"/>
                <w:kern w:val="0"/>
                <w:sz w:val="18"/>
                <w:szCs w:val="18"/>
                <w:lang w:bidi="ar"/>
              </w:rPr>
            </w:pPr>
          </w:p>
        </w:tc>
        <w:tc>
          <w:tcPr>
            <w:tcW w:w="4082" w:type="dxa"/>
            <w:vMerge w:val="restart"/>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4C967EB5">
            <w:pPr>
              <w:keepNext w:val="0"/>
              <w:keepLines w:val="0"/>
              <w:pageBreakBefore w:val="0"/>
              <w:widowControl w:val="0"/>
              <w:kinsoku/>
              <w:wordWrap/>
              <w:overflowPunct w:val="0"/>
              <w:topLinePunct w:val="0"/>
              <w:autoSpaceDE/>
              <w:autoSpaceDN/>
              <w:bidi w:val="0"/>
              <w:adjustRightInd/>
              <w:snapToGrid/>
              <w:spacing w:line="276" w:lineRule="exact"/>
              <w:textAlignment w:val="center"/>
              <w:rPr>
                <w:rFonts w:hint="eastAsia" w:ascii="仿宋_GB2312" w:hAnsi="宋体" w:eastAsia="仿宋_GB2312" w:cs="仿宋_GB2312"/>
                <w:sz w:val="18"/>
                <w:szCs w:val="18"/>
              </w:rPr>
            </w:pPr>
            <w:r>
              <w:rPr>
                <w:rFonts w:hint="eastAsia" w:ascii="仿宋_GB2312" w:hAnsi="宋体" w:eastAsia="仿宋_GB2312" w:cs="仿宋_GB2312"/>
                <w:sz w:val="18"/>
                <w:szCs w:val="18"/>
              </w:rPr>
              <w:t>《煤矿安全生产条例》第六十三条  煤矿企业有下列行为之一的，责令限期改正，处10万元以上20万元以下的罚款：（一）未按照规定制定并落实全员安全生产责任制和领导带班等安全生产规章制度的；</w:t>
            </w:r>
          </w:p>
          <w:p w14:paraId="34684CD7">
            <w:pPr>
              <w:keepNext w:val="0"/>
              <w:keepLines w:val="0"/>
              <w:widowControl/>
              <w:suppressLineNumbers w:val="0"/>
              <w:jc w:val="left"/>
            </w:pPr>
            <w:r>
              <w:rPr>
                <w:rFonts w:ascii="仿宋_GB2312" w:hAnsi="宋体" w:eastAsia="仿宋_GB2312" w:cs="仿宋_GB2312"/>
                <w:color w:val="000000"/>
                <w:kern w:val="0"/>
                <w:sz w:val="18"/>
                <w:szCs w:val="18"/>
                <w:lang w:val="en-US" w:eastAsia="zh-CN" w:bidi="ar"/>
              </w:rPr>
              <w:t xml:space="preserve">《煤矿领导带班下井及安全监督检查规定》第十八条 </w:t>
            </w:r>
          </w:p>
          <w:p w14:paraId="496CDDB1">
            <w:pPr>
              <w:keepNext w:val="0"/>
              <w:keepLines w:val="0"/>
              <w:widowControl/>
              <w:suppressLineNumbers w:val="0"/>
              <w:jc w:val="left"/>
            </w:pPr>
            <w:r>
              <w:rPr>
                <w:rFonts w:hint="eastAsia" w:ascii="仿宋_GB2312" w:hAnsi="宋体" w:eastAsia="仿宋_GB2312" w:cs="仿宋_GB2312"/>
                <w:color w:val="000000"/>
                <w:kern w:val="0"/>
                <w:sz w:val="18"/>
                <w:szCs w:val="18"/>
                <w:lang w:val="en-US" w:eastAsia="zh-CN" w:bidi="ar"/>
              </w:rPr>
              <w:t xml:space="preserve">煤矿有下列情形之一的，给予警告，并处3万元罚款； </w:t>
            </w:r>
          </w:p>
          <w:p w14:paraId="7DCEBED1">
            <w:pPr>
              <w:keepNext w:val="0"/>
              <w:keepLines w:val="0"/>
              <w:widowControl/>
              <w:suppressLineNumbers w:val="0"/>
              <w:jc w:val="left"/>
              <w:rPr>
                <w:rFonts w:hint="eastAsia" w:ascii="仿宋_GB2312" w:hAnsi="宋体" w:eastAsia="仿宋_GB2312" w:cs="仿宋_GB2312"/>
                <w:color w:val="000000"/>
                <w:kern w:val="0"/>
                <w:sz w:val="18"/>
                <w:szCs w:val="18"/>
                <w:lang w:val="en-US" w:eastAsia="zh-CN" w:bidi="ar"/>
              </w:rPr>
            </w:pPr>
            <w:r>
              <w:rPr>
                <w:rFonts w:hint="eastAsia" w:ascii="仿宋_GB2312" w:hAnsi="宋体" w:eastAsia="仿宋_GB2312" w:cs="仿宋_GB2312"/>
                <w:color w:val="000000"/>
                <w:kern w:val="0"/>
                <w:sz w:val="18"/>
                <w:szCs w:val="18"/>
                <w:lang w:val="en-US" w:eastAsia="zh-CN" w:bidi="ar"/>
              </w:rPr>
              <w:t>对煤矿主要负责人处1万元罚款：</w:t>
            </w:r>
          </w:p>
          <w:p w14:paraId="6F7731AF">
            <w:pPr>
              <w:keepNext w:val="0"/>
              <w:keepLines w:val="0"/>
              <w:widowControl/>
              <w:numPr>
                <w:ilvl w:val="0"/>
                <w:numId w:val="1"/>
              </w:numPr>
              <w:suppressLineNumbers w:val="0"/>
              <w:jc w:val="left"/>
              <w:rPr>
                <w:rFonts w:hint="eastAsia" w:ascii="仿宋_GB2312" w:hAnsi="宋体" w:eastAsia="仿宋_GB2312" w:cs="仿宋_GB2312"/>
                <w:color w:val="000000"/>
                <w:kern w:val="0"/>
                <w:sz w:val="18"/>
                <w:szCs w:val="18"/>
                <w:lang w:val="en-US" w:eastAsia="zh-CN" w:bidi="ar"/>
              </w:rPr>
            </w:pPr>
            <w:r>
              <w:rPr>
                <w:rFonts w:hint="eastAsia" w:ascii="仿宋_GB2312" w:hAnsi="宋体" w:eastAsia="仿宋_GB2312" w:cs="仿宋_GB2312"/>
                <w:color w:val="000000"/>
                <w:kern w:val="0"/>
                <w:sz w:val="18"/>
                <w:szCs w:val="18"/>
                <w:lang w:val="en-US" w:eastAsia="zh-CN" w:bidi="ar"/>
              </w:rPr>
              <w:t>未建立健全煤矿领导带班下井制度的。</w:t>
            </w:r>
          </w:p>
          <w:p w14:paraId="124AAEFB">
            <w:pPr>
              <w:keepNext w:val="0"/>
              <w:keepLines w:val="0"/>
              <w:widowControl/>
              <w:numPr>
                <w:ilvl w:val="0"/>
                <w:numId w:val="1"/>
              </w:numPr>
              <w:suppressLineNumbers w:val="0"/>
              <w:jc w:val="left"/>
              <w:rPr>
                <w:rFonts w:hint="eastAsia" w:ascii="仿宋_GB2312" w:hAnsi="宋体" w:eastAsia="仿宋_GB2312" w:cs="仿宋_GB2312"/>
                <w:color w:val="000000"/>
                <w:kern w:val="0"/>
                <w:sz w:val="18"/>
                <w:szCs w:val="18"/>
                <w:lang w:val="en-US" w:eastAsia="zh-CN" w:bidi="ar"/>
              </w:rPr>
            </w:pPr>
            <w:r>
              <w:rPr>
                <w:rFonts w:hint="eastAsia" w:ascii="仿宋_GB2312" w:hAnsi="宋体" w:eastAsia="仿宋_GB2312" w:cs="仿宋_GB2312"/>
                <w:color w:val="000000"/>
                <w:kern w:val="0"/>
                <w:sz w:val="18"/>
                <w:szCs w:val="18"/>
                <w:lang w:val="en-US" w:eastAsia="zh-CN" w:bidi="ar"/>
              </w:rPr>
              <w:t>未建立煤矿领导井下交接班制度的。</w:t>
            </w:r>
          </w:p>
          <w:p w14:paraId="7E2B53BB">
            <w:pPr>
              <w:keepNext w:val="0"/>
              <w:keepLines w:val="0"/>
              <w:widowControl/>
              <w:numPr>
                <w:ilvl w:val="0"/>
                <w:numId w:val="0"/>
              </w:numPr>
              <w:suppressLineNumbers w:val="0"/>
              <w:jc w:val="left"/>
            </w:pPr>
            <w:r>
              <w:rPr>
                <w:rFonts w:hint="eastAsia" w:ascii="仿宋_GB2312" w:hAnsi="宋体" w:eastAsia="仿宋_GB2312" w:cs="仿宋_GB2312"/>
                <w:color w:val="000000"/>
                <w:kern w:val="0"/>
                <w:sz w:val="18"/>
                <w:szCs w:val="18"/>
                <w:lang w:val="en-US" w:eastAsia="zh-CN" w:bidi="ar"/>
              </w:rPr>
              <w:t>（三）未建立煤矿领导井下交接班制度的。</w:t>
            </w:r>
          </w:p>
          <w:p w14:paraId="557C7C46">
            <w:pPr>
              <w:keepNext w:val="0"/>
              <w:keepLines w:val="0"/>
              <w:widowControl/>
              <w:suppressLineNumbers w:val="0"/>
              <w:jc w:val="left"/>
            </w:pPr>
          </w:p>
          <w:p w14:paraId="3CEB6535">
            <w:pPr>
              <w:keepNext w:val="0"/>
              <w:keepLines w:val="0"/>
              <w:widowControl/>
              <w:suppressLineNumbers w:val="0"/>
              <w:jc w:val="left"/>
            </w:pPr>
          </w:p>
          <w:p w14:paraId="62204CD3">
            <w:pPr>
              <w:keepNext w:val="0"/>
              <w:keepLines w:val="0"/>
              <w:pageBreakBefore w:val="0"/>
              <w:widowControl w:val="0"/>
              <w:kinsoku/>
              <w:wordWrap/>
              <w:overflowPunct w:val="0"/>
              <w:topLinePunct w:val="0"/>
              <w:autoSpaceDE/>
              <w:autoSpaceDN/>
              <w:bidi w:val="0"/>
              <w:adjustRightInd/>
              <w:snapToGrid/>
              <w:spacing w:line="276" w:lineRule="exact"/>
              <w:textAlignment w:val="center"/>
              <w:rPr>
                <w:rFonts w:hint="eastAsia"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90C0287">
            <w:pPr>
              <w:keepNext w:val="0"/>
              <w:keepLines w:val="0"/>
              <w:pageBreakBefore w:val="0"/>
              <w:widowControl w:val="0"/>
              <w:kinsoku/>
              <w:wordWrap/>
              <w:overflowPunct w:val="0"/>
              <w:topLinePunct w:val="0"/>
              <w:autoSpaceDE/>
              <w:autoSpaceDN/>
              <w:bidi w:val="0"/>
              <w:adjustRightInd/>
              <w:snapToGrid/>
              <w:spacing w:line="276"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4F6CB11C">
            <w:pPr>
              <w:keepNext w:val="0"/>
              <w:keepLines w:val="0"/>
              <w:pageBreakBefore w:val="0"/>
              <w:widowControl w:val="0"/>
              <w:kinsoku/>
              <w:wordWrap/>
              <w:overflowPunct w:val="0"/>
              <w:topLinePunct w:val="0"/>
              <w:autoSpaceDE/>
              <w:autoSpaceDN/>
              <w:bidi w:val="0"/>
              <w:adjustRightInd/>
              <w:snapToGrid/>
              <w:spacing w:line="276"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FB122A2">
            <w:pPr>
              <w:keepNext w:val="0"/>
              <w:keepLines w:val="0"/>
              <w:pageBreakBefore w:val="0"/>
              <w:widowControl w:val="0"/>
              <w:kinsoku/>
              <w:wordWrap/>
              <w:overflowPunct w:val="0"/>
              <w:topLinePunct w:val="0"/>
              <w:autoSpaceDE/>
              <w:autoSpaceDN/>
              <w:bidi w:val="0"/>
              <w:adjustRightInd/>
              <w:snapToGrid/>
              <w:spacing w:line="276"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60A23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01FDEC6A">
            <w:pPr>
              <w:keepNext w:val="0"/>
              <w:keepLines w:val="0"/>
              <w:pageBreakBefore w:val="0"/>
              <w:widowControl w:val="0"/>
              <w:kinsoku/>
              <w:wordWrap/>
              <w:overflowPunct w:val="0"/>
              <w:topLinePunct w:val="0"/>
              <w:autoSpaceDE/>
              <w:autoSpaceDN/>
              <w:bidi w:val="0"/>
              <w:adjustRightInd/>
              <w:snapToGrid/>
              <w:spacing w:line="276"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76B9F6AD">
            <w:pPr>
              <w:keepNext w:val="0"/>
              <w:keepLines w:val="0"/>
              <w:pageBreakBefore w:val="0"/>
              <w:widowControl w:val="0"/>
              <w:kinsoku/>
              <w:wordWrap/>
              <w:overflowPunct w:val="0"/>
              <w:topLinePunct w:val="0"/>
              <w:autoSpaceDE/>
              <w:autoSpaceDN/>
              <w:bidi w:val="0"/>
              <w:adjustRightInd/>
              <w:snapToGrid/>
              <w:spacing w:line="276"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2E254F03">
            <w:pPr>
              <w:keepNext w:val="0"/>
              <w:keepLines w:val="0"/>
              <w:pageBreakBefore w:val="0"/>
              <w:widowControl w:val="0"/>
              <w:kinsoku/>
              <w:wordWrap/>
              <w:overflowPunct w:val="0"/>
              <w:topLinePunct w:val="0"/>
              <w:autoSpaceDE/>
              <w:autoSpaceDN/>
              <w:bidi w:val="0"/>
              <w:adjustRightInd/>
              <w:snapToGrid/>
              <w:spacing w:line="276"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06CD0521">
            <w:pPr>
              <w:keepNext w:val="0"/>
              <w:keepLines w:val="0"/>
              <w:pageBreakBefore w:val="0"/>
              <w:widowControl w:val="0"/>
              <w:kinsoku/>
              <w:wordWrap/>
              <w:overflowPunct w:val="0"/>
              <w:topLinePunct w:val="0"/>
              <w:autoSpaceDE/>
              <w:autoSpaceDN/>
              <w:bidi w:val="0"/>
              <w:adjustRightInd/>
              <w:snapToGrid/>
              <w:spacing w:line="276"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10089B7">
            <w:pPr>
              <w:keepNext w:val="0"/>
              <w:keepLines w:val="0"/>
              <w:pageBreakBefore w:val="0"/>
              <w:widowControl w:val="0"/>
              <w:kinsoku/>
              <w:wordWrap/>
              <w:overflowPunct w:val="0"/>
              <w:topLinePunct w:val="0"/>
              <w:autoSpaceDE/>
              <w:autoSpaceDN/>
              <w:bidi w:val="0"/>
              <w:adjustRightInd/>
              <w:snapToGrid/>
              <w:spacing w:line="276"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36B224C0">
            <w:pPr>
              <w:keepNext w:val="0"/>
              <w:keepLines w:val="0"/>
              <w:pageBreakBefore w:val="0"/>
              <w:widowControl w:val="0"/>
              <w:kinsoku/>
              <w:wordWrap/>
              <w:overflowPunct w:val="0"/>
              <w:topLinePunct w:val="0"/>
              <w:autoSpaceDE/>
              <w:autoSpaceDN/>
              <w:bidi w:val="0"/>
              <w:adjustRightInd/>
              <w:snapToGrid/>
              <w:spacing w:line="276"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7DE13E38">
            <w:pPr>
              <w:keepNext w:val="0"/>
              <w:keepLines w:val="0"/>
              <w:pageBreakBefore w:val="0"/>
              <w:widowControl w:val="0"/>
              <w:kinsoku/>
              <w:wordWrap/>
              <w:overflowPunct w:val="0"/>
              <w:topLinePunct w:val="0"/>
              <w:autoSpaceDE/>
              <w:autoSpaceDN/>
              <w:bidi w:val="0"/>
              <w:adjustRightInd/>
              <w:snapToGrid/>
              <w:spacing w:line="276"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690F9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4BAF9852">
            <w:pPr>
              <w:keepNext w:val="0"/>
              <w:keepLines w:val="0"/>
              <w:pageBreakBefore w:val="0"/>
              <w:widowControl w:val="0"/>
              <w:kinsoku/>
              <w:wordWrap/>
              <w:overflowPunct w:val="0"/>
              <w:topLinePunct w:val="0"/>
              <w:autoSpaceDE/>
              <w:autoSpaceDN/>
              <w:bidi w:val="0"/>
              <w:adjustRightInd/>
              <w:snapToGrid/>
              <w:spacing w:line="276"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26AA6138">
            <w:pPr>
              <w:keepNext w:val="0"/>
              <w:keepLines w:val="0"/>
              <w:pageBreakBefore w:val="0"/>
              <w:widowControl w:val="0"/>
              <w:kinsoku/>
              <w:wordWrap/>
              <w:overflowPunct w:val="0"/>
              <w:topLinePunct w:val="0"/>
              <w:autoSpaceDE/>
              <w:autoSpaceDN/>
              <w:bidi w:val="0"/>
              <w:adjustRightInd/>
              <w:snapToGrid/>
              <w:spacing w:line="276"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6FA4DFD9">
            <w:pPr>
              <w:keepNext w:val="0"/>
              <w:keepLines w:val="0"/>
              <w:pageBreakBefore w:val="0"/>
              <w:widowControl w:val="0"/>
              <w:kinsoku/>
              <w:wordWrap/>
              <w:overflowPunct w:val="0"/>
              <w:topLinePunct w:val="0"/>
              <w:autoSpaceDE/>
              <w:autoSpaceDN/>
              <w:bidi w:val="0"/>
              <w:adjustRightInd/>
              <w:snapToGrid/>
              <w:spacing w:line="276"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5F7AC76D">
            <w:pPr>
              <w:keepNext w:val="0"/>
              <w:keepLines w:val="0"/>
              <w:pageBreakBefore w:val="0"/>
              <w:widowControl w:val="0"/>
              <w:kinsoku/>
              <w:wordWrap/>
              <w:overflowPunct w:val="0"/>
              <w:topLinePunct w:val="0"/>
              <w:autoSpaceDE/>
              <w:autoSpaceDN/>
              <w:bidi w:val="0"/>
              <w:adjustRightInd/>
              <w:snapToGrid/>
              <w:spacing w:line="276"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8F1EAD3">
            <w:pPr>
              <w:keepNext w:val="0"/>
              <w:keepLines w:val="0"/>
              <w:pageBreakBefore w:val="0"/>
              <w:widowControl w:val="0"/>
              <w:kinsoku/>
              <w:wordWrap/>
              <w:overflowPunct w:val="0"/>
              <w:topLinePunct w:val="0"/>
              <w:autoSpaceDE/>
              <w:autoSpaceDN/>
              <w:bidi w:val="0"/>
              <w:adjustRightInd/>
              <w:snapToGrid/>
              <w:spacing w:line="276"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385C85B5">
            <w:pPr>
              <w:keepNext w:val="0"/>
              <w:keepLines w:val="0"/>
              <w:pageBreakBefore w:val="0"/>
              <w:widowControl w:val="0"/>
              <w:kinsoku/>
              <w:wordWrap/>
              <w:overflowPunct w:val="0"/>
              <w:topLinePunct w:val="0"/>
              <w:autoSpaceDE/>
              <w:autoSpaceDN/>
              <w:bidi w:val="0"/>
              <w:adjustRightInd/>
              <w:snapToGrid/>
              <w:spacing w:line="276"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066A582">
            <w:pPr>
              <w:keepNext w:val="0"/>
              <w:keepLines w:val="0"/>
              <w:pageBreakBefore w:val="0"/>
              <w:widowControl w:val="0"/>
              <w:kinsoku/>
              <w:wordWrap/>
              <w:overflowPunct w:val="0"/>
              <w:topLinePunct w:val="0"/>
              <w:autoSpaceDE/>
              <w:autoSpaceDN/>
              <w:bidi w:val="0"/>
              <w:adjustRightInd/>
              <w:snapToGrid/>
              <w:spacing w:line="276"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E6FF5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40D6AFAD">
            <w:pPr>
              <w:keepNext w:val="0"/>
              <w:keepLines w:val="0"/>
              <w:pageBreakBefore w:val="0"/>
              <w:widowControl w:val="0"/>
              <w:kinsoku/>
              <w:wordWrap/>
              <w:overflowPunct w:val="0"/>
              <w:topLinePunct w:val="0"/>
              <w:autoSpaceDE/>
              <w:autoSpaceDN/>
              <w:bidi w:val="0"/>
              <w:adjustRightInd/>
              <w:snapToGrid/>
              <w:spacing w:line="276"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3B87B58E">
            <w:pPr>
              <w:keepNext w:val="0"/>
              <w:keepLines w:val="0"/>
              <w:pageBreakBefore w:val="0"/>
              <w:widowControl w:val="0"/>
              <w:kinsoku/>
              <w:wordWrap/>
              <w:overflowPunct w:val="0"/>
              <w:topLinePunct w:val="0"/>
              <w:autoSpaceDE/>
              <w:autoSpaceDN/>
              <w:bidi w:val="0"/>
              <w:adjustRightInd/>
              <w:snapToGrid/>
              <w:spacing w:line="276"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691AB18F">
            <w:pPr>
              <w:keepNext w:val="0"/>
              <w:keepLines w:val="0"/>
              <w:pageBreakBefore w:val="0"/>
              <w:widowControl w:val="0"/>
              <w:kinsoku/>
              <w:wordWrap/>
              <w:overflowPunct w:val="0"/>
              <w:topLinePunct w:val="0"/>
              <w:autoSpaceDE/>
              <w:autoSpaceDN/>
              <w:bidi w:val="0"/>
              <w:adjustRightInd/>
              <w:snapToGrid/>
              <w:spacing w:line="276"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552CA265">
            <w:pPr>
              <w:keepNext w:val="0"/>
              <w:keepLines w:val="0"/>
              <w:pageBreakBefore w:val="0"/>
              <w:widowControl w:val="0"/>
              <w:kinsoku/>
              <w:wordWrap/>
              <w:overflowPunct w:val="0"/>
              <w:topLinePunct w:val="0"/>
              <w:autoSpaceDE/>
              <w:autoSpaceDN/>
              <w:bidi w:val="0"/>
              <w:adjustRightInd/>
              <w:snapToGrid/>
              <w:spacing w:line="276"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553A9FF">
            <w:pPr>
              <w:keepNext w:val="0"/>
              <w:keepLines w:val="0"/>
              <w:pageBreakBefore w:val="0"/>
              <w:widowControl w:val="0"/>
              <w:kinsoku/>
              <w:wordWrap/>
              <w:overflowPunct w:val="0"/>
              <w:topLinePunct w:val="0"/>
              <w:autoSpaceDE/>
              <w:autoSpaceDN/>
              <w:bidi w:val="0"/>
              <w:adjustRightInd/>
              <w:snapToGrid/>
              <w:spacing w:line="276"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0B17A4B8">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仿宋_GB2312" w:hAnsi="宋体" w:eastAsia="仿宋_GB2312" w:cs="仿宋_GB2312"/>
                <w:sz w:val="18"/>
                <w:szCs w:val="18"/>
                <w:lang w:val="en-US" w:eastAsia="zh-CN"/>
              </w:rPr>
            </w:pPr>
            <w:r>
              <w:rPr>
                <w:rFonts w:hint="eastAsia" w:ascii="仿宋_GB2312" w:hAnsi="宋体" w:eastAsia="仿宋_GB2312" w:cs="仿宋_GB2312"/>
                <w:sz w:val="18"/>
                <w:szCs w:val="18"/>
                <w:lang w:val="en-US" w:eastAsia="zh-CN"/>
              </w:rPr>
              <w:t>①</w:t>
            </w:r>
            <w:r>
              <w:rPr>
                <w:rFonts w:hint="eastAsia" w:ascii="仿宋_GB2312" w:hAnsi="宋体" w:eastAsia="仿宋_GB2312" w:cs="仿宋_GB2312"/>
                <w:color w:val="000000"/>
                <w:kern w:val="0"/>
                <w:sz w:val="18"/>
                <w:szCs w:val="18"/>
                <w:lang w:val="en-US" w:eastAsia="zh-CN" w:bidi="ar"/>
              </w:rPr>
              <w:t>未建立健全煤矿领导带班下井制度的，或未建立煤矿领导井下交接班制度的，或未建立煤矿领导井下交接班制度的。</w:t>
            </w:r>
          </w:p>
          <w:p w14:paraId="69EC5A0A">
            <w:pPr>
              <w:keepNext w:val="0"/>
              <w:keepLines w:val="0"/>
              <w:pageBreakBefore w:val="0"/>
              <w:widowControl w:val="0"/>
              <w:kinsoku/>
              <w:wordWrap/>
              <w:overflowPunct w:val="0"/>
              <w:topLinePunct w:val="0"/>
              <w:autoSpaceDE/>
              <w:autoSpaceDN/>
              <w:bidi w:val="0"/>
              <w:adjustRightInd/>
              <w:snapToGrid/>
              <w:spacing w:line="276" w:lineRule="exact"/>
              <w:jc w:val="both"/>
              <w:textAlignment w:val="center"/>
              <w:rPr>
                <w:rFonts w:ascii="仿宋_GB2312" w:hAnsi="宋体" w:eastAsia="仿宋_GB2312" w:cs="仿宋_GB2312"/>
                <w:sz w:val="18"/>
                <w:szCs w:val="18"/>
              </w:rPr>
            </w:pPr>
            <w:r>
              <w:rPr>
                <w:rFonts w:hint="eastAsia" w:ascii="仿宋_GB2312" w:hAnsi="宋体" w:eastAsia="仿宋_GB2312" w:cs="仿宋_GB2312"/>
                <w:sz w:val="18"/>
                <w:szCs w:val="18"/>
                <w:lang w:val="en-US" w:eastAsia="zh-CN"/>
              </w:rPr>
              <w:t>②</w:t>
            </w:r>
            <w:r>
              <w:rPr>
                <w:rFonts w:hint="eastAsia" w:ascii="仿宋_GB2312" w:hAnsi="宋体" w:eastAsia="仿宋_GB2312" w:cs="仿宋_GB2312"/>
                <w:sz w:val="18"/>
                <w:szCs w:val="18"/>
              </w:rPr>
              <w:t>已制定领导带班制度但有1项未落实的</w:t>
            </w:r>
          </w:p>
        </w:tc>
        <w:tc>
          <w:tcPr>
            <w:tcW w:w="2655" w:type="dxa"/>
            <w:tcBorders>
              <w:tl2br w:val="nil"/>
              <w:tr2bl w:val="nil"/>
            </w:tcBorders>
            <w:shd w:val="clear" w:color="auto" w:fill="auto"/>
            <w:tcMar>
              <w:top w:w="15" w:type="dxa"/>
              <w:left w:w="15" w:type="dxa"/>
              <w:right w:w="15" w:type="dxa"/>
            </w:tcMar>
            <w:vAlign w:val="center"/>
          </w:tcPr>
          <w:p w14:paraId="7CBC4E07">
            <w:pPr>
              <w:keepNext w:val="0"/>
              <w:keepLines w:val="0"/>
              <w:pageBreakBefore w:val="0"/>
              <w:widowControl w:val="0"/>
              <w:kinsoku/>
              <w:wordWrap/>
              <w:overflowPunct w:val="0"/>
              <w:topLinePunct w:val="0"/>
              <w:autoSpaceDE/>
              <w:autoSpaceDN/>
              <w:bidi w:val="0"/>
              <w:adjustRightInd/>
              <w:snapToGrid/>
              <w:spacing w:line="276" w:lineRule="exact"/>
              <w:jc w:val="both"/>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sz w:val="18"/>
                <w:szCs w:val="18"/>
                <w:lang w:val="en-US" w:eastAsia="zh-CN"/>
              </w:rPr>
              <w:t>①</w:t>
            </w:r>
            <w:r>
              <w:rPr>
                <w:rFonts w:hint="eastAsia" w:ascii="仿宋_GB2312" w:hAnsi="宋体" w:eastAsia="仿宋_GB2312" w:cs="仿宋_GB2312"/>
                <w:sz w:val="18"/>
                <w:szCs w:val="18"/>
              </w:rPr>
              <w:t>给予警告，并处3万元罚款；对煤矿主要负责人处1万元罚款。</w:t>
            </w:r>
          </w:p>
          <w:p w14:paraId="410355A3">
            <w:pPr>
              <w:keepNext w:val="0"/>
              <w:keepLines w:val="0"/>
              <w:pageBreakBefore w:val="0"/>
              <w:widowControl w:val="0"/>
              <w:kinsoku/>
              <w:wordWrap/>
              <w:overflowPunct w:val="0"/>
              <w:topLinePunct w:val="0"/>
              <w:autoSpaceDE/>
              <w:autoSpaceDN/>
              <w:bidi w:val="0"/>
              <w:adjustRightInd/>
              <w:snapToGrid/>
              <w:spacing w:line="276" w:lineRule="exact"/>
              <w:jc w:val="both"/>
              <w:textAlignment w:val="center"/>
              <w:rPr>
                <w:rFonts w:ascii="仿宋_GB2312" w:hAnsi="宋体" w:eastAsia="仿宋_GB2312" w:cs="仿宋_GB2312"/>
                <w:sz w:val="18"/>
                <w:szCs w:val="18"/>
              </w:rPr>
            </w:pPr>
            <w:r>
              <w:rPr>
                <w:rFonts w:hint="eastAsia" w:ascii="仿宋_GB2312" w:hAnsi="宋体" w:eastAsia="仿宋_GB2312" w:cs="仿宋_GB2312"/>
                <w:sz w:val="18"/>
                <w:szCs w:val="18"/>
                <w:lang w:val="en-US" w:eastAsia="zh-CN"/>
              </w:rPr>
              <w:t>②</w:t>
            </w:r>
            <w:r>
              <w:rPr>
                <w:rFonts w:hint="eastAsia" w:ascii="仿宋_GB2312" w:hAnsi="宋体" w:eastAsia="仿宋_GB2312" w:cs="仿宋_GB2312"/>
                <w:sz w:val="18"/>
                <w:szCs w:val="18"/>
              </w:rPr>
              <w:t>对煤矿企业处10万元以上13万元以下罚款</w:t>
            </w:r>
          </w:p>
        </w:tc>
      </w:tr>
      <w:tr w14:paraId="24B0C2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4154EC83">
            <w:pPr>
              <w:keepNext w:val="0"/>
              <w:keepLines w:val="0"/>
              <w:pageBreakBefore w:val="0"/>
              <w:widowControl w:val="0"/>
              <w:kinsoku/>
              <w:wordWrap/>
              <w:overflowPunct w:val="0"/>
              <w:topLinePunct w:val="0"/>
              <w:autoSpaceDE/>
              <w:autoSpaceDN/>
              <w:bidi w:val="0"/>
              <w:adjustRightInd/>
              <w:snapToGrid/>
              <w:spacing w:line="276"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1580C460">
            <w:pPr>
              <w:keepNext w:val="0"/>
              <w:keepLines w:val="0"/>
              <w:pageBreakBefore w:val="0"/>
              <w:widowControl w:val="0"/>
              <w:kinsoku/>
              <w:wordWrap/>
              <w:overflowPunct w:val="0"/>
              <w:topLinePunct w:val="0"/>
              <w:autoSpaceDE/>
              <w:autoSpaceDN/>
              <w:bidi w:val="0"/>
              <w:adjustRightInd/>
              <w:snapToGrid/>
              <w:spacing w:line="276"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0553FA7B">
            <w:pPr>
              <w:keepNext w:val="0"/>
              <w:keepLines w:val="0"/>
              <w:pageBreakBefore w:val="0"/>
              <w:widowControl w:val="0"/>
              <w:kinsoku/>
              <w:wordWrap/>
              <w:overflowPunct w:val="0"/>
              <w:topLinePunct w:val="0"/>
              <w:autoSpaceDE/>
              <w:autoSpaceDN/>
              <w:bidi w:val="0"/>
              <w:adjustRightInd/>
              <w:snapToGrid/>
              <w:spacing w:line="276"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4B71B568">
            <w:pPr>
              <w:keepNext w:val="0"/>
              <w:keepLines w:val="0"/>
              <w:pageBreakBefore w:val="0"/>
              <w:widowControl w:val="0"/>
              <w:kinsoku/>
              <w:wordWrap/>
              <w:overflowPunct w:val="0"/>
              <w:topLinePunct w:val="0"/>
              <w:autoSpaceDE/>
              <w:autoSpaceDN/>
              <w:bidi w:val="0"/>
              <w:adjustRightInd/>
              <w:snapToGrid/>
              <w:spacing w:line="276"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ECEC280">
            <w:pPr>
              <w:keepNext w:val="0"/>
              <w:keepLines w:val="0"/>
              <w:pageBreakBefore w:val="0"/>
              <w:widowControl w:val="0"/>
              <w:kinsoku/>
              <w:wordWrap/>
              <w:overflowPunct w:val="0"/>
              <w:topLinePunct w:val="0"/>
              <w:autoSpaceDE/>
              <w:autoSpaceDN/>
              <w:bidi w:val="0"/>
              <w:adjustRightInd/>
              <w:snapToGrid/>
              <w:spacing w:line="276"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2368D243">
            <w:pPr>
              <w:keepNext w:val="0"/>
              <w:keepLines w:val="0"/>
              <w:pageBreakBefore w:val="0"/>
              <w:widowControl w:val="0"/>
              <w:kinsoku/>
              <w:wordWrap/>
              <w:overflowPunct w:val="0"/>
              <w:topLinePunct w:val="0"/>
              <w:autoSpaceDE/>
              <w:autoSpaceDN/>
              <w:bidi w:val="0"/>
              <w:adjustRightInd/>
              <w:snapToGrid/>
              <w:spacing w:line="276"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已制定领导带班制度但有2项未落实的。</w:t>
            </w:r>
          </w:p>
        </w:tc>
        <w:tc>
          <w:tcPr>
            <w:tcW w:w="2655" w:type="dxa"/>
            <w:tcBorders>
              <w:tl2br w:val="nil"/>
              <w:tr2bl w:val="nil"/>
            </w:tcBorders>
            <w:shd w:val="clear" w:color="auto" w:fill="auto"/>
            <w:tcMar>
              <w:top w:w="15" w:type="dxa"/>
              <w:left w:w="15" w:type="dxa"/>
              <w:right w:w="15" w:type="dxa"/>
            </w:tcMar>
            <w:vAlign w:val="center"/>
          </w:tcPr>
          <w:p w14:paraId="6C1D7645">
            <w:pPr>
              <w:keepNext w:val="0"/>
              <w:keepLines w:val="0"/>
              <w:pageBreakBefore w:val="0"/>
              <w:widowControl w:val="0"/>
              <w:kinsoku/>
              <w:wordWrap/>
              <w:overflowPunct w:val="0"/>
              <w:topLinePunct w:val="0"/>
              <w:autoSpaceDE/>
              <w:autoSpaceDN/>
              <w:bidi w:val="0"/>
              <w:adjustRightInd/>
              <w:snapToGrid/>
              <w:spacing w:line="276"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对煤矿企业处13万元以上17万元以下罚款。</w:t>
            </w:r>
          </w:p>
        </w:tc>
      </w:tr>
      <w:tr w14:paraId="02A0FF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452B707C">
            <w:pPr>
              <w:keepNext w:val="0"/>
              <w:keepLines w:val="0"/>
              <w:pageBreakBefore w:val="0"/>
              <w:widowControl w:val="0"/>
              <w:kinsoku/>
              <w:wordWrap/>
              <w:overflowPunct w:val="0"/>
              <w:topLinePunct w:val="0"/>
              <w:autoSpaceDE/>
              <w:autoSpaceDN/>
              <w:bidi w:val="0"/>
              <w:adjustRightInd/>
              <w:snapToGrid/>
              <w:spacing w:line="276"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2459188C">
            <w:pPr>
              <w:keepNext w:val="0"/>
              <w:keepLines w:val="0"/>
              <w:pageBreakBefore w:val="0"/>
              <w:widowControl w:val="0"/>
              <w:kinsoku/>
              <w:wordWrap/>
              <w:overflowPunct w:val="0"/>
              <w:topLinePunct w:val="0"/>
              <w:autoSpaceDE/>
              <w:autoSpaceDN/>
              <w:bidi w:val="0"/>
              <w:adjustRightInd/>
              <w:snapToGrid/>
              <w:spacing w:line="276"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08CBA83C">
            <w:pPr>
              <w:keepNext w:val="0"/>
              <w:keepLines w:val="0"/>
              <w:pageBreakBefore w:val="0"/>
              <w:widowControl w:val="0"/>
              <w:kinsoku/>
              <w:wordWrap/>
              <w:overflowPunct w:val="0"/>
              <w:topLinePunct w:val="0"/>
              <w:autoSpaceDE/>
              <w:autoSpaceDN/>
              <w:bidi w:val="0"/>
              <w:adjustRightInd/>
              <w:snapToGrid/>
              <w:spacing w:line="276"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4A6D6092">
            <w:pPr>
              <w:keepNext w:val="0"/>
              <w:keepLines w:val="0"/>
              <w:pageBreakBefore w:val="0"/>
              <w:widowControl w:val="0"/>
              <w:kinsoku/>
              <w:wordWrap/>
              <w:overflowPunct w:val="0"/>
              <w:topLinePunct w:val="0"/>
              <w:autoSpaceDE/>
              <w:autoSpaceDN/>
              <w:bidi w:val="0"/>
              <w:adjustRightInd/>
              <w:snapToGrid/>
              <w:spacing w:line="276"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43EAAEC">
            <w:pPr>
              <w:keepNext w:val="0"/>
              <w:keepLines w:val="0"/>
              <w:pageBreakBefore w:val="0"/>
              <w:widowControl w:val="0"/>
              <w:kinsoku/>
              <w:wordWrap/>
              <w:overflowPunct w:val="0"/>
              <w:topLinePunct w:val="0"/>
              <w:autoSpaceDE/>
              <w:autoSpaceDN/>
              <w:bidi w:val="0"/>
              <w:adjustRightInd/>
              <w:snapToGrid/>
              <w:spacing w:line="276"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2720DA0F">
            <w:pPr>
              <w:keepNext w:val="0"/>
              <w:keepLines w:val="0"/>
              <w:pageBreakBefore w:val="0"/>
              <w:widowControl w:val="0"/>
              <w:kinsoku/>
              <w:wordWrap/>
              <w:overflowPunct w:val="0"/>
              <w:topLinePunct w:val="0"/>
              <w:autoSpaceDE/>
              <w:autoSpaceDN/>
              <w:bidi w:val="0"/>
              <w:adjustRightInd/>
              <w:snapToGrid/>
              <w:spacing w:line="276" w:lineRule="exact"/>
              <w:jc w:val="both"/>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未制定领导带班制度或者已制定领导带班制度但有3项以上未落实的</w:t>
            </w:r>
          </w:p>
        </w:tc>
        <w:tc>
          <w:tcPr>
            <w:tcW w:w="2655" w:type="dxa"/>
            <w:tcBorders>
              <w:tl2br w:val="nil"/>
              <w:tr2bl w:val="nil"/>
            </w:tcBorders>
            <w:shd w:val="clear" w:color="auto" w:fill="auto"/>
            <w:tcMar>
              <w:top w:w="15" w:type="dxa"/>
              <w:left w:w="15" w:type="dxa"/>
              <w:right w:w="15" w:type="dxa"/>
            </w:tcMar>
            <w:vAlign w:val="center"/>
          </w:tcPr>
          <w:p w14:paraId="2C8BA9B9">
            <w:pPr>
              <w:keepNext w:val="0"/>
              <w:keepLines w:val="0"/>
              <w:pageBreakBefore w:val="0"/>
              <w:widowControl w:val="0"/>
              <w:kinsoku/>
              <w:wordWrap/>
              <w:overflowPunct w:val="0"/>
              <w:topLinePunct w:val="0"/>
              <w:autoSpaceDE/>
              <w:autoSpaceDN/>
              <w:bidi w:val="0"/>
              <w:adjustRightInd/>
              <w:snapToGrid/>
              <w:spacing w:line="276" w:lineRule="exact"/>
              <w:jc w:val="both"/>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对煤矿企业处17万元以上20万元以下罚款。</w:t>
            </w:r>
          </w:p>
        </w:tc>
      </w:tr>
      <w:tr w14:paraId="207419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18" w:type="dxa"/>
            <w:vMerge w:val="restart"/>
            <w:tcBorders>
              <w:top w:val="single" w:color="auto" w:sz="4" w:space="0"/>
              <w:tl2br w:val="nil"/>
              <w:tr2bl w:val="nil"/>
            </w:tcBorders>
            <w:shd w:val="clear" w:color="auto" w:fill="auto"/>
            <w:noWrap/>
            <w:tcMar>
              <w:top w:w="15" w:type="dxa"/>
              <w:left w:w="15" w:type="dxa"/>
              <w:right w:w="15" w:type="dxa"/>
            </w:tcMar>
            <w:vAlign w:val="center"/>
          </w:tcPr>
          <w:p w14:paraId="7665EB04">
            <w:pPr>
              <w:keepNext w:val="0"/>
              <w:keepLines w:val="0"/>
              <w:pageBreakBefore w:val="0"/>
              <w:widowControl w:val="0"/>
              <w:kinsoku/>
              <w:wordWrap/>
              <w:overflowPunct w:val="0"/>
              <w:topLinePunct w:val="0"/>
              <w:autoSpaceDE/>
              <w:autoSpaceDN/>
              <w:bidi w:val="0"/>
              <w:adjustRightInd/>
              <w:snapToGrid/>
              <w:spacing w:line="276" w:lineRule="exact"/>
              <w:ind w:left="0" w:leftChars="0" w:right="0" w:rightChars="0" w:firstLine="0" w:firstLineChars="0"/>
              <w:jc w:val="center"/>
              <w:rPr>
                <w:rFonts w:hint="eastAsia" w:ascii="仿宋_GB2312" w:hAnsi="宋体" w:eastAsia="仿宋_GB2312" w:cs="仿宋_GB2312"/>
                <w:sz w:val="18"/>
                <w:szCs w:val="18"/>
                <w:lang w:val="en-US" w:eastAsia="zh-CN"/>
              </w:rPr>
            </w:pPr>
            <w:r>
              <w:rPr>
                <w:rFonts w:hint="eastAsia" w:ascii="仿宋_GB2312" w:hAnsi="宋体" w:eastAsia="仿宋_GB2312" w:cs="仿宋_GB2312"/>
                <w:sz w:val="18"/>
                <w:szCs w:val="18"/>
                <w:lang w:val="en-US" w:eastAsia="zh-CN"/>
              </w:rPr>
              <w:t>18</w:t>
            </w:r>
          </w:p>
          <w:p w14:paraId="50E01159">
            <w:pPr>
              <w:keepNext w:val="0"/>
              <w:keepLines w:val="0"/>
              <w:pageBreakBefore w:val="0"/>
              <w:widowControl w:val="0"/>
              <w:kinsoku/>
              <w:wordWrap/>
              <w:overflowPunct w:val="0"/>
              <w:topLinePunct w:val="0"/>
              <w:autoSpaceDE/>
              <w:autoSpaceDN/>
              <w:bidi w:val="0"/>
              <w:adjustRightInd w:val="0"/>
              <w:snapToGrid w:val="0"/>
              <w:spacing w:line="260" w:lineRule="exact"/>
              <w:ind w:left="0" w:leftChars="0" w:right="0" w:rightChars="0" w:firstLine="0" w:firstLineChars="0"/>
              <w:jc w:val="center"/>
              <w:rPr>
                <w:rFonts w:hint="default" w:ascii="仿宋_GB2312" w:hAnsi="宋体" w:eastAsia="仿宋_GB2312" w:cs="仿宋_GB2312"/>
                <w:spacing w:val="-5"/>
                <w:sz w:val="18"/>
                <w:szCs w:val="18"/>
                <w:lang w:val="en-US" w:eastAsia="zh-CN"/>
              </w:rPr>
            </w:pPr>
          </w:p>
        </w:tc>
        <w:tc>
          <w:tcPr>
            <w:tcW w:w="1005" w:type="dxa"/>
            <w:vMerge w:val="restart"/>
            <w:tcBorders>
              <w:top w:val="single" w:color="auto" w:sz="4" w:space="0"/>
              <w:tl2br w:val="nil"/>
              <w:tr2bl w:val="nil"/>
            </w:tcBorders>
            <w:shd w:val="clear" w:color="auto" w:fill="auto"/>
            <w:tcMar>
              <w:top w:w="15" w:type="dxa"/>
              <w:left w:w="15" w:type="dxa"/>
              <w:right w:w="15" w:type="dxa"/>
            </w:tcMar>
            <w:vAlign w:val="center"/>
          </w:tcPr>
          <w:p w14:paraId="7DF4F176">
            <w:pPr>
              <w:keepNext w:val="0"/>
              <w:keepLines w:val="0"/>
              <w:pageBreakBefore w:val="0"/>
              <w:widowControl w:val="0"/>
              <w:kinsoku/>
              <w:wordWrap/>
              <w:overflowPunct w:val="0"/>
              <w:topLinePunct w:val="0"/>
              <w:autoSpaceDE/>
              <w:autoSpaceDN/>
              <w:bidi w:val="0"/>
              <w:adjustRightInd/>
              <w:snapToGrid/>
              <w:spacing w:line="276" w:lineRule="exact"/>
              <w:rPr>
                <w:rFonts w:hint="eastAsia" w:ascii="仿宋_GB2312" w:hAnsi="宋体" w:eastAsia="仿宋_GB2312" w:cs="仿宋_GB2312"/>
                <w:sz w:val="18"/>
                <w:szCs w:val="18"/>
              </w:rPr>
            </w:pPr>
            <w:r>
              <w:rPr>
                <w:rFonts w:hint="eastAsia" w:ascii="仿宋_GB2312" w:hAnsi="宋体" w:eastAsia="仿宋_GB2312" w:cs="仿宋_GB2312"/>
                <w:sz w:val="18"/>
                <w:szCs w:val="18"/>
              </w:rPr>
              <w:t>未按照规定制定并落实领导带班制度，逾期未改正的</w:t>
            </w:r>
          </w:p>
          <w:p w14:paraId="0A0850D5">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sz w:val="18"/>
                <w:szCs w:val="18"/>
              </w:rPr>
            </w:pPr>
          </w:p>
        </w:tc>
        <w:tc>
          <w:tcPr>
            <w:tcW w:w="3667" w:type="dxa"/>
            <w:vMerge w:val="restart"/>
            <w:tcBorders>
              <w:top w:val="single" w:color="auto" w:sz="4" w:space="0"/>
              <w:tl2br w:val="nil"/>
              <w:tr2bl w:val="nil"/>
            </w:tcBorders>
            <w:shd w:val="clear" w:color="auto" w:fill="auto"/>
            <w:tcMar>
              <w:top w:w="15" w:type="dxa"/>
              <w:left w:w="15" w:type="dxa"/>
              <w:right w:w="15" w:type="dxa"/>
            </w:tcMar>
            <w:vAlign w:val="center"/>
          </w:tcPr>
          <w:p w14:paraId="6F617495">
            <w:pPr>
              <w:keepNext w:val="0"/>
              <w:keepLines w:val="0"/>
              <w:pageBreakBefore w:val="0"/>
              <w:widowControl/>
              <w:kinsoku/>
              <w:wordWrap/>
              <w:overflowPunct/>
              <w:topLinePunct w:val="0"/>
              <w:autoSpaceDE/>
              <w:autoSpaceDN/>
              <w:bidi w:val="0"/>
              <w:adjustRightInd/>
              <w:snapToGrid/>
              <w:spacing w:line="240" w:lineRule="auto"/>
              <w:jc w:val="left"/>
              <w:rPr>
                <w:rFonts w:hint="eastAsia" w:ascii="仿宋_GB2312" w:hAnsi="宋体" w:eastAsia="仿宋_GB2312" w:cs="仿宋_GB2312"/>
                <w:sz w:val="18"/>
                <w:szCs w:val="18"/>
              </w:rPr>
            </w:pPr>
            <w:r>
              <w:rPr>
                <w:rFonts w:hint="eastAsia" w:ascii="仿宋_GB2312" w:hAnsi="宋体" w:eastAsia="仿宋_GB2312" w:cs="仿宋_GB2312"/>
                <w:sz w:val="18"/>
                <w:szCs w:val="18"/>
              </w:rPr>
              <w:t>《煤矿安全生产条例》第二十三条煤矿企业应当按照国家有关规定建立健全领导带班制度并严格考核。</w:t>
            </w:r>
          </w:p>
          <w:p w14:paraId="11D4DECD">
            <w:pPr>
              <w:keepNext w:val="0"/>
              <w:keepLines w:val="0"/>
              <w:pageBreakBefore w:val="0"/>
              <w:widowControl/>
              <w:kinsoku/>
              <w:wordWrap/>
              <w:overflowPunct/>
              <w:topLinePunct w:val="0"/>
              <w:autoSpaceDE/>
              <w:autoSpaceDN/>
              <w:bidi w:val="0"/>
              <w:adjustRightInd/>
              <w:snapToGrid/>
              <w:spacing w:line="240" w:lineRule="auto"/>
              <w:jc w:val="left"/>
              <w:rPr>
                <w:rFonts w:hint="eastAsia" w:ascii="仿宋_GB2312" w:hAnsi="宋体" w:eastAsia="仿宋_GB2312" w:cs="仿宋_GB2312"/>
                <w:sz w:val="18"/>
                <w:szCs w:val="18"/>
              </w:rPr>
            </w:pPr>
            <w:r>
              <w:rPr>
                <w:rFonts w:hint="eastAsia" w:ascii="仿宋_GB2312" w:hAnsi="宋体" w:eastAsia="仿宋_GB2312" w:cs="仿宋_GB2312"/>
                <w:sz w:val="18"/>
                <w:szCs w:val="18"/>
              </w:rPr>
              <w:t>井工煤矿企业的负责人和生产经营管理人员应当轮流带班下井，并建立下井登记档案。</w:t>
            </w:r>
          </w:p>
          <w:p w14:paraId="5BD6155F">
            <w:pPr>
              <w:keepNext w:val="0"/>
              <w:keepLines w:val="0"/>
              <w:widowControl/>
              <w:suppressLineNumbers w:val="0"/>
              <w:jc w:val="left"/>
            </w:pPr>
            <w:r>
              <w:rPr>
                <w:rFonts w:ascii="仿宋_GB2312" w:hAnsi="宋体" w:eastAsia="仿宋_GB2312" w:cs="仿宋_GB2312"/>
                <w:color w:val="000000"/>
                <w:kern w:val="0"/>
                <w:sz w:val="18"/>
                <w:szCs w:val="18"/>
                <w:lang w:val="en-US" w:eastAsia="zh-CN" w:bidi="ar"/>
              </w:rPr>
              <w:t xml:space="preserve">《煤矿领导带班下井及安全监督检查规定》第 </w:t>
            </w:r>
          </w:p>
          <w:p w14:paraId="4E184A3E">
            <w:pPr>
              <w:keepNext w:val="0"/>
              <w:keepLines w:val="0"/>
              <w:widowControl/>
              <w:suppressLineNumbers w:val="0"/>
              <w:jc w:val="left"/>
            </w:pPr>
            <w:r>
              <w:rPr>
                <w:rFonts w:hint="eastAsia" w:ascii="仿宋_GB2312" w:hAnsi="宋体" w:eastAsia="仿宋_GB2312" w:cs="仿宋_GB2312"/>
                <w:color w:val="000000"/>
                <w:kern w:val="0"/>
                <w:sz w:val="18"/>
                <w:szCs w:val="18"/>
                <w:lang w:val="en-US" w:eastAsia="zh-CN" w:bidi="ar"/>
              </w:rPr>
              <w:t xml:space="preserve">七条 煤矿应当建立健全领导带班下井制度，并 </w:t>
            </w:r>
          </w:p>
          <w:p w14:paraId="0DE49E94">
            <w:pPr>
              <w:keepNext w:val="0"/>
              <w:keepLines w:val="0"/>
              <w:widowControl/>
              <w:suppressLineNumbers w:val="0"/>
              <w:jc w:val="left"/>
            </w:pPr>
            <w:r>
              <w:rPr>
                <w:rFonts w:hint="eastAsia" w:ascii="仿宋_GB2312" w:hAnsi="宋体" w:eastAsia="仿宋_GB2312" w:cs="仿宋_GB2312"/>
                <w:color w:val="000000"/>
                <w:kern w:val="0"/>
                <w:sz w:val="18"/>
                <w:szCs w:val="18"/>
                <w:lang w:val="en-US" w:eastAsia="zh-CN" w:bidi="ar"/>
              </w:rPr>
              <w:t xml:space="preserve">严格考核。带班下井制度应当明确带班下井人 </w:t>
            </w:r>
          </w:p>
          <w:p w14:paraId="11AF4FBF">
            <w:pPr>
              <w:keepNext w:val="0"/>
              <w:keepLines w:val="0"/>
              <w:widowControl/>
              <w:suppressLineNumbers w:val="0"/>
              <w:jc w:val="left"/>
            </w:pPr>
            <w:r>
              <w:rPr>
                <w:rFonts w:hint="eastAsia" w:ascii="仿宋_GB2312" w:hAnsi="宋体" w:eastAsia="仿宋_GB2312" w:cs="仿宋_GB2312"/>
                <w:color w:val="000000"/>
                <w:kern w:val="0"/>
                <w:sz w:val="18"/>
                <w:szCs w:val="18"/>
                <w:lang w:val="en-US" w:eastAsia="zh-CN" w:bidi="ar"/>
              </w:rPr>
              <w:t xml:space="preserve">员、每月带班下井的个数、在井下工作时间、 </w:t>
            </w:r>
          </w:p>
          <w:p w14:paraId="2744577B">
            <w:pPr>
              <w:keepNext w:val="0"/>
              <w:keepLines w:val="0"/>
              <w:widowControl/>
              <w:suppressLineNumbers w:val="0"/>
              <w:jc w:val="left"/>
            </w:pPr>
            <w:r>
              <w:rPr>
                <w:rFonts w:hint="eastAsia" w:ascii="仿宋_GB2312" w:hAnsi="宋体" w:eastAsia="仿宋_GB2312" w:cs="仿宋_GB2312"/>
                <w:color w:val="000000"/>
                <w:kern w:val="0"/>
                <w:sz w:val="18"/>
                <w:szCs w:val="18"/>
                <w:lang w:val="en-US" w:eastAsia="zh-CN" w:bidi="ar"/>
              </w:rPr>
              <w:t xml:space="preserve">带班下井的任务、职责权限、群众监督和考核 </w:t>
            </w:r>
          </w:p>
          <w:p w14:paraId="5E93C33E">
            <w:pPr>
              <w:keepNext w:val="0"/>
              <w:keepLines w:val="0"/>
              <w:widowControl/>
              <w:suppressLineNumbers w:val="0"/>
              <w:jc w:val="left"/>
            </w:pPr>
            <w:r>
              <w:rPr>
                <w:rFonts w:hint="eastAsia" w:ascii="仿宋_GB2312" w:hAnsi="宋体" w:eastAsia="仿宋_GB2312" w:cs="仿宋_GB2312"/>
                <w:color w:val="000000"/>
                <w:kern w:val="0"/>
                <w:sz w:val="18"/>
                <w:szCs w:val="18"/>
                <w:lang w:val="en-US" w:eastAsia="zh-CN" w:bidi="ar"/>
              </w:rPr>
              <w:t>奖惩等内容。</w:t>
            </w:r>
          </w:p>
          <w:p w14:paraId="3214F708">
            <w:pPr>
              <w:keepNext w:val="0"/>
              <w:keepLines w:val="0"/>
              <w:widowControl/>
              <w:suppressLineNumbers w:val="0"/>
              <w:jc w:val="left"/>
            </w:pPr>
            <w:r>
              <w:rPr>
                <w:rFonts w:ascii="仿宋_GB2312" w:hAnsi="宋体" w:eastAsia="仿宋_GB2312" w:cs="仿宋_GB2312"/>
                <w:color w:val="000000"/>
                <w:kern w:val="0"/>
                <w:sz w:val="18"/>
                <w:szCs w:val="18"/>
                <w:lang w:val="en-US" w:eastAsia="zh-CN" w:bidi="ar"/>
              </w:rPr>
              <w:t xml:space="preserve">《煤矿领导带班下井及安全监督检查规定》第 </w:t>
            </w:r>
          </w:p>
          <w:p w14:paraId="03387635">
            <w:pPr>
              <w:keepNext w:val="0"/>
              <w:keepLines w:val="0"/>
              <w:widowControl/>
              <w:suppressLineNumbers w:val="0"/>
              <w:jc w:val="left"/>
            </w:pPr>
            <w:r>
              <w:rPr>
                <w:rFonts w:hint="eastAsia" w:ascii="仿宋_GB2312" w:hAnsi="宋体" w:eastAsia="仿宋_GB2312" w:cs="仿宋_GB2312"/>
                <w:color w:val="000000"/>
                <w:kern w:val="0"/>
                <w:sz w:val="18"/>
                <w:szCs w:val="18"/>
                <w:lang w:val="en-US" w:eastAsia="zh-CN" w:bidi="ar"/>
              </w:rPr>
              <w:t>十条 煤矿领导带班下井实行井下交接班制度。</w:t>
            </w:r>
          </w:p>
          <w:p w14:paraId="6487A143">
            <w:pPr>
              <w:keepNext w:val="0"/>
              <w:keepLines w:val="0"/>
              <w:widowControl/>
              <w:suppressLineNumbers w:val="0"/>
              <w:jc w:val="left"/>
            </w:pPr>
            <w:r>
              <w:rPr>
                <w:rFonts w:ascii="仿宋_GB2312" w:hAnsi="宋体" w:eastAsia="仿宋_GB2312" w:cs="仿宋_GB2312"/>
                <w:color w:val="000000"/>
                <w:kern w:val="0"/>
                <w:sz w:val="18"/>
                <w:szCs w:val="18"/>
                <w:lang w:val="en-US" w:eastAsia="zh-CN" w:bidi="ar"/>
              </w:rPr>
              <w:t xml:space="preserve">《煤矿领导带班下井及安全监督检查规定》第 </w:t>
            </w:r>
          </w:p>
          <w:p w14:paraId="05174764">
            <w:pPr>
              <w:keepNext w:val="0"/>
              <w:keepLines w:val="0"/>
              <w:widowControl/>
              <w:suppressLineNumbers w:val="0"/>
              <w:jc w:val="left"/>
            </w:pPr>
            <w:r>
              <w:rPr>
                <w:rFonts w:hint="eastAsia" w:ascii="仿宋_GB2312" w:hAnsi="宋体" w:eastAsia="仿宋_GB2312" w:cs="仿宋_GB2312"/>
                <w:color w:val="000000"/>
                <w:kern w:val="0"/>
                <w:sz w:val="18"/>
                <w:szCs w:val="18"/>
                <w:lang w:val="en-US" w:eastAsia="zh-CN" w:bidi="ar"/>
              </w:rPr>
              <w:t xml:space="preserve">十一条 煤矿应当建立领导带班下井档案管理 </w:t>
            </w:r>
          </w:p>
          <w:p w14:paraId="14FA7468">
            <w:pPr>
              <w:keepNext w:val="0"/>
              <w:keepLines w:val="0"/>
              <w:pageBreakBefore w:val="0"/>
              <w:widowControl/>
              <w:kinsoku/>
              <w:wordWrap/>
              <w:overflowPunct/>
              <w:topLinePunct w:val="0"/>
              <w:autoSpaceDE/>
              <w:autoSpaceDN/>
              <w:bidi w:val="0"/>
              <w:adjustRightInd/>
              <w:snapToGrid/>
              <w:spacing w:line="240" w:lineRule="auto"/>
              <w:jc w:val="left"/>
              <w:rPr>
                <w:rFonts w:hint="eastAsia" w:ascii="仿宋_GB2312" w:hAnsi="宋体" w:eastAsia="仿宋_GB2312" w:cs="仿宋_GB2312"/>
                <w:color w:val="000000"/>
                <w:kern w:val="0"/>
                <w:sz w:val="18"/>
                <w:szCs w:val="18"/>
                <w:lang w:val="en-US" w:eastAsia="zh-CN" w:bidi="ar"/>
              </w:rPr>
            </w:pPr>
            <w:r>
              <w:rPr>
                <w:rFonts w:hint="eastAsia" w:ascii="仿宋_GB2312" w:hAnsi="宋体" w:eastAsia="仿宋_GB2312" w:cs="仿宋_GB2312"/>
                <w:color w:val="000000"/>
                <w:kern w:val="0"/>
                <w:sz w:val="18"/>
                <w:szCs w:val="18"/>
                <w:lang w:val="en-US" w:eastAsia="zh-CN" w:bidi="ar"/>
              </w:rPr>
              <w:t>制度。</w:t>
            </w:r>
          </w:p>
          <w:p w14:paraId="3CB4E97E">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sz w:val="18"/>
                <w:szCs w:val="18"/>
              </w:rPr>
            </w:pPr>
          </w:p>
        </w:tc>
        <w:tc>
          <w:tcPr>
            <w:tcW w:w="4082" w:type="dxa"/>
            <w:vMerge w:val="restart"/>
            <w:tcBorders>
              <w:top w:val="single" w:color="auto" w:sz="4" w:space="0"/>
              <w:tl2br w:val="nil"/>
              <w:tr2bl w:val="nil"/>
            </w:tcBorders>
            <w:shd w:val="clear" w:color="auto" w:fill="auto"/>
            <w:tcMar>
              <w:top w:w="15" w:type="dxa"/>
              <w:left w:w="15" w:type="dxa"/>
              <w:right w:w="15" w:type="dxa"/>
            </w:tcMar>
            <w:vAlign w:val="center"/>
          </w:tcPr>
          <w:p w14:paraId="06A0C647">
            <w:pPr>
              <w:keepNext w:val="0"/>
              <w:keepLines w:val="0"/>
              <w:pageBreakBefore w:val="0"/>
              <w:widowControl w:val="0"/>
              <w:kinsoku/>
              <w:wordWrap/>
              <w:overflowPunct w:val="0"/>
              <w:topLinePunct w:val="0"/>
              <w:autoSpaceDE/>
              <w:autoSpaceDN/>
              <w:bidi w:val="0"/>
              <w:adjustRightInd/>
              <w:snapToGrid/>
              <w:spacing w:line="276" w:lineRule="exact"/>
              <w:rPr>
                <w:rFonts w:hint="eastAsia" w:ascii="仿宋_GB2312" w:hAnsi="宋体" w:eastAsia="仿宋_GB2312" w:cs="仿宋_GB2312"/>
                <w:sz w:val="18"/>
                <w:szCs w:val="18"/>
              </w:rPr>
            </w:pPr>
            <w:r>
              <w:rPr>
                <w:rFonts w:hint="eastAsia" w:ascii="仿宋_GB2312" w:hAnsi="宋体" w:eastAsia="仿宋_GB2312" w:cs="仿宋_GB2312"/>
                <w:sz w:val="18"/>
                <w:szCs w:val="18"/>
              </w:rPr>
              <w:t>《煤矿安全生产条例》第六十三条  煤矿企业有下列行为之一的，责令限期改正，处10万元以上 20万元以下的罚款；逾期未改正的，责令停产整顿，并处 20万元以上50万元以下的罚款，对其直接负责的主管人员和其他直接责任人员处3万元以上5万元以下的罚款：（一）未按照规定制定并落实全员安全生产责任制和领导带班等安全生产规章制度的；</w:t>
            </w:r>
          </w:p>
          <w:p w14:paraId="1141D34B">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38DDB07">
            <w:pPr>
              <w:keepNext w:val="0"/>
              <w:keepLines w:val="0"/>
              <w:pageBreakBefore w:val="0"/>
              <w:widowControl w:val="0"/>
              <w:kinsoku/>
              <w:wordWrap/>
              <w:overflowPunct w:val="0"/>
              <w:topLinePunct w:val="0"/>
              <w:autoSpaceDE/>
              <w:autoSpaceDN/>
              <w:bidi w:val="0"/>
              <w:adjustRightInd/>
              <w:snapToGrid/>
              <w:spacing w:line="276"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7C34C05B">
            <w:pPr>
              <w:keepNext w:val="0"/>
              <w:keepLines w:val="0"/>
              <w:pageBreakBefore w:val="0"/>
              <w:widowControl w:val="0"/>
              <w:kinsoku/>
              <w:wordWrap/>
              <w:overflowPunct w:val="0"/>
              <w:topLinePunct w:val="0"/>
              <w:autoSpaceDE/>
              <w:autoSpaceDN/>
              <w:bidi w:val="0"/>
              <w:adjustRightInd/>
              <w:snapToGrid/>
              <w:spacing w:line="276"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7819BFBC">
            <w:pPr>
              <w:keepNext w:val="0"/>
              <w:keepLines w:val="0"/>
              <w:pageBreakBefore w:val="0"/>
              <w:widowControl w:val="0"/>
              <w:kinsoku/>
              <w:wordWrap/>
              <w:overflowPunct w:val="0"/>
              <w:topLinePunct w:val="0"/>
              <w:autoSpaceDE/>
              <w:autoSpaceDN/>
              <w:bidi w:val="0"/>
              <w:adjustRightInd/>
              <w:snapToGrid/>
              <w:spacing w:line="276"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633020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8E9D7D5">
            <w:pPr>
              <w:keepNext w:val="0"/>
              <w:keepLines w:val="0"/>
              <w:pageBreakBefore w:val="0"/>
              <w:widowControl w:val="0"/>
              <w:kinsoku/>
              <w:wordWrap/>
              <w:overflowPunct w:val="0"/>
              <w:topLinePunct w:val="0"/>
              <w:autoSpaceDE/>
              <w:autoSpaceDN/>
              <w:bidi w:val="0"/>
              <w:adjustRightInd/>
              <w:snapToGrid/>
              <w:spacing w:line="276"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1FB06CB">
            <w:pPr>
              <w:keepNext w:val="0"/>
              <w:keepLines w:val="0"/>
              <w:pageBreakBefore w:val="0"/>
              <w:widowControl w:val="0"/>
              <w:kinsoku/>
              <w:wordWrap/>
              <w:overflowPunct w:val="0"/>
              <w:topLinePunct w:val="0"/>
              <w:autoSpaceDE/>
              <w:autoSpaceDN/>
              <w:bidi w:val="0"/>
              <w:adjustRightInd/>
              <w:snapToGrid/>
              <w:spacing w:line="276"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3050528">
            <w:pPr>
              <w:keepNext w:val="0"/>
              <w:keepLines w:val="0"/>
              <w:pageBreakBefore w:val="0"/>
              <w:widowControl w:val="0"/>
              <w:kinsoku/>
              <w:wordWrap/>
              <w:overflowPunct w:val="0"/>
              <w:topLinePunct w:val="0"/>
              <w:autoSpaceDE/>
              <w:autoSpaceDN/>
              <w:bidi w:val="0"/>
              <w:adjustRightInd/>
              <w:snapToGrid/>
              <w:spacing w:line="276"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8890D87">
            <w:pPr>
              <w:keepNext w:val="0"/>
              <w:keepLines w:val="0"/>
              <w:pageBreakBefore w:val="0"/>
              <w:widowControl w:val="0"/>
              <w:kinsoku/>
              <w:wordWrap/>
              <w:overflowPunct w:val="0"/>
              <w:topLinePunct w:val="0"/>
              <w:autoSpaceDE/>
              <w:autoSpaceDN/>
              <w:bidi w:val="0"/>
              <w:adjustRightInd/>
              <w:snapToGrid/>
              <w:spacing w:line="276"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11A0452">
            <w:pPr>
              <w:keepNext w:val="0"/>
              <w:keepLines w:val="0"/>
              <w:pageBreakBefore w:val="0"/>
              <w:widowControl w:val="0"/>
              <w:kinsoku/>
              <w:wordWrap/>
              <w:overflowPunct w:val="0"/>
              <w:topLinePunct w:val="0"/>
              <w:autoSpaceDE/>
              <w:autoSpaceDN/>
              <w:bidi w:val="0"/>
              <w:adjustRightInd/>
              <w:snapToGrid/>
              <w:spacing w:line="276"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26C3E81D">
            <w:pPr>
              <w:keepNext w:val="0"/>
              <w:keepLines w:val="0"/>
              <w:pageBreakBefore w:val="0"/>
              <w:widowControl w:val="0"/>
              <w:kinsoku/>
              <w:wordWrap/>
              <w:overflowPunct w:val="0"/>
              <w:topLinePunct w:val="0"/>
              <w:autoSpaceDE/>
              <w:autoSpaceDN/>
              <w:bidi w:val="0"/>
              <w:adjustRightInd/>
              <w:snapToGrid/>
              <w:spacing w:line="276"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35FDB4B9">
            <w:pPr>
              <w:keepNext w:val="0"/>
              <w:keepLines w:val="0"/>
              <w:pageBreakBefore w:val="0"/>
              <w:widowControl w:val="0"/>
              <w:kinsoku/>
              <w:wordWrap/>
              <w:overflowPunct w:val="0"/>
              <w:topLinePunct w:val="0"/>
              <w:autoSpaceDE/>
              <w:autoSpaceDN/>
              <w:bidi w:val="0"/>
              <w:adjustRightInd/>
              <w:snapToGrid/>
              <w:spacing w:line="276"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75D3FC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A6447B8">
            <w:pPr>
              <w:keepNext w:val="0"/>
              <w:keepLines w:val="0"/>
              <w:pageBreakBefore w:val="0"/>
              <w:widowControl w:val="0"/>
              <w:kinsoku/>
              <w:wordWrap/>
              <w:overflowPunct w:val="0"/>
              <w:topLinePunct w:val="0"/>
              <w:autoSpaceDE/>
              <w:autoSpaceDN/>
              <w:bidi w:val="0"/>
              <w:adjustRightInd/>
              <w:snapToGrid/>
              <w:spacing w:line="276"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8743F4F">
            <w:pPr>
              <w:keepNext w:val="0"/>
              <w:keepLines w:val="0"/>
              <w:pageBreakBefore w:val="0"/>
              <w:widowControl w:val="0"/>
              <w:kinsoku/>
              <w:wordWrap/>
              <w:overflowPunct w:val="0"/>
              <w:topLinePunct w:val="0"/>
              <w:autoSpaceDE/>
              <w:autoSpaceDN/>
              <w:bidi w:val="0"/>
              <w:adjustRightInd/>
              <w:snapToGrid/>
              <w:spacing w:line="276"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AECC3F7">
            <w:pPr>
              <w:keepNext w:val="0"/>
              <w:keepLines w:val="0"/>
              <w:pageBreakBefore w:val="0"/>
              <w:widowControl w:val="0"/>
              <w:kinsoku/>
              <w:wordWrap/>
              <w:overflowPunct w:val="0"/>
              <w:topLinePunct w:val="0"/>
              <w:autoSpaceDE/>
              <w:autoSpaceDN/>
              <w:bidi w:val="0"/>
              <w:adjustRightInd/>
              <w:snapToGrid/>
              <w:spacing w:line="276"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E045860">
            <w:pPr>
              <w:keepNext w:val="0"/>
              <w:keepLines w:val="0"/>
              <w:pageBreakBefore w:val="0"/>
              <w:widowControl w:val="0"/>
              <w:kinsoku/>
              <w:wordWrap/>
              <w:overflowPunct w:val="0"/>
              <w:topLinePunct w:val="0"/>
              <w:autoSpaceDE/>
              <w:autoSpaceDN/>
              <w:bidi w:val="0"/>
              <w:adjustRightInd/>
              <w:snapToGrid/>
              <w:spacing w:line="276"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7BF713A">
            <w:pPr>
              <w:keepNext w:val="0"/>
              <w:keepLines w:val="0"/>
              <w:pageBreakBefore w:val="0"/>
              <w:widowControl w:val="0"/>
              <w:kinsoku/>
              <w:wordWrap/>
              <w:overflowPunct w:val="0"/>
              <w:topLinePunct w:val="0"/>
              <w:autoSpaceDE/>
              <w:autoSpaceDN/>
              <w:bidi w:val="0"/>
              <w:adjustRightInd/>
              <w:snapToGrid/>
              <w:spacing w:line="276"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7CEA9954">
            <w:pPr>
              <w:keepNext w:val="0"/>
              <w:keepLines w:val="0"/>
              <w:pageBreakBefore w:val="0"/>
              <w:widowControl w:val="0"/>
              <w:kinsoku/>
              <w:wordWrap/>
              <w:overflowPunct w:val="0"/>
              <w:topLinePunct w:val="0"/>
              <w:autoSpaceDE/>
              <w:autoSpaceDN/>
              <w:bidi w:val="0"/>
              <w:adjustRightInd/>
              <w:snapToGrid/>
              <w:spacing w:line="276"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6ACE0E96">
            <w:pPr>
              <w:keepNext w:val="0"/>
              <w:keepLines w:val="0"/>
              <w:pageBreakBefore w:val="0"/>
              <w:widowControl w:val="0"/>
              <w:kinsoku/>
              <w:wordWrap/>
              <w:overflowPunct w:val="0"/>
              <w:topLinePunct w:val="0"/>
              <w:autoSpaceDE/>
              <w:autoSpaceDN/>
              <w:bidi w:val="0"/>
              <w:adjustRightInd/>
              <w:snapToGrid/>
              <w:spacing w:line="276"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3B1ECB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EFD9EDC">
            <w:pPr>
              <w:keepNext w:val="0"/>
              <w:keepLines w:val="0"/>
              <w:pageBreakBefore w:val="0"/>
              <w:widowControl w:val="0"/>
              <w:kinsoku/>
              <w:wordWrap/>
              <w:overflowPunct w:val="0"/>
              <w:topLinePunct w:val="0"/>
              <w:autoSpaceDE/>
              <w:autoSpaceDN/>
              <w:bidi w:val="0"/>
              <w:adjustRightInd/>
              <w:snapToGrid/>
              <w:spacing w:line="276"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A2D0713">
            <w:pPr>
              <w:keepNext w:val="0"/>
              <w:keepLines w:val="0"/>
              <w:pageBreakBefore w:val="0"/>
              <w:widowControl w:val="0"/>
              <w:kinsoku/>
              <w:wordWrap/>
              <w:overflowPunct w:val="0"/>
              <w:topLinePunct w:val="0"/>
              <w:autoSpaceDE/>
              <w:autoSpaceDN/>
              <w:bidi w:val="0"/>
              <w:adjustRightInd/>
              <w:snapToGrid/>
              <w:spacing w:line="276"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31E3664">
            <w:pPr>
              <w:keepNext w:val="0"/>
              <w:keepLines w:val="0"/>
              <w:pageBreakBefore w:val="0"/>
              <w:widowControl w:val="0"/>
              <w:kinsoku/>
              <w:wordWrap/>
              <w:overflowPunct w:val="0"/>
              <w:topLinePunct w:val="0"/>
              <w:autoSpaceDE/>
              <w:autoSpaceDN/>
              <w:bidi w:val="0"/>
              <w:adjustRightInd/>
              <w:snapToGrid/>
              <w:spacing w:line="276"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C66FBBA">
            <w:pPr>
              <w:keepNext w:val="0"/>
              <w:keepLines w:val="0"/>
              <w:pageBreakBefore w:val="0"/>
              <w:widowControl w:val="0"/>
              <w:kinsoku/>
              <w:wordWrap/>
              <w:overflowPunct w:val="0"/>
              <w:topLinePunct w:val="0"/>
              <w:autoSpaceDE/>
              <w:autoSpaceDN/>
              <w:bidi w:val="0"/>
              <w:adjustRightInd/>
              <w:snapToGrid/>
              <w:spacing w:line="276"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EFE58F6">
            <w:pPr>
              <w:keepNext w:val="0"/>
              <w:keepLines w:val="0"/>
              <w:pageBreakBefore w:val="0"/>
              <w:widowControl w:val="0"/>
              <w:kinsoku/>
              <w:wordWrap/>
              <w:overflowPunct w:val="0"/>
              <w:topLinePunct w:val="0"/>
              <w:autoSpaceDE/>
              <w:autoSpaceDN/>
              <w:bidi w:val="0"/>
              <w:adjustRightInd/>
              <w:snapToGrid/>
              <w:spacing w:line="276"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76A7A6A1">
            <w:pPr>
              <w:keepNext w:val="0"/>
              <w:keepLines w:val="0"/>
              <w:pageBreakBefore w:val="0"/>
              <w:widowControl w:val="0"/>
              <w:kinsoku/>
              <w:wordWrap/>
              <w:overflowPunct w:val="0"/>
              <w:topLinePunct w:val="0"/>
              <w:autoSpaceDE/>
              <w:autoSpaceDN/>
              <w:bidi w:val="0"/>
              <w:adjustRightInd/>
              <w:snapToGrid/>
              <w:spacing w:line="276" w:lineRule="exact"/>
              <w:jc w:val="both"/>
              <w:textAlignment w:val="center"/>
              <w:rPr>
                <w:rFonts w:hint="eastAsia" w:ascii="仿宋_GB2312" w:hAnsi="宋体" w:eastAsia="仿宋_GB2312" w:cs="仿宋_GB2312"/>
                <w:sz w:val="18"/>
                <w:szCs w:val="18"/>
              </w:rPr>
            </w:pPr>
            <w:r>
              <w:rPr>
                <w:rFonts w:hint="eastAsia" w:ascii="仿宋_GB2312" w:hAnsi="宋体" w:eastAsia="仿宋_GB2312" w:cs="仿宋_GB2312"/>
                <w:sz w:val="18"/>
                <w:szCs w:val="18"/>
              </w:rPr>
              <w:t>逾期未改正已制定领导带班制度但有1项未落实的，或者超过责令改正期限5日以下的</w:t>
            </w:r>
          </w:p>
        </w:tc>
        <w:tc>
          <w:tcPr>
            <w:tcW w:w="2655" w:type="dxa"/>
            <w:tcBorders>
              <w:tl2br w:val="nil"/>
              <w:tr2bl w:val="nil"/>
            </w:tcBorders>
            <w:shd w:val="clear" w:color="auto" w:fill="auto"/>
            <w:tcMar>
              <w:top w:w="15" w:type="dxa"/>
              <w:left w:w="15" w:type="dxa"/>
              <w:right w:w="15" w:type="dxa"/>
            </w:tcMar>
            <w:vAlign w:val="center"/>
          </w:tcPr>
          <w:p w14:paraId="76903BB7">
            <w:pPr>
              <w:keepNext w:val="0"/>
              <w:keepLines w:val="0"/>
              <w:pageBreakBefore w:val="0"/>
              <w:widowControl w:val="0"/>
              <w:kinsoku/>
              <w:wordWrap/>
              <w:overflowPunct w:val="0"/>
              <w:topLinePunct w:val="0"/>
              <w:autoSpaceDE/>
              <w:autoSpaceDN/>
              <w:bidi w:val="0"/>
              <w:adjustRightInd/>
              <w:snapToGrid/>
              <w:spacing w:line="276" w:lineRule="exact"/>
              <w:jc w:val="both"/>
              <w:textAlignment w:val="center"/>
              <w:rPr>
                <w:rFonts w:hint="eastAsia" w:ascii="仿宋_GB2312" w:hAnsi="宋体" w:eastAsia="仿宋_GB2312" w:cs="仿宋_GB2312"/>
                <w:sz w:val="18"/>
                <w:szCs w:val="18"/>
              </w:rPr>
            </w:pPr>
            <w:r>
              <w:rPr>
                <w:rFonts w:hint="eastAsia" w:ascii="仿宋_GB2312" w:hAnsi="宋体" w:eastAsia="仿宋_GB2312" w:cs="仿宋_GB2312"/>
                <w:sz w:val="18"/>
                <w:szCs w:val="18"/>
              </w:rPr>
              <w:t>对煤矿企业处20万元以上30万元以下的罚款，对直接负责的主管人员和其他直接责任人员处3万元以上5万元以下的罚款。</w:t>
            </w:r>
          </w:p>
        </w:tc>
      </w:tr>
      <w:tr w14:paraId="3377E6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3"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A023D2D">
            <w:pPr>
              <w:keepNext w:val="0"/>
              <w:keepLines w:val="0"/>
              <w:pageBreakBefore w:val="0"/>
              <w:widowControl w:val="0"/>
              <w:kinsoku/>
              <w:wordWrap/>
              <w:overflowPunct w:val="0"/>
              <w:topLinePunct w:val="0"/>
              <w:autoSpaceDE/>
              <w:autoSpaceDN/>
              <w:bidi w:val="0"/>
              <w:adjustRightInd/>
              <w:snapToGrid/>
              <w:spacing w:line="276"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FD87D98">
            <w:pPr>
              <w:keepNext w:val="0"/>
              <w:keepLines w:val="0"/>
              <w:pageBreakBefore w:val="0"/>
              <w:widowControl w:val="0"/>
              <w:kinsoku/>
              <w:wordWrap/>
              <w:overflowPunct w:val="0"/>
              <w:topLinePunct w:val="0"/>
              <w:autoSpaceDE/>
              <w:autoSpaceDN/>
              <w:bidi w:val="0"/>
              <w:adjustRightInd/>
              <w:snapToGrid/>
              <w:spacing w:line="276"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CB74B88">
            <w:pPr>
              <w:keepNext w:val="0"/>
              <w:keepLines w:val="0"/>
              <w:pageBreakBefore w:val="0"/>
              <w:widowControl w:val="0"/>
              <w:kinsoku/>
              <w:wordWrap/>
              <w:overflowPunct w:val="0"/>
              <w:topLinePunct w:val="0"/>
              <w:autoSpaceDE/>
              <w:autoSpaceDN/>
              <w:bidi w:val="0"/>
              <w:adjustRightInd/>
              <w:snapToGrid/>
              <w:spacing w:line="276"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2225A9D">
            <w:pPr>
              <w:keepNext w:val="0"/>
              <w:keepLines w:val="0"/>
              <w:pageBreakBefore w:val="0"/>
              <w:widowControl w:val="0"/>
              <w:kinsoku/>
              <w:wordWrap/>
              <w:overflowPunct w:val="0"/>
              <w:topLinePunct w:val="0"/>
              <w:autoSpaceDE/>
              <w:autoSpaceDN/>
              <w:bidi w:val="0"/>
              <w:adjustRightInd/>
              <w:snapToGrid/>
              <w:spacing w:line="276"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A10AB93">
            <w:pPr>
              <w:keepNext w:val="0"/>
              <w:keepLines w:val="0"/>
              <w:pageBreakBefore w:val="0"/>
              <w:widowControl w:val="0"/>
              <w:kinsoku/>
              <w:wordWrap/>
              <w:overflowPunct w:val="0"/>
              <w:topLinePunct w:val="0"/>
              <w:autoSpaceDE/>
              <w:autoSpaceDN/>
              <w:bidi w:val="0"/>
              <w:adjustRightInd/>
              <w:snapToGrid/>
              <w:spacing w:line="276"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441E85E5">
            <w:pPr>
              <w:keepNext w:val="0"/>
              <w:keepLines w:val="0"/>
              <w:pageBreakBefore w:val="0"/>
              <w:widowControl w:val="0"/>
              <w:kinsoku/>
              <w:wordWrap/>
              <w:overflowPunct w:val="0"/>
              <w:topLinePunct w:val="0"/>
              <w:autoSpaceDE/>
              <w:autoSpaceDN/>
              <w:bidi w:val="0"/>
              <w:adjustRightInd/>
              <w:snapToGrid/>
              <w:spacing w:line="276" w:lineRule="exact"/>
              <w:jc w:val="both"/>
              <w:textAlignment w:val="center"/>
              <w:rPr>
                <w:rFonts w:hint="eastAsia" w:ascii="仿宋_GB2312" w:hAnsi="宋体" w:eastAsia="仿宋_GB2312" w:cs="仿宋_GB2312"/>
                <w:sz w:val="18"/>
                <w:szCs w:val="18"/>
              </w:rPr>
            </w:pPr>
            <w:r>
              <w:rPr>
                <w:rFonts w:hint="eastAsia" w:ascii="仿宋_GB2312" w:hAnsi="宋体" w:eastAsia="仿宋_GB2312" w:cs="仿宋_GB2312"/>
                <w:sz w:val="18"/>
                <w:szCs w:val="18"/>
              </w:rPr>
              <w:t>逾期未改正已制定领导带班制度但有2项未落实的，或者超过责令改正期限5日以上10日以下的。</w:t>
            </w:r>
          </w:p>
        </w:tc>
        <w:tc>
          <w:tcPr>
            <w:tcW w:w="2655" w:type="dxa"/>
            <w:tcBorders>
              <w:tl2br w:val="nil"/>
              <w:tr2bl w:val="nil"/>
            </w:tcBorders>
            <w:shd w:val="clear" w:color="auto" w:fill="auto"/>
            <w:tcMar>
              <w:top w:w="15" w:type="dxa"/>
              <w:left w:w="15" w:type="dxa"/>
              <w:right w:w="15" w:type="dxa"/>
            </w:tcMar>
            <w:vAlign w:val="center"/>
          </w:tcPr>
          <w:p w14:paraId="6E68FB90">
            <w:pPr>
              <w:keepNext w:val="0"/>
              <w:keepLines w:val="0"/>
              <w:pageBreakBefore w:val="0"/>
              <w:widowControl w:val="0"/>
              <w:kinsoku/>
              <w:wordWrap/>
              <w:overflowPunct w:val="0"/>
              <w:topLinePunct w:val="0"/>
              <w:autoSpaceDE/>
              <w:autoSpaceDN/>
              <w:bidi w:val="0"/>
              <w:adjustRightInd/>
              <w:snapToGrid/>
              <w:spacing w:line="276" w:lineRule="exact"/>
              <w:jc w:val="both"/>
              <w:textAlignment w:val="center"/>
              <w:rPr>
                <w:rFonts w:hint="eastAsia" w:ascii="仿宋_GB2312" w:hAnsi="宋体" w:eastAsia="仿宋_GB2312" w:cs="仿宋_GB2312"/>
                <w:sz w:val="18"/>
                <w:szCs w:val="18"/>
              </w:rPr>
            </w:pPr>
            <w:r>
              <w:rPr>
                <w:rFonts w:hint="eastAsia" w:ascii="仿宋_GB2312" w:hAnsi="宋体" w:eastAsia="仿宋_GB2312" w:cs="仿宋_GB2312"/>
                <w:sz w:val="18"/>
                <w:szCs w:val="18"/>
              </w:rPr>
              <w:t>对煤矿企业处30万元以上40万元以下的罚款，对直接负责的主管人员和其他直接责任人员处3万元以上5万元以下的罚款。</w:t>
            </w:r>
          </w:p>
        </w:tc>
      </w:tr>
      <w:tr w14:paraId="61E569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3" w:hRule="atLeast"/>
          <w:jc w:val="center"/>
        </w:trPr>
        <w:tc>
          <w:tcPr>
            <w:tcW w:w="418" w:type="dxa"/>
            <w:vMerge w:val="continue"/>
            <w:tcBorders>
              <w:bottom w:val="single" w:color="auto" w:sz="4" w:space="0"/>
              <w:tl2br w:val="nil"/>
              <w:tr2bl w:val="nil"/>
            </w:tcBorders>
            <w:shd w:val="clear" w:color="auto" w:fill="auto"/>
            <w:noWrap/>
            <w:tcMar>
              <w:top w:w="15" w:type="dxa"/>
              <w:left w:w="15" w:type="dxa"/>
              <w:right w:w="15" w:type="dxa"/>
            </w:tcMar>
            <w:vAlign w:val="center"/>
          </w:tcPr>
          <w:p w14:paraId="670FCB89">
            <w:pPr>
              <w:keepNext w:val="0"/>
              <w:keepLines w:val="0"/>
              <w:pageBreakBefore w:val="0"/>
              <w:widowControl w:val="0"/>
              <w:kinsoku/>
              <w:wordWrap/>
              <w:overflowPunct w:val="0"/>
              <w:topLinePunct w:val="0"/>
              <w:autoSpaceDE/>
              <w:autoSpaceDN/>
              <w:bidi w:val="0"/>
              <w:adjustRightInd w:val="0"/>
              <w:snapToGrid w:val="0"/>
              <w:spacing w:line="260" w:lineRule="exact"/>
              <w:ind w:left="0" w:leftChars="0" w:right="0" w:rightChars="0" w:firstLine="0" w:firstLineChars="0"/>
              <w:jc w:val="center"/>
              <w:rPr>
                <w:rFonts w:hint="default" w:ascii="仿宋_GB2312" w:hAnsi="宋体" w:eastAsia="仿宋_GB2312" w:cs="仿宋_GB2312"/>
                <w:spacing w:val="-5"/>
                <w:sz w:val="18"/>
                <w:szCs w:val="18"/>
                <w:lang w:val="en-US" w:eastAsia="zh-CN"/>
              </w:rPr>
            </w:pPr>
          </w:p>
        </w:tc>
        <w:tc>
          <w:tcPr>
            <w:tcW w:w="1005" w:type="dxa"/>
            <w:vMerge w:val="continue"/>
            <w:tcBorders>
              <w:bottom w:val="single" w:color="auto" w:sz="4" w:space="0"/>
              <w:tl2br w:val="nil"/>
              <w:tr2bl w:val="nil"/>
            </w:tcBorders>
            <w:shd w:val="clear" w:color="auto" w:fill="auto"/>
            <w:tcMar>
              <w:top w:w="15" w:type="dxa"/>
              <w:left w:w="15" w:type="dxa"/>
              <w:right w:w="15" w:type="dxa"/>
            </w:tcMar>
            <w:vAlign w:val="center"/>
          </w:tcPr>
          <w:p w14:paraId="7E389771">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sz w:val="18"/>
                <w:szCs w:val="18"/>
              </w:rPr>
            </w:pPr>
          </w:p>
        </w:tc>
        <w:tc>
          <w:tcPr>
            <w:tcW w:w="3667" w:type="dxa"/>
            <w:vMerge w:val="continue"/>
            <w:tcBorders>
              <w:bottom w:val="single" w:color="auto" w:sz="4" w:space="0"/>
              <w:tl2br w:val="nil"/>
              <w:tr2bl w:val="nil"/>
            </w:tcBorders>
            <w:shd w:val="clear" w:color="auto" w:fill="auto"/>
            <w:tcMar>
              <w:top w:w="15" w:type="dxa"/>
              <w:left w:w="15" w:type="dxa"/>
              <w:right w:w="15" w:type="dxa"/>
            </w:tcMar>
            <w:vAlign w:val="center"/>
          </w:tcPr>
          <w:p w14:paraId="38D95C7B">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sz w:val="18"/>
                <w:szCs w:val="18"/>
              </w:rPr>
            </w:pPr>
          </w:p>
        </w:tc>
        <w:tc>
          <w:tcPr>
            <w:tcW w:w="4082" w:type="dxa"/>
            <w:vMerge w:val="continue"/>
            <w:tcBorders>
              <w:bottom w:val="single" w:color="auto" w:sz="4" w:space="0"/>
              <w:tl2br w:val="nil"/>
              <w:tr2bl w:val="nil"/>
            </w:tcBorders>
            <w:shd w:val="clear" w:color="auto" w:fill="auto"/>
            <w:tcMar>
              <w:top w:w="15" w:type="dxa"/>
              <w:left w:w="15" w:type="dxa"/>
              <w:right w:w="15" w:type="dxa"/>
            </w:tcMar>
            <w:vAlign w:val="center"/>
          </w:tcPr>
          <w:p w14:paraId="08C187AE">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9DB8F44">
            <w:pPr>
              <w:keepNext w:val="0"/>
              <w:keepLines w:val="0"/>
              <w:pageBreakBefore w:val="0"/>
              <w:widowControl w:val="0"/>
              <w:kinsoku/>
              <w:wordWrap/>
              <w:overflowPunct w:val="0"/>
              <w:topLinePunct w:val="0"/>
              <w:autoSpaceDE/>
              <w:autoSpaceDN/>
              <w:bidi w:val="0"/>
              <w:adjustRightInd w:val="0"/>
              <w:snapToGrid w:val="0"/>
              <w:spacing w:line="260" w:lineRule="exact"/>
              <w:ind w:left="0" w:leftChars="0" w:right="0" w:rightChars="0" w:firstLine="0" w:firstLineChars="0"/>
              <w:jc w:val="center"/>
              <w:textAlignment w:val="center"/>
              <w:rPr>
                <w:rFonts w:hint="eastAsia" w:ascii="仿宋_GB2312" w:hAnsi="宋体" w:eastAsia="仿宋_GB2312" w:cs="仿宋_GB2312"/>
                <w:spacing w:val="-5"/>
                <w:kern w:val="2"/>
                <w:sz w:val="18"/>
                <w:szCs w:val="18"/>
                <w:lang w:val="en-US" w:eastAsia="zh-CN" w:bidi="ar-SA"/>
              </w:rPr>
            </w:pPr>
            <w:r>
              <w:rPr>
                <w:rFonts w:hint="eastAsia" w:ascii="仿宋_GB2312" w:hAnsi="宋体" w:eastAsia="仿宋_GB2312" w:cs="仿宋_GB2312"/>
                <w:spacing w:val="-5"/>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60FE8706">
            <w:pPr>
              <w:keepNext w:val="0"/>
              <w:keepLines w:val="0"/>
              <w:pageBreakBefore w:val="0"/>
              <w:widowControl w:val="0"/>
              <w:kinsoku/>
              <w:wordWrap/>
              <w:overflowPunct w:val="0"/>
              <w:topLinePunct w:val="0"/>
              <w:autoSpaceDE/>
              <w:autoSpaceDN/>
              <w:bidi w:val="0"/>
              <w:adjustRightInd w:val="0"/>
              <w:snapToGrid w:val="0"/>
              <w:spacing w:line="260" w:lineRule="exact"/>
              <w:jc w:val="both"/>
              <w:textAlignment w:val="center"/>
              <w:rPr>
                <w:rFonts w:hint="eastAsia" w:ascii="仿宋_GB2312" w:hAnsi="宋体" w:eastAsia="仿宋_GB2312" w:cs="仿宋_GB2312"/>
                <w:spacing w:val="-5"/>
                <w:sz w:val="18"/>
                <w:szCs w:val="18"/>
              </w:rPr>
            </w:pPr>
            <w:r>
              <w:rPr>
                <w:rFonts w:hint="eastAsia" w:ascii="仿宋_GB2312" w:hAnsi="宋体" w:eastAsia="仿宋_GB2312" w:cs="仿宋_GB2312"/>
                <w:spacing w:val="-5"/>
                <w:sz w:val="18"/>
                <w:szCs w:val="18"/>
              </w:rPr>
              <w:t>逾期未改正未制定领导带班制度或者已制定领导带班制度但有3项以上未落实的，或者超过改正期限10日以上的。</w:t>
            </w:r>
          </w:p>
        </w:tc>
        <w:tc>
          <w:tcPr>
            <w:tcW w:w="2655" w:type="dxa"/>
            <w:tcBorders>
              <w:tl2br w:val="nil"/>
              <w:tr2bl w:val="nil"/>
            </w:tcBorders>
            <w:shd w:val="clear" w:color="auto" w:fill="auto"/>
            <w:tcMar>
              <w:top w:w="15" w:type="dxa"/>
              <w:left w:w="15" w:type="dxa"/>
              <w:right w:w="15" w:type="dxa"/>
            </w:tcMar>
            <w:vAlign w:val="center"/>
          </w:tcPr>
          <w:p w14:paraId="5321A1F4">
            <w:pPr>
              <w:keepNext w:val="0"/>
              <w:keepLines w:val="0"/>
              <w:pageBreakBefore w:val="0"/>
              <w:widowControl w:val="0"/>
              <w:kinsoku/>
              <w:wordWrap/>
              <w:overflowPunct w:val="0"/>
              <w:topLinePunct w:val="0"/>
              <w:autoSpaceDE/>
              <w:autoSpaceDN/>
              <w:bidi w:val="0"/>
              <w:adjustRightInd w:val="0"/>
              <w:snapToGrid w:val="0"/>
              <w:spacing w:line="260" w:lineRule="exact"/>
              <w:jc w:val="both"/>
              <w:textAlignment w:val="center"/>
              <w:rPr>
                <w:rFonts w:hint="eastAsia" w:ascii="仿宋_GB2312" w:hAnsi="宋体" w:eastAsia="仿宋_GB2312" w:cs="仿宋_GB2312"/>
                <w:spacing w:val="-5"/>
                <w:sz w:val="18"/>
                <w:szCs w:val="18"/>
              </w:rPr>
            </w:pPr>
            <w:r>
              <w:rPr>
                <w:rFonts w:hint="eastAsia" w:ascii="仿宋_GB2312" w:hAnsi="宋体" w:eastAsia="仿宋_GB2312" w:cs="仿宋_GB2312"/>
                <w:spacing w:val="-5"/>
                <w:sz w:val="18"/>
                <w:szCs w:val="18"/>
              </w:rPr>
              <w:t>对煤矿企业处40万元以上50万元以下的罚款，对直接负责的主管人员和其他直接责任人员处3万元以上5万元以下的罚款。</w:t>
            </w:r>
          </w:p>
        </w:tc>
      </w:tr>
      <w:tr w14:paraId="1FE9E6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3"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584F039D">
            <w:pPr>
              <w:keepNext w:val="0"/>
              <w:keepLines w:val="0"/>
              <w:pageBreakBefore w:val="0"/>
              <w:widowControl w:val="0"/>
              <w:kinsoku/>
              <w:wordWrap/>
              <w:overflowPunct w:val="0"/>
              <w:topLinePunct w:val="0"/>
              <w:autoSpaceDE/>
              <w:autoSpaceDN/>
              <w:bidi w:val="0"/>
              <w:adjustRightInd w:val="0"/>
              <w:snapToGrid w:val="0"/>
              <w:spacing w:line="260" w:lineRule="exact"/>
              <w:ind w:left="0" w:leftChars="0" w:right="0" w:rightChars="0" w:firstLine="0" w:firstLineChars="0"/>
              <w:jc w:val="center"/>
              <w:rPr>
                <w:rFonts w:hint="default" w:ascii="仿宋_GB2312" w:hAnsi="宋体" w:eastAsia="仿宋_GB2312" w:cs="仿宋_GB2312"/>
                <w:spacing w:val="-5"/>
                <w:kern w:val="2"/>
                <w:sz w:val="18"/>
                <w:szCs w:val="18"/>
                <w:lang w:val="en-US" w:eastAsia="zh-CN" w:bidi="ar-SA"/>
              </w:rPr>
            </w:pPr>
            <w:del w:id="1268" w:author="LV" w:date="2026-07-14T16:12:12Z">
              <w:r>
                <w:rPr>
                  <w:rFonts w:hint="default" w:ascii="仿宋_GB2312" w:hAnsi="宋体" w:eastAsia="仿宋_GB2312" w:cs="仿宋_GB2312"/>
                  <w:spacing w:val="-5"/>
                  <w:kern w:val="2"/>
                  <w:sz w:val="18"/>
                  <w:szCs w:val="18"/>
                  <w:lang w:val="en-US" w:eastAsia="zh-CN" w:bidi="ar-SA"/>
                </w:rPr>
                <w:delText>增加</w:delText>
              </w:r>
            </w:del>
            <w:ins w:id="1269" w:author="LV" w:date="2026-07-14T16:12:12Z">
              <w:r>
                <w:rPr>
                  <w:rFonts w:hint="eastAsia" w:ascii="仿宋_GB2312" w:hAnsi="宋体" w:eastAsia="仿宋_GB2312" w:cs="仿宋_GB2312"/>
                  <w:spacing w:val="-5"/>
                  <w:kern w:val="2"/>
                  <w:sz w:val="18"/>
                  <w:szCs w:val="18"/>
                  <w:lang w:val="en-US" w:eastAsia="zh-CN" w:bidi="ar-SA"/>
                </w:rPr>
                <w:t>1</w:t>
              </w:r>
            </w:ins>
            <w:ins w:id="1270" w:author="LV" w:date="2026-07-14T16:12:13Z">
              <w:r>
                <w:rPr>
                  <w:rFonts w:hint="eastAsia" w:ascii="仿宋_GB2312" w:hAnsi="宋体" w:eastAsia="仿宋_GB2312" w:cs="仿宋_GB2312"/>
                  <w:spacing w:val="-5"/>
                  <w:kern w:val="2"/>
                  <w:sz w:val="18"/>
                  <w:szCs w:val="18"/>
                  <w:lang w:val="en-US" w:eastAsia="zh-CN" w:bidi="ar-SA"/>
                </w:rPr>
                <w:t>9</w:t>
              </w:r>
            </w:ins>
          </w:p>
        </w:tc>
        <w:tc>
          <w:tcPr>
            <w:tcW w:w="1005" w:type="dxa"/>
            <w:vMerge w:val="restart"/>
            <w:tcBorders>
              <w:tl2br w:val="nil"/>
              <w:tr2bl w:val="nil"/>
            </w:tcBorders>
            <w:shd w:val="clear" w:color="auto" w:fill="auto"/>
            <w:tcMar>
              <w:top w:w="15" w:type="dxa"/>
              <w:left w:w="15" w:type="dxa"/>
              <w:right w:w="15" w:type="dxa"/>
            </w:tcMar>
            <w:vAlign w:val="center"/>
          </w:tcPr>
          <w:p w14:paraId="73F51FF7">
            <w:pPr>
              <w:keepNext w:val="0"/>
              <w:keepLines w:val="0"/>
              <w:widowControl/>
              <w:suppressLineNumbers w:val="0"/>
              <w:jc w:val="left"/>
            </w:pPr>
            <w:r>
              <w:rPr>
                <w:rFonts w:ascii="仿宋_GB2312" w:hAnsi="宋体" w:eastAsia="仿宋_GB2312" w:cs="仿宋_GB2312"/>
                <w:color w:val="000000"/>
                <w:kern w:val="0"/>
                <w:sz w:val="18"/>
                <w:szCs w:val="18"/>
                <w:lang w:val="en-US" w:eastAsia="zh-CN" w:bidi="ar"/>
              </w:rPr>
              <w:t xml:space="preserve">煤矿领导每 </w:t>
            </w:r>
          </w:p>
          <w:p w14:paraId="13505523">
            <w:pPr>
              <w:keepNext w:val="0"/>
              <w:keepLines w:val="0"/>
              <w:widowControl/>
              <w:suppressLineNumbers w:val="0"/>
              <w:jc w:val="left"/>
            </w:pPr>
            <w:r>
              <w:rPr>
                <w:rFonts w:hint="eastAsia" w:ascii="仿宋_GB2312" w:hAnsi="宋体" w:eastAsia="仿宋_GB2312" w:cs="仿宋_GB2312"/>
                <w:color w:val="000000"/>
                <w:kern w:val="0"/>
                <w:sz w:val="18"/>
                <w:szCs w:val="18"/>
                <w:lang w:val="en-US" w:eastAsia="zh-CN" w:bidi="ar"/>
              </w:rPr>
              <w:t xml:space="preserve">月带班下井 </w:t>
            </w:r>
          </w:p>
          <w:p w14:paraId="5E778E27">
            <w:pPr>
              <w:keepNext w:val="0"/>
              <w:keepLines w:val="0"/>
              <w:widowControl/>
              <w:suppressLineNumbers w:val="0"/>
              <w:jc w:val="left"/>
            </w:pPr>
            <w:r>
              <w:rPr>
                <w:rFonts w:hint="eastAsia" w:ascii="仿宋_GB2312" w:hAnsi="宋体" w:eastAsia="仿宋_GB2312" w:cs="仿宋_GB2312"/>
                <w:color w:val="000000"/>
                <w:kern w:val="0"/>
                <w:sz w:val="18"/>
                <w:szCs w:val="18"/>
                <w:lang w:val="en-US" w:eastAsia="zh-CN" w:bidi="ar"/>
              </w:rPr>
              <w:t xml:space="preserve">情况未按照 </w:t>
            </w:r>
          </w:p>
          <w:p w14:paraId="65882B1F">
            <w:pPr>
              <w:keepNext w:val="0"/>
              <w:keepLines w:val="0"/>
              <w:widowControl/>
              <w:suppressLineNumbers w:val="0"/>
              <w:jc w:val="left"/>
            </w:pPr>
            <w:r>
              <w:rPr>
                <w:rFonts w:hint="eastAsia" w:ascii="仿宋_GB2312" w:hAnsi="宋体" w:eastAsia="仿宋_GB2312" w:cs="仿宋_GB2312"/>
                <w:color w:val="000000"/>
                <w:kern w:val="0"/>
                <w:sz w:val="18"/>
                <w:szCs w:val="18"/>
                <w:lang w:val="en-US" w:eastAsia="zh-CN" w:bidi="ar"/>
              </w:rPr>
              <w:t>规定公示的</w:t>
            </w:r>
          </w:p>
          <w:p w14:paraId="36F13F20">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kern w:val="2"/>
                <w:sz w:val="18"/>
                <w:szCs w:val="18"/>
                <w:lang w:val="en-US" w:eastAsia="zh-CN" w:bidi="ar-SA"/>
              </w:rPr>
            </w:pPr>
          </w:p>
          <w:p w14:paraId="0AABCD67">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kern w:val="2"/>
                <w:sz w:val="18"/>
                <w:szCs w:val="18"/>
                <w:lang w:val="en-US" w:eastAsia="zh-CN" w:bidi="ar-SA"/>
              </w:rPr>
            </w:pPr>
          </w:p>
        </w:tc>
        <w:tc>
          <w:tcPr>
            <w:tcW w:w="3667" w:type="dxa"/>
            <w:vMerge w:val="restart"/>
            <w:tcBorders>
              <w:tl2br w:val="nil"/>
              <w:tr2bl w:val="nil"/>
            </w:tcBorders>
            <w:shd w:val="clear" w:color="auto" w:fill="auto"/>
            <w:tcMar>
              <w:top w:w="15" w:type="dxa"/>
              <w:left w:w="15" w:type="dxa"/>
              <w:right w:w="15" w:type="dxa"/>
            </w:tcMar>
            <w:vAlign w:val="center"/>
          </w:tcPr>
          <w:p w14:paraId="04A2ADB9">
            <w:pPr>
              <w:keepNext w:val="0"/>
              <w:keepLines w:val="0"/>
              <w:widowControl/>
              <w:suppressLineNumbers w:val="0"/>
              <w:jc w:val="left"/>
            </w:pPr>
            <w:r>
              <w:rPr>
                <w:rFonts w:ascii="仿宋_GB2312" w:hAnsi="宋体" w:eastAsia="仿宋_GB2312" w:cs="仿宋_GB2312"/>
                <w:color w:val="000000"/>
                <w:kern w:val="0"/>
                <w:sz w:val="18"/>
                <w:szCs w:val="18"/>
                <w:lang w:val="en-US" w:eastAsia="zh-CN" w:bidi="ar"/>
              </w:rPr>
              <w:t xml:space="preserve">《煤矿领导带班下井及安全监督检查规定》第 </w:t>
            </w:r>
          </w:p>
          <w:p w14:paraId="2E43C394">
            <w:pPr>
              <w:keepNext w:val="0"/>
              <w:keepLines w:val="0"/>
              <w:widowControl/>
              <w:suppressLineNumbers w:val="0"/>
              <w:jc w:val="left"/>
            </w:pPr>
            <w:r>
              <w:rPr>
                <w:rFonts w:hint="eastAsia" w:ascii="仿宋_GB2312" w:hAnsi="宋体" w:eastAsia="仿宋_GB2312" w:cs="仿宋_GB2312"/>
                <w:color w:val="000000"/>
                <w:kern w:val="0"/>
                <w:sz w:val="18"/>
                <w:szCs w:val="18"/>
                <w:lang w:val="en-US" w:eastAsia="zh-CN" w:bidi="ar"/>
              </w:rPr>
              <w:t xml:space="preserve">十三条第二款 煤矿领导带班下井执行情况应 </w:t>
            </w:r>
          </w:p>
          <w:p w14:paraId="1088F54D">
            <w:pPr>
              <w:keepNext w:val="0"/>
              <w:keepLines w:val="0"/>
              <w:widowControl/>
              <w:suppressLineNumbers w:val="0"/>
              <w:jc w:val="left"/>
            </w:pPr>
            <w:r>
              <w:rPr>
                <w:rFonts w:hint="eastAsia" w:ascii="仿宋_GB2312" w:hAnsi="宋体" w:eastAsia="仿宋_GB2312" w:cs="仿宋_GB2312"/>
                <w:color w:val="000000"/>
                <w:kern w:val="0"/>
                <w:sz w:val="18"/>
                <w:szCs w:val="18"/>
                <w:lang w:val="en-US" w:eastAsia="zh-CN" w:bidi="ar"/>
              </w:rPr>
              <w:t>当在当地主要媒体向社会公布，接受社会监督。</w:t>
            </w:r>
          </w:p>
          <w:p w14:paraId="4B756E61">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kern w:val="2"/>
                <w:sz w:val="18"/>
                <w:szCs w:val="18"/>
                <w:lang w:val="en-US" w:eastAsia="zh-CN" w:bidi="ar-SA"/>
              </w:rPr>
            </w:pPr>
          </w:p>
        </w:tc>
        <w:tc>
          <w:tcPr>
            <w:tcW w:w="4082" w:type="dxa"/>
            <w:vMerge w:val="restart"/>
            <w:tcBorders>
              <w:tl2br w:val="nil"/>
              <w:tr2bl w:val="nil"/>
            </w:tcBorders>
            <w:shd w:val="clear" w:color="auto" w:fill="auto"/>
            <w:tcMar>
              <w:top w:w="15" w:type="dxa"/>
              <w:left w:w="15" w:type="dxa"/>
              <w:right w:w="15" w:type="dxa"/>
            </w:tcMar>
            <w:vAlign w:val="center"/>
          </w:tcPr>
          <w:p w14:paraId="7810E83F">
            <w:pPr>
              <w:keepNext w:val="0"/>
              <w:keepLines w:val="0"/>
              <w:widowControl/>
              <w:suppressLineNumbers w:val="0"/>
              <w:jc w:val="left"/>
            </w:pPr>
            <w:r>
              <w:rPr>
                <w:rFonts w:ascii="仿宋_GB2312" w:hAnsi="宋体" w:eastAsia="仿宋_GB2312" w:cs="仿宋_GB2312"/>
                <w:color w:val="000000"/>
                <w:kern w:val="0"/>
                <w:sz w:val="18"/>
                <w:szCs w:val="18"/>
                <w:lang w:val="en-US" w:eastAsia="zh-CN" w:bidi="ar"/>
              </w:rPr>
              <w:t xml:space="preserve">《煤矿领导带班下井及安全监督检查规定》第十八条 </w:t>
            </w:r>
          </w:p>
          <w:p w14:paraId="0739F8F3">
            <w:pPr>
              <w:keepNext w:val="0"/>
              <w:keepLines w:val="0"/>
              <w:widowControl/>
              <w:suppressLineNumbers w:val="0"/>
              <w:jc w:val="left"/>
            </w:pPr>
            <w:r>
              <w:rPr>
                <w:rFonts w:hint="eastAsia" w:ascii="仿宋_GB2312" w:hAnsi="宋体" w:eastAsia="仿宋_GB2312" w:cs="仿宋_GB2312"/>
                <w:color w:val="000000"/>
                <w:kern w:val="0"/>
                <w:sz w:val="18"/>
                <w:szCs w:val="18"/>
                <w:lang w:val="en-US" w:eastAsia="zh-CN" w:bidi="ar"/>
              </w:rPr>
              <w:t>煤矿有下列情形之一的，给予警告，并处3万元罚款； 对煤矿主要负责人处1万元罚款：（四）煤矿领导每 月带班下井情况未按照规定公示的。</w:t>
            </w:r>
          </w:p>
          <w:p w14:paraId="52FF7C47">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kern w:val="2"/>
                <w:sz w:val="18"/>
                <w:szCs w:val="18"/>
                <w:lang w:val="en-US" w:eastAsia="zh-CN" w:bidi="ar-SA"/>
              </w:rPr>
            </w:pPr>
          </w:p>
        </w:tc>
        <w:tc>
          <w:tcPr>
            <w:tcW w:w="459" w:type="dxa"/>
            <w:tcBorders>
              <w:tl2br w:val="nil"/>
              <w:tr2bl w:val="nil"/>
            </w:tcBorders>
            <w:shd w:val="clear" w:color="auto" w:fill="auto"/>
            <w:noWrap/>
            <w:tcMar>
              <w:top w:w="15" w:type="dxa"/>
              <w:left w:w="15" w:type="dxa"/>
              <w:right w:w="15" w:type="dxa"/>
            </w:tcMar>
            <w:vAlign w:val="center"/>
          </w:tcPr>
          <w:p w14:paraId="7DCF6A4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color w:val="auto"/>
                <w:kern w:val="2"/>
                <w:sz w:val="18"/>
                <w:szCs w:val="18"/>
                <w:lang w:val="en-US" w:eastAsia="zh-CN" w:bidi="ar-SA"/>
              </w:rPr>
            </w:pPr>
            <w:r>
              <w:rPr>
                <w:rFonts w:hint="eastAsia" w:ascii="仿宋_GB2312" w:hAnsi="宋体" w:eastAsia="仿宋_GB2312" w:cs="仿宋_GB2312"/>
                <w:color w:val="auto"/>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0A4B46B4">
            <w:pPr>
              <w:keepNext w:val="0"/>
              <w:keepLines w:val="0"/>
              <w:pageBreakBefore w:val="0"/>
              <w:widowControl w:val="0"/>
              <w:kinsoku/>
              <w:wordWrap/>
              <w:overflowPunct w:val="0"/>
              <w:topLinePunct w:val="0"/>
              <w:autoSpaceDE/>
              <w:autoSpaceDN/>
              <w:bidi w:val="0"/>
              <w:adjustRightInd/>
              <w:snapToGrid/>
              <w:spacing w:line="276"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66784127">
            <w:pPr>
              <w:keepNext w:val="0"/>
              <w:keepLines w:val="0"/>
              <w:pageBreakBefore w:val="0"/>
              <w:widowControl w:val="0"/>
              <w:kinsoku/>
              <w:wordWrap/>
              <w:overflowPunct w:val="0"/>
              <w:topLinePunct w:val="0"/>
              <w:autoSpaceDE/>
              <w:autoSpaceDN/>
              <w:bidi w:val="0"/>
              <w:adjustRightInd/>
              <w:snapToGrid/>
              <w:spacing w:line="276"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22494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3"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45C512D">
            <w:pPr>
              <w:keepNext w:val="0"/>
              <w:keepLines w:val="0"/>
              <w:pageBreakBefore w:val="0"/>
              <w:widowControl w:val="0"/>
              <w:kinsoku/>
              <w:wordWrap/>
              <w:overflowPunct w:val="0"/>
              <w:topLinePunct w:val="0"/>
              <w:autoSpaceDE/>
              <w:autoSpaceDN/>
              <w:bidi w:val="0"/>
              <w:adjustRightInd w:val="0"/>
              <w:snapToGrid w:val="0"/>
              <w:spacing w:line="260" w:lineRule="exact"/>
              <w:ind w:left="0" w:leftChars="0" w:right="0" w:rightChars="0" w:firstLine="0" w:firstLineChars="0"/>
              <w:jc w:val="center"/>
              <w:rPr>
                <w:rFonts w:hint="default" w:ascii="仿宋_GB2312" w:hAnsi="宋体" w:eastAsia="仿宋_GB2312" w:cs="仿宋_GB2312"/>
                <w:spacing w:val="-5"/>
                <w:kern w:val="2"/>
                <w:sz w:val="18"/>
                <w:szCs w:val="18"/>
                <w:lang w:val="en-US" w:eastAsia="zh-CN" w:bidi="ar-SA"/>
              </w:rPr>
            </w:pPr>
          </w:p>
        </w:tc>
        <w:tc>
          <w:tcPr>
            <w:tcW w:w="1005" w:type="dxa"/>
            <w:vMerge w:val="continue"/>
            <w:tcBorders>
              <w:tl2br w:val="nil"/>
              <w:tr2bl w:val="nil"/>
            </w:tcBorders>
            <w:shd w:val="clear" w:color="auto" w:fill="auto"/>
            <w:tcMar>
              <w:top w:w="15" w:type="dxa"/>
              <w:left w:w="15" w:type="dxa"/>
              <w:right w:w="15" w:type="dxa"/>
            </w:tcMar>
            <w:vAlign w:val="center"/>
          </w:tcPr>
          <w:p w14:paraId="6AB8040D">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kern w:val="2"/>
                <w:sz w:val="18"/>
                <w:szCs w:val="18"/>
                <w:lang w:val="en-US" w:eastAsia="zh-CN" w:bidi="ar-SA"/>
              </w:rPr>
            </w:pPr>
          </w:p>
        </w:tc>
        <w:tc>
          <w:tcPr>
            <w:tcW w:w="3667" w:type="dxa"/>
            <w:vMerge w:val="continue"/>
            <w:tcBorders>
              <w:tl2br w:val="nil"/>
              <w:tr2bl w:val="nil"/>
            </w:tcBorders>
            <w:shd w:val="clear" w:color="auto" w:fill="auto"/>
            <w:tcMar>
              <w:top w:w="15" w:type="dxa"/>
              <w:left w:w="15" w:type="dxa"/>
              <w:right w:w="15" w:type="dxa"/>
            </w:tcMar>
            <w:vAlign w:val="center"/>
          </w:tcPr>
          <w:p w14:paraId="43E974D1">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kern w:val="2"/>
                <w:sz w:val="18"/>
                <w:szCs w:val="18"/>
                <w:lang w:val="en-US" w:eastAsia="zh-CN" w:bidi="ar-SA"/>
              </w:rPr>
            </w:pPr>
          </w:p>
        </w:tc>
        <w:tc>
          <w:tcPr>
            <w:tcW w:w="4082" w:type="dxa"/>
            <w:vMerge w:val="continue"/>
            <w:tcBorders>
              <w:tl2br w:val="nil"/>
              <w:tr2bl w:val="nil"/>
            </w:tcBorders>
            <w:shd w:val="clear" w:color="auto" w:fill="auto"/>
            <w:tcMar>
              <w:top w:w="15" w:type="dxa"/>
              <w:left w:w="15" w:type="dxa"/>
              <w:right w:w="15" w:type="dxa"/>
            </w:tcMar>
            <w:vAlign w:val="center"/>
          </w:tcPr>
          <w:p w14:paraId="48B180E1">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kern w:val="2"/>
                <w:sz w:val="18"/>
                <w:szCs w:val="18"/>
                <w:lang w:val="en-US" w:eastAsia="zh-CN" w:bidi="ar-SA"/>
              </w:rPr>
            </w:pPr>
          </w:p>
        </w:tc>
        <w:tc>
          <w:tcPr>
            <w:tcW w:w="459" w:type="dxa"/>
            <w:tcBorders>
              <w:tl2br w:val="nil"/>
              <w:tr2bl w:val="nil"/>
            </w:tcBorders>
            <w:shd w:val="clear" w:color="auto" w:fill="auto"/>
            <w:noWrap/>
            <w:tcMar>
              <w:top w:w="15" w:type="dxa"/>
              <w:left w:w="15" w:type="dxa"/>
              <w:right w:w="15" w:type="dxa"/>
            </w:tcMar>
            <w:vAlign w:val="center"/>
          </w:tcPr>
          <w:p w14:paraId="14BD833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color w:val="auto"/>
                <w:kern w:val="2"/>
                <w:sz w:val="18"/>
                <w:szCs w:val="18"/>
                <w:lang w:val="en-US" w:eastAsia="zh-CN" w:bidi="ar-SA"/>
              </w:rPr>
            </w:pPr>
            <w:r>
              <w:rPr>
                <w:rFonts w:hint="eastAsia" w:ascii="仿宋_GB2312" w:hAnsi="宋体" w:eastAsia="仿宋_GB2312" w:cs="仿宋_GB2312"/>
                <w:color w:val="auto"/>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2AD1A51A">
            <w:pPr>
              <w:keepNext w:val="0"/>
              <w:keepLines w:val="0"/>
              <w:pageBreakBefore w:val="0"/>
              <w:widowControl w:val="0"/>
              <w:kinsoku/>
              <w:wordWrap/>
              <w:overflowPunct w:val="0"/>
              <w:topLinePunct w:val="0"/>
              <w:autoSpaceDE/>
              <w:autoSpaceDN/>
              <w:bidi w:val="0"/>
              <w:adjustRightInd/>
              <w:snapToGrid/>
              <w:spacing w:line="276"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36306255">
            <w:pPr>
              <w:keepNext w:val="0"/>
              <w:keepLines w:val="0"/>
              <w:pageBreakBefore w:val="0"/>
              <w:widowControl w:val="0"/>
              <w:kinsoku/>
              <w:wordWrap/>
              <w:overflowPunct w:val="0"/>
              <w:topLinePunct w:val="0"/>
              <w:autoSpaceDE/>
              <w:autoSpaceDN/>
              <w:bidi w:val="0"/>
              <w:adjustRightInd/>
              <w:snapToGrid/>
              <w:spacing w:line="276"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54F75C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3"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9D28F4F">
            <w:pPr>
              <w:keepNext w:val="0"/>
              <w:keepLines w:val="0"/>
              <w:pageBreakBefore w:val="0"/>
              <w:widowControl w:val="0"/>
              <w:kinsoku/>
              <w:wordWrap/>
              <w:overflowPunct w:val="0"/>
              <w:topLinePunct w:val="0"/>
              <w:autoSpaceDE/>
              <w:autoSpaceDN/>
              <w:bidi w:val="0"/>
              <w:adjustRightInd w:val="0"/>
              <w:snapToGrid w:val="0"/>
              <w:spacing w:line="260" w:lineRule="exact"/>
              <w:ind w:left="0" w:leftChars="0" w:right="0" w:rightChars="0" w:firstLine="0" w:firstLineChars="0"/>
              <w:jc w:val="center"/>
              <w:rPr>
                <w:rFonts w:hint="default" w:ascii="仿宋_GB2312" w:hAnsi="宋体" w:eastAsia="仿宋_GB2312" w:cs="仿宋_GB2312"/>
                <w:spacing w:val="-5"/>
                <w:kern w:val="2"/>
                <w:sz w:val="18"/>
                <w:szCs w:val="18"/>
                <w:lang w:val="en-US" w:eastAsia="zh-CN" w:bidi="ar-SA"/>
              </w:rPr>
            </w:pPr>
          </w:p>
        </w:tc>
        <w:tc>
          <w:tcPr>
            <w:tcW w:w="1005" w:type="dxa"/>
            <w:vMerge w:val="continue"/>
            <w:tcBorders>
              <w:tl2br w:val="nil"/>
              <w:tr2bl w:val="nil"/>
            </w:tcBorders>
            <w:shd w:val="clear" w:color="auto" w:fill="auto"/>
            <w:tcMar>
              <w:top w:w="15" w:type="dxa"/>
              <w:left w:w="15" w:type="dxa"/>
              <w:right w:w="15" w:type="dxa"/>
            </w:tcMar>
            <w:vAlign w:val="center"/>
          </w:tcPr>
          <w:p w14:paraId="4C64526F">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kern w:val="2"/>
                <w:sz w:val="18"/>
                <w:szCs w:val="18"/>
                <w:lang w:val="en-US" w:eastAsia="zh-CN" w:bidi="ar-SA"/>
              </w:rPr>
            </w:pPr>
          </w:p>
        </w:tc>
        <w:tc>
          <w:tcPr>
            <w:tcW w:w="3667" w:type="dxa"/>
            <w:vMerge w:val="continue"/>
            <w:tcBorders>
              <w:tl2br w:val="nil"/>
              <w:tr2bl w:val="nil"/>
            </w:tcBorders>
            <w:shd w:val="clear" w:color="auto" w:fill="auto"/>
            <w:tcMar>
              <w:top w:w="15" w:type="dxa"/>
              <w:left w:w="15" w:type="dxa"/>
              <w:right w:w="15" w:type="dxa"/>
            </w:tcMar>
            <w:vAlign w:val="center"/>
          </w:tcPr>
          <w:p w14:paraId="11FDD997">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kern w:val="2"/>
                <w:sz w:val="18"/>
                <w:szCs w:val="18"/>
                <w:lang w:val="en-US" w:eastAsia="zh-CN" w:bidi="ar-SA"/>
              </w:rPr>
            </w:pPr>
          </w:p>
        </w:tc>
        <w:tc>
          <w:tcPr>
            <w:tcW w:w="4082" w:type="dxa"/>
            <w:vMerge w:val="continue"/>
            <w:tcBorders>
              <w:tl2br w:val="nil"/>
              <w:tr2bl w:val="nil"/>
            </w:tcBorders>
            <w:shd w:val="clear" w:color="auto" w:fill="auto"/>
            <w:tcMar>
              <w:top w:w="15" w:type="dxa"/>
              <w:left w:w="15" w:type="dxa"/>
              <w:right w:w="15" w:type="dxa"/>
            </w:tcMar>
            <w:vAlign w:val="center"/>
          </w:tcPr>
          <w:p w14:paraId="23C8BB36">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kern w:val="2"/>
                <w:sz w:val="18"/>
                <w:szCs w:val="18"/>
                <w:lang w:val="en-US" w:eastAsia="zh-CN" w:bidi="ar-SA"/>
              </w:rPr>
            </w:pPr>
          </w:p>
        </w:tc>
        <w:tc>
          <w:tcPr>
            <w:tcW w:w="459" w:type="dxa"/>
            <w:tcBorders>
              <w:tl2br w:val="nil"/>
              <w:tr2bl w:val="nil"/>
            </w:tcBorders>
            <w:shd w:val="clear" w:color="auto" w:fill="auto"/>
            <w:noWrap/>
            <w:tcMar>
              <w:top w:w="15" w:type="dxa"/>
              <w:left w:w="15" w:type="dxa"/>
              <w:right w:w="15" w:type="dxa"/>
            </w:tcMar>
            <w:vAlign w:val="center"/>
          </w:tcPr>
          <w:p w14:paraId="3C5900D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color w:val="auto"/>
                <w:kern w:val="2"/>
                <w:sz w:val="18"/>
                <w:szCs w:val="18"/>
                <w:lang w:val="en-US" w:eastAsia="zh-CN" w:bidi="ar-SA"/>
              </w:rPr>
            </w:pPr>
            <w:r>
              <w:rPr>
                <w:rFonts w:hint="eastAsia" w:ascii="仿宋_GB2312" w:hAnsi="宋体" w:eastAsia="仿宋_GB2312" w:cs="仿宋_GB2312"/>
                <w:color w:val="auto"/>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54EB6A96">
            <w:pPr>
              <w:keepNext w:val="0"/>
              <w:keepLines w:val="0"/>
              <w:pageBreakBefore w:val="0"/>
              <w:widowControl w:val="0"/>
              <w:kinsoku/>
              <w:wordWrap/>
              <w:overflowPunct w:val="0"/>
              <w:topLinePunct w:val="0"/>
              <w:autoSpaceDE/>
              <w:autoSpaceDN/>
              <w:bidi w:val="0"/>
              <w:adjustRightInd/>
              <w:snapToGrid/>
              <w:spacing w:line="276"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654E2E50">
            <w:pPr>
              <w:keepNext w:val="0"/>
              <w:keepLines w:val="0"/>
              <w:pageBreakBefore w:val="0"/>
              <w:widowControl w:val="0"/>
              <w:kinsoku/>
              <w:wordWrap/>
              <w:overflowPunct w:val="0"/>
              <w:topLinePunct w:val="0"/>
              <w:autoSpaceDE/>
              <w:autoSpaceDN/>
              <w:bidi w:val="0"/>
              <w:adjustRightInd/>
              <w:snapToGrid/>
              <w:spacing w:line="276"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201CAF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3"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3D0E29C">
            <w:pPr>
              <w:keepNext w:val="0"/>
              <w:keepLines w:val="0"/>
              <w:pageBreakBefore w:val="0"/>
              <w:widowControl w:val="0"/>
              <w:kinsoku/>
              <w:wordWrap/>
              <w:overflowPunct w:val="0"/>
              <w:topLinePunct w:val="0"/>
              <w:autoSpaceDE/>
              <w:autoSpaceDN/>
              <w:bidi w:val="0"/>
              <w:adjustRightInd w:val="0"/>
              <w:snapToGrid w:val="0"/>
              <w:spacing w:line="260" w:lineRule="exact"/>
              <w:ind w:left="0" w:leftChars="0" w:right="0" w:rightChars="0" w:firstLine="0" w:firstLineChars="0"/>
              <w:jc w:val="center"/>
              <w:rPr>
                <w:rFonts w:hint="default" w:ascii="仿宋_GB2312" w:hAnsi="宋体" w:eastAsia="仿宋_GB2312" w:cs="仿宋_GB2312"/>
                <w:spacing w:val="-5"/>
                <w:kern w:val="2"/>
                <w:sz w:val="18"/>
                <w:szCs w:val="18"/>
                <w:lang w:val="en-US" w:eastAsia="zh-CN" w:bidi="ar-SA"/>
              </w:rPr>
            </w:pPr>
          </w:p>
        </w:tc>
        <w:tc>
          <w:tcPr>
            <w:tcW w:w="1005" w:type="dxa"/>
            <w:vMerge w:val="continue"/>
            <w:tcBorders>
              <w:tl2br w:val="nil"/>
              <w:tr2bl w:val="nil"/>
            </w:tcBorders>
            <w:shd w:val="clear" w:color="auto" w:fill="auto"/>
            <w:tcMar>
              <w:top w:w="15" w:type="dxa"/>
              <w:left w:w="15" w:type="dxa"/>
              <w:right w:w="15" w:type="dxa"/>
            </w:tcMar>
            <w:vAlign w:val="center"/>
          </w:tcPr>
          <w:p w14:paraId="1643BE99">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kern w:val="2"/>
                <w:sz w:val="18"/>
                <w:szCs w:val="18"/>
                <w:lang w:val="en-US" w:eastAsia="zh-CN" w:bidi="ar-SA"/>
              </w:rPr>
            </w:pPr>
          </w:p>
        </w:tc>
        <w:tc>
          <w:tcPr>
            <w:tcW w:w="3667" w:type="dxa"/>
            <w:vMerge w:val="continue"/>
            <w:tcBorders>
              <w:tl2br w:val="nil"/>
              <w:tr2bl w:val="nil"/>
            </w:tcBorders>
            <w:shd w:val="clear" w:color="auto" w:fill="auto"/>
            <w:tcMar>
              <w:top w:w="15" w:type="dxa"/>
              <w:left w:w="15" w:type="dxa"/>
              <w:right w:w="15" w:type="dxa"/>
            </w:tcMar>
            <w:vAlign w:val="center"/>
          </w:tcPr>
          <w:p w14:paraId="5E50F923">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kern w:val="2"/>
                <w:sz w:val="18"/>
                <w:szCs w:val="18"/>
                <w:lang w:val="en-US" w:eastAsia="zh-CN" w:bidi="ar-SA"/>
              </w:rPr>
            </w:pPr>
          </w:p>
        </w:tc>
        <w:tc>
          <w:tcPr>
            <w:tcW w:w="4082" w:type="dxa"/>
            <w:vMerge w:val="continue"/>
            <w:tcBorders>
              <w:tl2br w:val="nil"/>
              <w:tr2bl w:val="nil"/>
            </w:tcBorders>
            <w:shd w:val="clear" w:color="auto" w:fill="auto"/>
            <w:tcMar>
              <w:top w:w="15" w:type="dxa"/>
              <w:left w:w="15" w:type="dxa"/>
              <w:right w:w="15" w:type="dxa"/>
            </w:tcMar>
            <w:vAlign w:val="center"/>
          </w:tcPr>
          <w:p w14:paraId="1E940D32">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kern w:val="2"/>
                <w:sz w:val="18"/>
                <w:szCs w:val="18"/>
                <w:lang w:val="en-US" w:eastAsia="zh-CN" w:bidi="ar-SA"/>
              </w:rPr>
            </w:pPr>
          </w:p>
        </w:tc>
        <w:tc>
          <w:tcPr>
            <w:tcW w:w="459" w:type="dxa"/>
            <w:tcBorders>
              <w:tl2br w:val="nil"/>
              <w:tr2bl w:val="nil"/>
            </w:tcBorders>
            <w:shd w:val="clear" w:color="auto" w:fill="auto"/>
            <w:noWrap/>
            <w:tcMar>
              <w:top w:w="15" w:type="dxa"/>
              <w:left w:w="15" w:type="dxa"/>
              <w:right w:w="15" w:type="dxa"/>
            </w:tcMar>
            <w:vAlign w:val="center"/>
          </w:tcPr>
          <w:p w14:paraId="4FE1C2B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color w:val="auto"/>
                <w:kern w:val="2"/>
                <w:sz w:val="18"/>
                <w:szCs w:val="18"/>
                <w:lang w:val="en-US" w:eastAsia="zh-CN" w:bidi="ar-SA"/>
              </w:rPr>
            </w:pPr>
            <w:r>
              <w:rPr>
                <w:rFonts w:hint="eastAsia" w:ascii="仿宋_GB2312" w:hAnsi="宋体" w:eastAsia="仿宋_GB2312" w:cs="仿宋_GB2312"/>
                <w:color w:val="auto"/>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1A773D2A">
            <w:pPr>
              <w:keepNext w:val="0"/>
              <w:keepLines w:val="0"/>
              <w:pageBreakBefore w:val="0"/>
              <w:widowControl w:val="0"/>
              <w:kinsoku/>
              <w:wordWrap/>
              <w:overflowPunct w:val="0"/>
              <w:topLinePunct w:val="0"/>
              <w:autoSpaceDE/>
              <w:autoSpaceDN/>
              <w:bidi w:val="0"/>
              <w:adjustRightInd w:val="0"/>
              <w:snapToGrid w:val="0"/>
              <w:spacing w:line="260" w:lineRule="exact"/>
              <w:jc w:val="center"/>
              <w:textAlignment w:val="center"/>
              <w:rPr>
                <w:rFonts w:hint="eastAsia" w:ascii="仿宋_GB2312" w:hAnsi="宋体" w:eastAsia="仿宋_GB2312" w:cs="仿宋_GB2312"/>
                <w:spacing w:val="-5"/>
                <w:kern w:val="2"/>
                <w:sz w:val="18"/>
                <w:szCs w:val="18"/>
                <w:lang w:val="en-US" w:eastAsia="zh-CN" w:bidi="ar-SA"/>
              </w:rPr>
            </w:pPr>
            <w:r>
              <w:rPr>
                <w:rFonts w:hint="eastAsia" w:ascii="仿宋_GB2312" w:hAnsi="宋体" w:eastAsia="仿宋_GB2312" w:cs="仿宋_GB2312"/>
                <w:kern w:val="0"/>
                <w:sz w:val="18"/>
                <w:szCs w:val="18"/>
                <w:lang w:bidi="ar"/>
              </w:rPr>
              <w:t>无</w:t>
            </w:r>
          </w:p>
        </w:tc>
        <w:tc>
          <w:tcPr>
            <w:tcW w:w="2655" w:type="dxa"/>
            <w:tcBorders>
              <w:tl2br w:val="nil"/>
              <w:tr2bl w:val="nil"/>
            </w:tcBorders>
            <w:shd w:val="clear" w:color="auto" w:fill="auto"/>
            <w:tcMar>
              <w:top w:w="15" w:type="dxa"/>
              <w:left w:w="15" w:type="dxa"/>
              <w:right w:w="15" w:type="dxa"/>
            </w:tcMar>
            <w:vAlign w:val="center"/>
          </w:tcPr>
          <w:p w14:paraId="110ACAD0">
            <w:pPr>
              <w:keepNext w:val="0"/>
              <w:keepLines w:val="0"/>
              <w:pageBreakBefore w:val="0"/>
              <w:widowControl w:val="0"/>
              <w:kinsoku/>
              <w:wordWrap/>
              <w:overflowPunct w:val="0"/>
              <w:topLinePunct w:val="0"/>
              <w:autoSpaceDE/>
              <w:autoSpaceDN/>
              <w:bidi w:val="0"/>
              <w:adjustRightInd w:val="0"/>
              <w:snapToGrid w:val="0"/>
              <w:spacing w:line="260" w:lineRule="exact"/>
              <w:jc w:val="center"/>
              <w:textAlignment w:val="center"/>
              <w:rPr>
                <w:rFonts w:hint="eastAsia" w:ascii="仿宋_GB2312" w:hAnsi="宋体" w:eastAsia="仿宋_GB2312" w:cs="仿宋_GB2312"/>
                <w:spacing w:val="-5"/>
                <w:kern w:val="2"/>
                <w:sz w:val="18"/>
                <w:szCs w:val="18"/>
                <w:lang w:val="en-US" w:eastAsia="zh-CN" w:bidi="ar-SA"/>
              </w:rPr>
            </w:pPr>
            <w:r>
              <w:rPr>
                <w:rFonts w:hint="eastAsia" w:ascii="仿宋_GB2312" w:hAnsi="宋体" w:eastAsia="仿宋_GB2312" w:cs="仿宋_GB2312"/>
                <w:kern w:val="0"/>
                <w:sz w:val="18"/>
                <w:szCs w:val="18"/>
                <w:lang w:bidi="ar"/>
              </w:rPr>
              <w:t>无</w:t>
            </w:r>
          </w:p>
        </w:tc>
      </w:tr>
      <w:tr w14:paraId="5EB1AA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3"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2E5E839">
            <w:pPr>
              <w:keepNext w:val="0"/>
              <w:keepLines w:val="0"/>
              <w:pageBreakBefore w:val="0"/>
              <w:widowControl w:val="0"/>
              <w:kinsoku/>
              <w:wordWrap/>
              <w:overflowPunct w:val="0"/>
              <w:topLinePunct w:val="0"/>
              <w:autoSpaceDE/>
              <w:autoSpaceDN/>
              <w:bidi w:val="0"/>
              <w:adjustRightInd w:val="0"/>
              <w:snapToGrid w:val="0"/>
              <w:spacing w:line="260" w:lineRule="exact"/>
              <w:ind w:left="0" w:leftChars="0" w:right="0" w:rightChars="0" w:firstLine="0" w:firstLineChars="0"/>
              <w:jc w:val="center"/>
              <w:rPr>
                <w:rFonts w:hint="default" w:ascii="仿宋_GB2312" w:hAnsi="宋体" w:eastAsia="仿宋_GB2312" w:cs="仿宋_GB2312"/>
                <w:spacing w:val="-5"/>
                <w:kern w:val="2"/>
                <w:sz w:val="18"/>
                <w:szCs w:val="18"/>
                <w:lang w:val="en-US" w:eastAsia="zh-CN" w:bidi="ar-SA"/>
              </w:rPr>
            </w:pPr>
          </w:p>
        </w:tc>
        <w:tc>
          <w:tcPr>
            <w:tcW w:w="1005" w:type="dxa"/>
            <w:vMerge w:val="continue"/>
            <w:tcBorders>
              <w:tl2br w:val="nil"/>
              <w:tr2bl w:val="nil"/>
            </w:tcBorders>
            <w:shd w:val="clear" w:color="auto" w:fill="auto"/>
            <w:tcMar>
              <w:top w:w="15" w:type="dxa"/>
              <w:left w:w="15" w:type="dxa"/>
              <w:right w:w="15" w:type="dxa"/>
            </w:tcMar>
            <w:vAlign w:val="center"/>
          </w:tcPr>
          <w:p w14:paraId="1C8D6C6F">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kern w:val="2"/>
                <w:sz w:val="18"/>
                <w:szCs w:val="18"/>
                <w:lang w:val="en-US" w:eastAsia="zh-CN" w:bidi="ar-SA"/>
              </w:rPr>
            </w:pPr>
          </w:p>
        </w:tc>
        <w:tc>
          <w:tcPr>
            <w:tcW w:w="3667" w:type="dxa"/>
            <w:vMerge w:val="continue"/>
            <w:tcBorders>
              <w:tl2br w:val="nil"/>
              <w:tr2bl w:val="nil"/>
            </w:tcBorders>
            <w:shd w:val="clear" w:color="auto" w:fill="auto"/>
            <w:tcMar>
              <w:top w:w="15" w:type="dxa"/>
              <w:left w:w="15" w:type="dxa"/>
              <w:right w:w="15" w:type="dxa"/>
            </w:tcMar>
            <w:vAlign w:val="center"/>
          </w:tcPr>
          <w:p w14:paraId="77003E4C">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kern w:val="2"/>
                <w:sz w:val="18"/>
                <w:szCs w:val="18"/>
                <w:lang w:val="en-US" w:eastAsia="zh-CN" w:bidi="ar-SA"/>
              </w:rPr>
            </w:pPr>
          </w:p>
        </w:tc>
        <w:tc>
          <w:tcPr>
            <w:tcW w:w="4082" w:type="dxa"/>
            <w:vMerge w:val="continue"/>
            <w:tcBorders>
              <w:tl2br w:val="nil"/>
              <w:tr2bl w:val="nil"/>
            </w:tcBorders>
            <w:shd w:val="clear" w:color="auto" w:fill="auto"/>
            <w:tcMar>
              <w:top w:w="15" w:type="dxa"/>
              <w:left w:w="15" w:type="dxa"/>
              <w:right w:w="15" w:type="dxa"/>
            </w:tcMar>
            <w:vAlign w:val="center"/>
          </w:tcPr>
          <w:p w14:paraId="2C372FDF">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kern w:val="2"/>
                <w:sz w:val="18"/>
                <w:szCs w:val="18"/>
                <w:lang w:val="en-US" w:eastAsia="zh-CN" w:bidi="ar-SA"/>
              </w:rPr>
            </w:pPr>
          </w:p>
        </w:tc>
        <w:tc>
          <w:tcPr>
            <w:tcW w:w="459" w:type="dxa"/>
            <w:tcBorders>
              <w:tl2br w:val="nil"/>
              <w:tr2bl w:val="nil"/>
            </w:tcBorders>
            <w:shd w:val="clear" w:color="auto" w:fill="auto"/>
            <w:noWrap/>
            <w:tcMar>
              <w:top w:w="15" w:type="dxa"/>
              <w:left w:w="15" w:type="dxa"/>
              <w:right w:w="15" w:type="dxa"/>
            </w:tcMar>
            <w:vAlign w:val="center"/>
          </w:tcPr>
          <w:p w14:paraId="7CB598B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color w:val="auto"/>
                <w:kern w:val="2"/>
                <w:sz w:val="18"/>
                <w:szCs w:val="18"/>
                <w:lang w:val="en-US" w:eastAsia="zh-CN" w:bidi="ar-SA"/>
              </w:rPr>
            </w:pPr>
            <w:r>
              <w:rPr>
                <w:rFonts w:hint="eastAsia" w:ascii="仿宋_GB2312" w:hAnsi="宋体" w:eastAsia="仿宋_GB2312" w:cs="仿宋_GB2312"/>
                <w:color w:val="auto"/>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045D1F05">
            <w:pPr>
              <w:keepNext w:val="0"/>
              <w:keepLines w:val="0"/>
              <w:widowControl/>
              <w:suppressLineNumbers w:val="0"/>
              <w:jc w:val="left"/>
            </w:pPr>
            <w:r>
              <w:rPr>
                <w:rFonts w:ascii="仿宋_GB2312" w:hAnsi="宋体" w:eastAsia="仿宋_GB2312" w:cs="仿宋_GB2312"/>
                <w:color w:val="000000"/>
                <w:kern w:val="0"/>
                <w:sz w:val="18"/>
                <w:szCs w:val="18"/>
                <w:lang w:val="en-US" w:eastAsia="zh-CN" w:bidi="ar"/>
              </w:rPr>
              <w:t xml:space="preserve">煤矿领导每月带班下 </w:t>
            </w:r>
          </w:p>
          <w:p w14:paraId="7542E4BD">
            <w:pPr>
              <w:keepNext w:val="0"/>
              <w:keepLines w:val="0"/>
              <w:widowControl/>
              <w:suppressLineNumbers w:val="0"/>
              <w:jc w:val="left"/>
            </w:pPr>
            <w:r>
              <w:rPr>
                <w:rFonts w:hint="eastAsia" w:ascii="仿宋_GB2312" w:hAnsi="宋体" w:eastAsia="仿宋_GB2312" w:cs="仿宋_GB2312"/>
                <w:color w:val="000000"/>
                <w:kern w:val="0"/>
                <w:sz w:val="18"/>
                <w:szCs w:val="18"/>
                <w:lang w:val="en-US" w:eastAsia="zh-CN" w:bidi="ar"/>
              </w:rPr>
              <w:t xml:space="preserve">井情况未按照规定公 </w:t>
            </w:r>
          </w:p>
          <w:p w14:paraId="15496E0C">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宋体" w:eastAsia="仿宋_GB2312" w:cs="仿宋_GB2312"/>
                <w:spacing w:val="-5"/>
                <w:kern w:val="2"/>
                <w:sz w:val="18"/>
                <w:szCs w:val="18"/>
                <w:lang w:val="en-US" w:eastAsia="zh-CN" w:bidi="ar-SA"/>
              </w:rPr>
            </w:pPr>
            <w:r>
              <w:rPr>
                <w:rFonts w:hint="eastAsia" w:ascii="仿宋_GB2312" w:hAnsi="宋体" w:eastAsia="仿宋_GB2312" w:cs="仿宋_GB2312"/>
                <w:color w:val="000000"/>
                <w:kern w:val="0"/>
                <w:sz w:val="18"/>
                <w:szCs w:val="18"/>
                <w:lang w:val="en-US" w:eastAsia="zh-CN" w:bidi="ar"/>
              </w:rPr>
              <w:t>示的。</w:t>
            </w:r>
          </w:p>
        </w:tc>
        <w:tc>
          <w:tcPr>
            <w:tcW w:w="2655" w:type="dxa"/>
            <w:tcBorders>
              <w:tl2br w:val="nil"/>
              <w:tr2bl w:val="nil"/>
            </w:tcBorders>
            <w:shd w:val="clear" w:color="auto" w:fill="auto"/>
            <w:tcMar>
              <w:top w:w="15" w:type="dxa"/>
              <w:left w:w="15" w:type="dxa"/>
              <w:right w:w="15" w:type="dxa"/>
            </w:tcMar>
            <w:vAlign w:val="center"/>
          </w:tcPr>
          <w:p w14:paraId="4DBF53E8">
            <w:pPr>
              <w:keepNext w:val="0"/>
              <w:keepLines w:val="0"/>
              <w:pageBreakBefore w:val="0"/>
              <w:widowControl w:val="0"/>
              <w:kinsoku/>
              <w:wordWrap/>
              <w:overflowPunct w:val="0"/>
              <w:topLinePunct w:val="0"/>
              <w:autoSpaceDE/>
              <w:autoSpaceDN/>
              <w:bidi w:val="0"/>
              <w:adjustRightInd w:val="0"/>
              <w:snapToGrid w:val="0"/>
              <w:spacing w:line="260" w:lineRule="exact"/>
              <w:jc w:val="center"/>
              <w:textAlignment w:val="center"/>
              <w:rPr>
                <w:rFonts w:hint="eastAsia" w:ascii="仿宋_GB2312" w:hAnsi="宋体" w:eastAsia="仿宋_GB2312" w:cs="仿宋_GB2312"/>
                <w:spacing w:val="-5"/>
                <w:sz w:val="18"/>
                <w:szCs w:val="18"/>
              </w:rPr>
            </w:pPr>
            <w:r>
              <w:rPr>
                <w:rFonts w:hint="eastAsia" w:ascii="仿宋_GB2312" w:hAnsi="宋体" w:eastAsia="仿宋_GB2312" w:cs="仿宋_GB2312"/>
                <w:spacing w:val="-5"/>
                <w:sz w:val="18"/>
                <w:szCs w:val="18"/>
              </w:rPr>
              <w:t>给予警告，并处3万元罚款；对煤</w:t>
            </w:r>
          </w:p>
          <w:p w14:paraId="70D46A7A">
            <w:pPr>
              <w:keepNext w:val="0"/>
              <w:keepLines w:val="0"/>
              <w:pageBreakBefore w:val="0"/>
              <w:widowControl w:val="0"/>
              <w:kinsoku/>
              <w:wordWrap/>
              <w:overflowPunct w:val="0"/>
              <w:topLinePunct w:val="0"/>
              <w:autoSpaceDE/>
              <w:autoSpaceDN/>
              <w:bidi w:val="0"/>
              <w:adjustRightInd w:val="0"/>
              <w:snapToGrid w:val="0"/>
              <w:spacing w:line="260" w:lineRule="exact"/>
              <w:jc w:val="center"/>
              <w:textAlignment w:val="center"/>
              <w:rPr>
                <w:rFonts w:hint="eastAsia" w:ascii="仿宋_GB2312" w:hAnsi="宋体" w:eastAsia="仿宋_GB2312" w:cs="仿宋_GB2312"/>
                <w:spacing w:val="-5"/>
                <w:sz w:val="18"/>
                <w:szCs w:val="18"/>
              </w:rPr>
            </w:pPr>
            <w:r>
              <w:rPr>
                <w:rFonts w:hint="eastAsia" w:ascii="仿宋_GB2312" w:hAnsi="宋体" w:eastAsia="仿宋_GB2312" w:cs="仿宋_GB2312"/>
                <w:spacing w:val="-5"/>
                <w:sz w:val="18"/>
                <w:szCs w:val="18"/>
              </w:rPr>
              <w:t>矿主要负责人处1万元罚款。</w:t>
            </w:r>
          </w:p>
          <w:p w14:paraId="3131A457">
            <w:pPr>
              <w:keepNext w:val="0"/>
              <w:keepLines w:val="0"/>
              <w:pageBreakBefore w:val="0"/>
              <w:widowControl w:val="0"/>
              <w:kinsoku/>
              <w:wordWrap/>
              <w:overflowPunct w:val="0"/>
              <w:topLinePunct w:val="0"/>
              <w:autoSpaceDE/>
              <w:autoSpaceDN/>
              <w:bidi w:val="0"/>
              <w:adjustRightInd w:val="0"/>
              <w:snapToGrid w:val="0"/>
              <w:spacing w:line="260" w:lineRule="exact"/>
              <w:jc w:val="center"/>
              <w:textAlignment w:val="center"/>
              <w:rPr>
                <w:rFonts w:hint="eastAsia" w:ascii="仿宋_GB2312" w:hAnsi="宋体" w:eastAsia="仿宋_GB2312" w:cs="仿宋_GB2312"/>
                <w:spacing w:val="-5"/>
                <w:kern w:val="2"/>
                <w:sz w:val="18"/>
                <w:szCs w:val="18"/>
                <w:lang w:val="en-US" w:eastAsia="zh-CN" w:bidi="ar-SA"/>
              </w:rPr>
            </w:pPr>
          </w:p>
        </w:tc>
      </w:tr>
      <w:tr w14:paraId="02192B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3" w:hRule="atLeast"/>
          <w:jc w:val="center"/>
        </w:trPr>
        <w:tc>
          <w:tcPr>
            <w:tcW w:w="418" w:type="dxa"/>
            <w:vMerge w:val="continue"/>
            <w:tcBorders>
              <w:bottom w:val="single" w:color="auto" w:sz="4" w:space="0"/>
              <w:tl2br w:val="nil"/>
              <w:tr2bl w:val="nil"/>
            </w:tcBorders>
            <w:shd w:val="clear" w:color="auto" w:fill="auto"/>
            <w:noWrap/>
            <w:tcMar>
              <w:top w:w="15" w:type="dxa"/>
              <w:left w:w="15" w:type="dxa"/>
              <w:right w:w="15" w:type="dxa"/>
            </w:tcMar>
            <w:vAlign w:val="center"/>
          </w:tcPr>
          <w:p w14:paraId="37733A91">
            <w:pPr>
              <w:keepNext w:val="0"/>
              <w:keepLines w:val="0"/>
              <w:pageBreakBefore w:val="0"/>
              <w:widowControl w:val="0"/>
              <w:kinsoku/>
              <w:wordWrap/>
              <w:overflowPunct w:val="0"/>
              <w:topLinePunct w:val="0"/>
              <w:autoSpaceDE/>
              <w:autoSpaceDN/>
              <w:bidi w:val="0"/>
              <w:adjustRightInd w:val="0"/>
              <w:snapToGrid w:val="0"/>
              <w:spacing w:line="260" w:lineRule="exact"/>
              <w:ind w:left="0" w:leftChars="0" w:right="0" w:rightChars="0" w:firstLine="0" w:firstLineChars="0"/>
              <w:jc w:val="center"/>
              <w:rPr>
                <w:rFonts w:hint="default" w:ascii="仿宋_GB2312" w:hAnsi="宋体" w:eastAsia="仿宋_GB2312" w:cs="仿宋_GB2312"/>
                <w:spacing w:val="-5"/>
                <w:kern w:val="2"/>
                <w:sz w:val="18"/>
                <w:szCs w:val="18"/>
                <w:lang w:val="en-US" w:eastAsia="zh-CN" w:bidi="ar-SA"/>
              </w:rPr>
            </w:pPr>
          </w:p>
        </w:tc>
        <w:tc>
          <w:tcPr>
            <w:tcW w:w="1005" w:type="dxa"/>
            <w:vMerge w:val="continue"/>
            <w:tcBorders>
              <w:bottom w:val="single" w:color="auto" w:sz="4" w:space="0"/>
              <w:tl2br w:val="nil"/>
              <w:tr2bl w:val="nil"/>
            </w:tcBorders>
            <w:shd w:val="clear" w:color="auto" w:fill="auto"/>
            <w:tcMar>
              <w:top w:w="15" w:type="dxa"/>
              <w:left w:w="15" w:type="dxa"/>
              <w:right w:w="15" w:type="dxa"/>
            </w:tcMar>
            <w:vAlign w:val="center"/>
          </w:tcPr>
          <w:p w14:paraId="3C5C4240">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kern w:val="2"/>
                <w:sz w:val="18"/>
                <w:szCs w:val="18"/>
                <w:lang w:val="en-US" w:eastAsia="zh-CN" w:bidi="ar-SA"/>
              </w:rPr>
            </w:pPr>
          </w:p>
        </w:tc>
        <w:tc>
          <w:tcPr>
            <w:tcW w:w="3667" w:type="dxa"/>
            <w:vMerge w:val="continue"/>
            <w:tcBorders>
              <w:bottom w:val="single" w:color="auto" w:sz="4" w:space="0"/>
              <w:tl2br w:val="nil"/>
              <w:tr2bl w:val="nil"/>
            </w:tcBorders>
            <w:shd w:val="clear" w:color="auto" w:fill="auto"/>
            <w:tcMar>
              <w:top w:w="15" w:type="dxa"/>
              <w:left w:w="15" w:type="dxa"/>
              <w:right w:w="15" w:type="dxa"/>
            </w:tcMar>
            <w:vAlign w:val="center"/>
          </w:tcPr>
          <w:p w14:paraId="4EE9006B">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kern w:val="2"/>
                <w:sz w:val="18"/>
                <w:szCs w:val="18"/>
                <w:lang w:val="en-US" w:eastAsia="zh-CN" w:bidi="ar-SA"/>
              </w:rPr>
            </w:pPr>
          </w:p>
        </w:tc>
        <w:tc>
          <w:tcPr>
            <w:tcW w:w="4082" w:type="dxa"/>
            <w:vMerge w:val="continue"/>
            <w:tcBorders>
              <w:bottom w:val="single" w:color="auto" w:sz="4" w:space="0"/>
              <w:tl2br w:val="nil"/>
              <w:tr2bl w:val="nil"/>
            </w:tcBorders>
            <w:shd w:val="clear" w:color="auto" w:fill="auto"/>
            <w:tcMar>
              <w:top w:w="15" w:type="dxa"/>
              <w:left w:w="15" w:type="dxa"/>
              <w:right w:w="15" w:type="dxa"/>
            </w:tcMar>
            <w:vAlign w:val="center"/>
          </w:tcPr>
          <w:p w14:paraId="05C0DE55">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kern w:val="2"/>
                <w:sz w:val="18"/>
                <w:szCs w:val="18"/>
                <w:lang w:val="en-US" w:eastAsia="zh-CN" w:bidi="ar-SA"/>
              </w:rPr>
            </w:pPr>
          </w:p>
        </w:tc>
        <w:tc>
          <w:tcPr>
            <w:tcW w:w="459" w:type="dxa"/>
            <w:tcBorders>
              <w:tl2br w:val="nil"/>
              <w:tr2bl w:val="nil"/>
            </w:tcBorders>
            <w:shd w:val="clear" w:color="auto" w:fill="auto"/>
            <w:noWrap/>
            <w:tcMar>
              <w:top w:w="15" w:type="dxa"/>
              <w:left w:w="15" w:type="dxa"/>
              <w:right w:w="15" w:type="dxa"/>
            </w:tcMar>
            <w:vAlign w:val="center"/>
          </w:tcPr>
          <w:p w14:paraId="5E4B96C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color w:val="auto"/>
                <w:kern w:val="2"/>
                <w:sz w:val="18"/>
                <w:szCs w:val="18"/>
                <w:lang w:val="en-US" w:eastAsia="zh-CN" w:bidi="ar-SA"/>
              </w:rPr>
            </w:pPr>
            <w:r>
              <w:rPr>
                <w:rFonts w:hint="eastAsia" w:ascii="仿宋_GB2312" w:hAnsi="宋体" w:eastAsia="仿宋_GB2312" w:cs="仿宋_GB2312"/>
                <w:color w:val="auto"/>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668B066E">
            <w:pPr>
              <w:keepNext w:val="0"/>
              <w:keepLines w:val="0"/>
              <w:pageBreakBefore w:val="0"/>
              <w:widowControl w:val="0"/>
              <w:kinsoku/>
              <w:wordWrap/>
              <w:overflowPunct w:val="0"/>
              <w:topLinePunct w:val="0"/>
              <w:autoSpaceDE/>
              <w:autoSpaceDN/>
              <w:bidi w:val="0"/>
              <w:adjustRightInd w:val="0"/>
              <w:snapToGrid w:val="0"/>
              <w:spacing w:line="260" w:lineRule="exact"/>
              <w:jc w:val="center"/>
              <w:textAlignment w:val="center"/>
              <w:rPr>
                <w:rFonts w:hint="eastAsia" w:ascii="仿宋_GB2312" w:hAnsi="宋体" w:eastAsia="仿宋_GB2312" w:cs="仿宋_GB2312"/>
                <w:spacing w:val="-5"/>
                <w:kern w:val="2"/>
                <w:sz w:val="18"/>
                <w:szCs w:val="18"/>
                <w:lang w:val="en-US" w:eastAsia="zh-CN" w:bidi="ar-SA"/>
              </w:rPr>
            </w:pPr>
            <w:r>
              <w:rPr>
                <w:rFonts w:hint="eastAsia" w:ascii="仿宋_GB2312" w:hAnsi="宋体" w:eastAsia="仿宋_GB2312" w:cs="仿宋_GB2312"/>
                <w:kern w:val="0"/>
                <w:sz w:val="18"/>
                <w:szCs w:val="18"/>
                <w:lang w:bidi="ar"/>
              </w:rPr>
              <w:t>无</w:t>
            </w:r>
          </w:p>
        </w:tc>
        <w:tc>
          <w:tcPr>
            <w:tcW w:w="2655" w:type="dxa"/>
            <w:tcBorders>
              <w:tl2br w:val="nil"/>
              <w:tr2bl w:val="nil"/>
            </w:tcBorders>
            <w:shd w:val="clear" w:color="auto" w:fill="auto"/>
            <w:tcMar>
              <w:top w:w="15" w:type="dxa"/>
              <w:left w:w="15" w:type="dxa"/>
              <w:right w:w="15" w:type="dxa"/>
            </w:tcMar>
            <w:vAlign w:val="center"/>
          </w:tcPr>
          <w:p w14:paraId="34AC7B85">
            <w:pPr>
              <w:keepNext w:val="0"/>
              <w:keepLines w:val="0"/>
              <w:pageBreakBefore w:val="0"/>
              <w:widowControl w:val="0"/>
              <w:kinsoku/>
              <w:wordWrap/>
              <w:overflowPunct w:val="0"/>
              <w:topLinePunct w:val="0"/>
              <w:autoSpaceDE/>
              <w:autoSpaceDN/>
              <w:bidi w:val="0"/>
              <w:adjustRightInd w:val="0"/>
              <w:snapToGrid w:val="0"/>
              <w:spacing w:line="260" w:lineRule="exact"/>
              <w:jc w:val="center"/>
              <w:textAlignment w:val="center"/>
              <w:rPr>
                <w:rFonts w:hint="eastAsia" w:ascii="仿宋_GB2312" w:hAnsi="宋体" w:eastAsia="仿宋_GB2312" w:cs="仿宋_GB2312"/>
                <w:spacing w:val="-5"/>
                <w:kern w:val="2"/>
                <w:sz w:val="18"/>
                <w:szCs w:val="18"/>
                <w:lang w:val="en-US" w:eastAsia="zh-CN" w:bidi="ar-SA"/>
              </w:rPr>
            </w:pPr>
            <w:r>
              <w:rPr>
                <w:rFonts w:hint="eastAsia" w:ascii="仿宋_GB2312" w:hAnsi="宋体" w:eastAsia="仿宋_GB2312" w:cs="仿宋_GB2312"/>
                <w:kern w:val="0"/>
                <w:sz w:val="18"/>
                <w:szCs w:val="18"/>
                <w:lang w:bidi="ar"/>
              </w:rPr>
              <w:t>无</w:t>
            </w:r>
          </w:p>
        </w:tc>
      </w:tr>
      <w:tr w14:paraId="0A812A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1271" w:author="LV" w:date="2026-07-14T16:15:08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wBefore w:w="0" w:type="auto"/>
          <w:trHeight w:val="663" w:hRule="atLeast"/>
          <w:jc w:val="center"/>
          <w:trPrChange w:id="1271" w:author="LV" w:date="2026-07-14T16:15:08Z">
            <w:trPr>
              <w:gridBefore w:val="2"/>
              <w:wBefore w:w="15" w:type="dxa"/>
              <w:trHeight w:val="663" w:hRule="atLeast"/>
              <w:jc w:val="center"/>
            </w:trPr>
          </w:trPrChange>
        </w:trPr>
        <w:tc>
          <w:tcPr>
            <w:tcW w:w="418" w:type="dxa"/>
            <w:vMerge w:val="restart"/>
            <w:tcBorders>
              <w:tl2br w:val="nil"/>
              <w:tr2bl w:val="nil"/>
            </w:tcBorders>
            <w:shd w:val="clear" w:color="auto" w:fill="auto"/>
            <w:noWrap/>
            <w:tcMar>
              <w:top w:w="15" w:type="dxa"/>
              <w:left w:w="15" w:type="dxa"/>
              <w:right w:w="15" w:type="dxa"/>
            </w:tcMar>
            <w:vAlign w:val="center"/>
            <w:tcPrChange w:id="1272" w:author="LV" w:date="2026-07-14T16:15:08Z">
              <w:tcPr>
                <w:tcW w:w="418" w:type="dxa"/>
                <w:gridSpan w:val="3"/>
                <w:vMerge w:val="restart"/>
                <w:tcBorders>
                  <w:tl2br w:val="nil"/>
                  <w:tr2bl w:val="nil"/>
                </w:tcBorders>
                <w:shd w:val="clear" w:color="auto" w:fill="auto"/>
                <w:noWrap/>
                <w:tcMar>
                  <w:top w:w="15" w:type="dxa"/>
                  <w:left w:w="15" w:type="dxa"/>
                  <w:right w:w="15" w:type="dxa"/>
                </w:tcMar>
                <w:vAlign w:val="center"/>
              </w:tcPr>
            </w:tcPrChange>
          </w:tcPr>
          <w:p w14:paraId="2F670B05">
            <w:pPr>
              <w:keepNext w:val="0"/>
              <w:keepLines w:val="0"/>
              <w:pageBreakBefore w:val="0"/>
              <w:widowControl w:val="0"/>
              <w:kinsoku/>
              <w:wordWrap/>
              <w:overflowPunct w:val="0"/>
              <w:topLinePunct w:val="0"/>
              <w:autoSpaceDE/>
              <w:autoSpaceDN/>
              <w:bidi w:val="0"/>
              <w:adjustRightInd w:val="0"/>
              <w:snapToGrid w:val="0"/>
              <w:spacing w:line="260" w:lineRule="exact"/>
              <w:ind w:left="0" w:leftChars="0" w:right="0" w:rightChars="0" w:firstLine="0" w:firstLineChars="0"/>
              <w:jc w:val="center"/>
              <w:rPr>
                <w:rFonts w:hint="default" w:ascii="仿宋_GB2312" w:hAnsi="宋体" w:eastAsia="仿宋_GB2312" w:cs="仿宋_GB2312"/>
                <w:spacing w:val="-5"/>
                <w:kern w:val="2"/>
                <w:sz w:val="18"/>
                <w:szCs w:val="18"/>
                <w:lang w:val="en-US" w:eastAsia="zh-CN" w:bidi="ar-SA"/>
              </w:rPr>
            </w:pPr>
            <w:del w:id="1273" w:author="LV" w:date="2026-07-14T16:14:07Z">
              <w:r>
                <w:rPr>
                  <w:rFonts w:hint="default" w:ascii="仿宋_GB2312" w:hAnsi="宋体" w:eastAsia="仿宋_GB2312" w:cs="仿宋_GB2312"/>
                  <w:spacing w:val="-5"/>
                  <w:kern w:val="2"/>
                  <w:sz w:val="18"/>
                  <w:szCs w:val="18"/>
                  <w:lang w:val="en-US" w:eastAsia="zh-CN" w:bidi="ar-SA"/>
                </w:rPr>
                <w:delText>增加</w:delText>
              </w:r>
            </w:del>
            <w:ins w:id="1274" w:author="LV" w:date="2026-07-14T16:14:07Z">
              <w:r>
                <w:rPr>
                  <w:rFonts w:hint="eastAsia" w:ascii="仿宋_GB2312" w:hAnsi="宋体" w:eastAsia="仿宋_GB2312" w:cs="仿宋_GB2312"/>
                  <w:spacing w:val="-5"/>
                  <w:kern w:val="2"/>
                  <w:sz w:val="18"/>
                  <w:szCs w:val="18"/>
                  <w:lang w:val="en-US" w:eastAsia="zh-CN" w:bidi="ar-SA"/>
                </w:rPr>
                <w:t>2</w:t>
              </w:r>
            </w:ins>
            <w:ins w:id="1275" w:author="LV" w:date="2026-07-14T16:14:08Z">
              <w:r>
                <w:rPr>
                  <w:rFonts w:hint="eastAsia" w:ascii="仿宋_GB2312" w:hAnsi="宋体" w:eastAsia="仿宋_GB2312" w:cs="仿宋_GB2312"/>
                  <w:spacing w:val="-5"/>
                  <w:kern w:val="2"/>
                  <w:sz w:val="18"/>
                  <w:szCs w:val="18"/>
                  <w:lang w:val="en-US" w:eastAsia="zh-CN" w:bidi="ar-SA"/>
                </w:rPr>
                <w:t>0</w:t>
              </w:r>
            </w:ins>
          </w:p>
        </w:tc>
        <w:tc>
          <w:tcPr>
            <w:tcW w:w="1005" w:type="dxa"/>
            <w:vMerge w:val="restart"/>
            <w:tcBorders>
              <w:tl2br w:val="nil"/>
              <w:tr2bl w:val="nil"/>
            </w:tcBorders>
            <w:shd w:val="clear" w:color="auto" w:fill="auto"/>
            <w:tcMar>
              <w:top w:w="15" w:type="dxa"/>
              <w:left w:w="15" w:type="dxa"/>
              <w:right w:w="15" w:type="dxa"/>
            </w:tcMar>
            <w:vAlign w:val="center"/>
            <w:tcPrChange w:id="1276" w:author="LV" w:date="2026-07-14T16:15:08Z">
              <w:tcPr>
                <w:tcW w:w="1005" w:type="dxa"/>
                <w:gridSpan w:val="3"/>
                <w:vMerge w:val="restart"/>
                <w:tcBorders>
                  <w:tl2br w:val="nil"/>
                  <w:tr2bl w:val="nil"/>
                </w:tcBorders>
                <w:shd w:val="clear" w:color="auto" w:fill="auto"/>
                <w:tcMar>
                  <w:top w:w="15" w:type="dxa"/>
                  <w:left w:w="15" w:type="dxa"/>
                  <w:right w:w="15" w:type="dxa"/>
                </w:tcMar>
                <w:vAlign w:val="center"/>
              </w:tcPr>
            </w:tcPrChange>
          </w:tcPr>
          <w:p w14:paraId="41BA5E10">
            <w:pPr>
              <w:keepNext w:val="0"/>
              <w:keepLines w:val="0"/>
              <w:widowControl/>
              <w:suppressLineNumbers w:val="0"/>
              <w:jc w:val="left"/>
            </w:pPr>
            <w:r>
              <w:rPr>
                <w:rFonts w:ascii="仿宋_GB2312" w:hAnsi="宋体" w:eastAsia="仿宋_GB2312" w:cs="仿宋_GB2312"/>
                <w:color w:val="000000"/>
                <w:kern w:val="0"/>
                <w:sz w:val="18"/>
                <w:szCs w:val="18"/>
                <w:lang w:val="en-US" w:eastAsia="zh-CN" w:bidi="ar"/>
              </w:rPr>
              <w:t>煤矿领导未</w:t>
            </w:r>
            <w:r>
              <w:rPr>
                <w:rFonts w:hint="eastAsia" w:ascii="仿宋_GB2312" w:hAnsi="宋体" w:eastAsia="仿宋_GB2312" w:cs="仿宋_GB2312"/>
                <w:color w:val="000000"/>
                <w:kern w:val="0"/>
                <w:sz w:val="18"/>
                <w:szCs w:val="18"/>
                <w:lang w:val="en-US" w:eastAsia="zh-CN" w:bidi="ar"/>
              </w:rPr>
              <w:t xml:space="preserve">按规定填写煤矿领导下井交接班记 </w:t>
            </w:r>
          </w:p>
          <w:p w14:paraId="73E663E9">
            <w:pPr>
              <w:keepNext w:val="0"/>
              <w:keepLines w:val="0"/>
              <w:widowControl/>
              <w:suppressLineNumbers w:val="0"/>
              <w:jc w:val="left"/>
            </w:pPr>
            <w:r>
              <w:rPr>
                <w:rFonts w:hint="eastAsia" w:ascii="仿宋_GB2312" w:hAnsi="宋体" w:eastAsia="仿宋_GB2312" w:cs="仿宋_GB2312"/>
                <w:color w:val="000000"/>
                <w:kern w:val="0"/>
                <w:sz w:val="18"/>
                <w:szCs w:val="18"/>
                <w:lang w:val="en-US" w:eastAsia="zh-CN" w:bidi="ar"/>
              </w:rPr>
              <w:t>录簿、带班下井记录的</w:t>
            </w:r>
          </w:p>
          <w:p w14:paraId="654657DF">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kern w:val="2"/>
                <w:sz w:val="18"/>
                <w:szCs w:val="18"/>
                <w:lang w:val="en-US" w:eastAsia="zh-CN" w:bidi="ar-SA"/>
              </w:rPr>
            </w:pPr>
          </w:p>
        </w:tc>
        <w:tc>
          <w:tcPr>
            <w:tcW w:w="3667" w:type="dxa"/>
            <w:vMerge w:val="restart"/>
            <w:tcBorders>
              <w:tl2br w:val="nil"/>
              <w:tr2bl w:val="nil"/>
            </w:tcBorders>
            <w:shd w:val="clear" w:color="auto" w:fill="auto"/>
            <w:tcMar>
              <w:top w:w="15" w:type="dxa"/>
              <w:left w:w="15" w:type="dxa"/>
              <w:right w:w="15" w:type="dxa"/>
            </w:tcMar>
            <w:vAlign w:val="center"/>
            <w:tcPrChange w:id="1277" w:author="LV" w:date="2026-07-14T16:15:08Z">
              <w:tcPr>
                <w:tcW w:w="3667" w:type="dxa"/>
                <w:gridSpan w:val="3"/>
                <w:vMerge w:val="restart"/>
                <w:tcBorders>
                  <w:tl2br w:val="nil"/>
                  <w:tr2bl w:val="nil"/>
                </w:tcBorders>
                <w:shd w:val="clear" w:color="auto" w:fill="auto"/>
                <w:tcMar>
                  <w:top w:w="15" w:type="dxa"/>
                  <w:left w:w="15" w:type="dxa"/>
                  <w:right w:w="15" w:type="dxa"/>
                </w:tcMar>
                <w:vAlign w:val="center"/>
              </w:tcPr>
            </w:tcPrChange>
          </w:tcPr>
          <w:p w14:paraId="3FA2386B">
            <w:pPr>
              <w:keepNext w:val="0"/>
              <w:keepLines w:val="0"/>
              <w:widowControl/>
              <w:suppressLineNumbers w:val="0"/>
              <w:jc w:val="left"/>
              <w:rPr>
                <w:ins w:id="1278" w:author="LV" w:date="2026-07-14T16:14:15Z"/>
                <w:rFonts w:ascii="仿宋_GB2312" w:hAnsi="宋体" w:eastAsia="仿宋_GB2312" w:cs="仿宋_GB2312"/>
                <w:color w:val="000000"/>
                <w:kern w:val="0"/>
                <w:sz w:val="18"/>
                <w:szCs w:val="18"/>
                <w:lang w:val="en-US" w:eastAsia="zh-CN" w:bidi="ar"/>
              </w:rPr>
            </w:pPr>
          </w:p>
          <w:p w14:paraId="088E6D9A">
            <w:pPr>
              <w:keepNext w:val="0"/>
              <w:keepLines w:val="0"/>
              <w:widowControl/>
              <w:suppressLineNumbers w:val="0"/>
              <w:jc w:val="left"/>
              <w:rPr>
                <w:ins w:id="1279" w:author="LV" w:date="2026-07-14T16:14:16Z"/>
                <w:rFonts w:ascii="仿宋_GB2312" w:hAnsi="宋体" w:eastAsia="仿宋_GB2312" w:cs="仿宋_GB2312"/>
                <w:color w:val="000000"/>
                <w:kern w:val="0"/>
                <w:sz w:val="18"/>
                <w:szCs w:val="18"/>
                <w:lang w:val="en-US" w:eastAsia="zh-CN" w:bidi="ar"/>
              </w:rPr>
            </w:pPr>
          </w:p>
          <w:p w14:paraId="212DB712">
            <w:pPr>
              <w:keepNext w:val="0"/>
              <w:keepLines w:val="0"/>
              <w:widowControl/>
              <w:suppressLineNumbers w:val="0"/>
              <w:jc w:val="left"/>
              <w:rPr>
                <w:ins w:id="1280" w:author="LV" w:date="2026-07-14T16:14:16Z"/>
                <w:rFonts w:ascii="仿宋_GB2312" w:hAnsi="宋体" w:eastAsia="仿宋_GB2312" w:cs="仿宋_GB2312"/>
                <w:color w:val="000000"/>
                <w:kern w:val="0"/>
                <w:sz w:val="18"/>
                <w:szCs w:val="18"/>
                <w:lang w:val="en-US" w:eastAsia="zh-CN" w:bidi="ar"/>
              </w:rPr>
            </w:pPr>
          </w:p>
          <w:p w14:paraId="1D66A1CF">
            <w:pPr>
              <w:keepNext w:val="0"/>
              <w:keepLines w:val="0"/>
              <w:widowControl/>
              <w:suppressLineNumbers w:val="0"/>
              <w:jc w:val="left"/>
              <w:rPr>
                <w:ins w:id="1281" w:author="LV" w:date="2026-07-14T16:14:16Z"/>
                <w:rFonts w:ascii="仿宋_GB2312" w:hAnsi="宋体" w:eastAsia="仿宋_GB2312" w:cs="仿宋_GB2312"/>
                <w:color w:val="000000"/>
                <w:kern w:val="0"/>
                <w:sz w:val="18"/>
                <w:szCs w:val="18"/>
                <w:lang w:val="en-US" w:eastAsia="zh-CN" w:bidi="ar"/>
              </w:rPr>
            </w:pPr>
          </w:p>
          <w:p w14:paraId="12B4593C">
            <w:pPr>
              <w:keepNext w:val="0"/>
              <w:keepLines w:val="0"/>
              <w:widowControl/>
              <w:suppressLineNumbers w:val="0"/>
              <w:jc w:val="left"/>
              <w:rPr>
                <w:ins w:id="1282" w:author="LV" w:date="2026-07-14T16:14:16Z"/>
                <w:rFonts w:ascii="仿宋_GB2312" w:hAnsi="宋体" w:eastAsia="仿宋_GB2312" w:cs="仿宋_GB2312"/>
                <w:color w:val="000000"/>
                <w:kern w:val="0"/>
                <w:sz w:val="18"/>
                <w:szCs w:val="18"/>
                <w:lang w:val="en-US" w:eastAsia="zh-CN" w:bidi="ar"/>
              </w:rPr>
            </w:pPr>
          </w:p>
          <w:p w14:paraId="2278E6C5">
            <w:pPr>
              <w:keepNext w:val="0"/>
              <w:keepLines w:val="0"/>
              <w:widowControl/>
              <w:suppressLineNumbers w:val="0"/>
              <w:jc w:val="left"/>
              <w:rPr>
                <w:ins w:id="1283" w:author="LV" w:date="2026-07-14T16:14:17Z"/>
                <w:rFonts w:ascii="仿宋_GB2312" w:hAnsi="宋体" w:eastAsia="仿宋_GB2312" w:cs="仿宋_GB2312"/>
                <w:color w:val="000000"/>
                <w:kern w:val="0"/>
                <w:sz w:val="18"/>
                <w:szCs w:val="18"/>
                <w:lang w:val="en-US" w:eastAsia="zh-CN" w:bidi="ar"/>
              </w:rPr>
            </w:pPr>
          </w:p>
          <w:p w14:paraId="29372CB7">
            <w:pPr>
              <w:keepNext w:val="0"/>
              <w:keepLines w:val="0"/>
              <w:widowControl/>
              <w:suppressLineNumbers w:val="0"/>
              <w:jc w:val="left"/>
            </w:pPr>
            <w:r>
              <w:rPr>
                <w:rFonts w:ascii="仿宋_GB2312" w:hAnsi="宋体" w:eastAsia="仿宋_GB2312" w:cs="仿宋_GB2312"/>
                <w:color w:val="000000"/>
                <w:kern w:val="0"/>
                <w:sz w:val="18"/>
                <w:szCs w:val="18"/>
                <w:lang w:val="en-US" w:eastAsia="zh-CN" w:bidi="ar"/>
              </w:rPr>
              <w:t xml:space="preserve">《煤矿领导带班下井及安全监督检查规定》第 </w:t>
            </w:r>
          </w:p>
          <w:p w14:paraId="3808FD90">
            <w:pPr>
              <w:keepNext w:val="0"/>
              <w:keepLines w:val="0"/>
              <w:widowControl/>
              <w:suppressLineNumbers w:val="0"/>
              <w:jc w:val="left"/>
            </w:pPr>
            <w:r>
              <w:rPr>
                <w:rFonts w:hint="eastAsia" w:ascii="仿宋_GB2312" w:hAnsi="宋体" w:eastAsia="仿宋_GB2312" w:cs="仿宋_GB2312"/>
                <w:color w:val="000000"/>
                <w:kern w:val="0"/>
                <w:sz w:val="18"/>
                <w:szCs w:val="18"/>
                <w:lang w:val="en-US" w:eastAsia="zh-CN" w:bidi="ar"/>
              </w:rPr>
              <w:t xml:space="preserve">十一条 煤矿应当建立领导带班下井档案管理 </w:t>
            </w:r>
          </w:p>
          <w:p w14:paraId="358E2D53">
            <w:pPr>
              <w:keepNext w:val="0"/>
              <w:keepLines w:val="0"/>
              <w:widowControl/>
              <w:suppressLineNumbers w:val="0"/>
              <w:jc w:val="left"/>
            </w:pPr>
            <w:r>
              <w:rPr>
                <w:rFonts w:hint="eastAsia" w:ascii="仿宋_GB2312" w:hAnsi="宋体" w:eastAsia="仿宋_GB2312" w:cs="仿宋_GB2312"/>
                <w:color w:val="000000"/>
                <w:kern w:val="0"/>
                <w:sz w:val="18"/>
                <w:szCs w:val="18"/>
                <w:lang w:val="en-US" w:eastAsia="zh-CN" w:bidi="ar"/>
              </w:rPr>
              <w:t xml:space="preserve">制度。煤矿领导升井后，应当及时将下井的时 </w:t>
            </w:r>
          </w:p>
          <w:p w14:paraId="73423F52">
            <w:pPr>
              <w:keepNext w:val="0"/>
              <w:keepLines w:val="0"/>
              <w:widowControl/>
              <w:suppressLineNumbers w:val="0"/>
              <w:jc w:val="left"/>
            </w:pPr>
            <w:r>
              <w:rPr>
                <w:rFonts w:hint="eastAsia" w:ascii="仿宋_GB2312" w:hAnsi="宋体" w:eastAsia="仿宋_GB2312" w:cs="仿宋_GB2312"/>
                <w:color w:val="000000"/>
                <w:kern w:val="0"/>
                <w:sz w:val="18"/>
                <w:szCs w:val="18"/>
                <w:lang w:val="en-US" w:eastAsia="zh-CN" w:bidi="ar"/>
              </w:rPr>
              <w:t xml:space="preserve">间、地点、经过路线、发现的问题及处理情况、 </w:t>
            </w:r>
          </w:p>
          <w:p w14:paraId="3D42A22C">
            <w:pPr>
              <w:keepNext w:val="0"/>
              <w:keepLines w:val="0"/>
              <w:widowControl/>
              <w:suppressLineNumbers w:val="0"/>
              <w:jc w:val="left"/>
            </w:pPr>
            <w:r>
              <w:rPr>
                <w:rFonts w:hint="eastAsia" w:ascii="仿宋_GB2312" w:hAnsi="宋体" w:eastAsia="仿宋_GB2312" w:cs="仿宋_GB2312"/>
                <w:color w:val="000000"/>
                <w:kern w:val="0"/>
                <w:sz w:val="18"/>
                <w:szCs w:val="18"/>
                <w:lang w:val="en-US" w:eastAsia="zh-CN" w:bidi="ar"/>
              </w:rPr>
              <w:t xml:space="preserve">意见等有关情况进行登记，并由专人负责整理 </w:t>
            </w:r>
          </w:p>
          <w:p w14:paraId="697D639E">
            <w:pPr>
              <w:keepNext w:val="0"/>
              <w:keepLines w:val="0"/>
              <w:widowControl/>
              <w:suppressLineNumbers w:val="0"/>
              <w:jc w:val="left"/>
            </w:pPr>
            <w:r>
              <w:rPr>
                <w:rFonts w:hint="eastAsia" w:ascii="仿宋_GB2312" w:hAnsi="宋体" w:eastAsia="仿宋_GB2312" w:cs="仿宋_GB2312"/>
                <w:color w:val="000000"/>
                <w:kern w:val="0"/>
                <w:sz w:val="18"/>
                <w:szCs w:val="18"/>
                <w:lang w:val="en-US" w:eastAsia="zh-CN" w:bidi="ar"/>
              </w:rPr>
              <w:t xml:space="preserve">和存档备查。煤矿领导带班下井的相关记录和 </w:t>
            </w:r>
          </w:p>
          <w:p w14:paraId="7AEC58E2">
            <w:pPr>
              <w:keepNext w:val="0"/>
              <w:keepLines w:val="0"/>
              <w:widowControl/>
              <w:suppressLineNumbers w:val="0"/>
              <w:jc w:val="left"/>
            </w:pPr>
            <w:r>
              <w:rPr>
                <w:rFonts w:hint="eastAsia" w:ascii="仿宋_GB2312" w:hAnsi="宋体" w:eastAsia="仿宋_GB2312" w:cs="仿宋_GB2312"/>
                <w:color w:val="000000"/>
                <w:kern w:val="0"/>
                <w:sz w:val="18"/>
                <w:szCs w:val="18"/>
                <w:lang w:val="en-US" w:eastAsia="zh-CN" w:bidi="ar"/>
              </w:rPr>
              <w:t xml:space="preserve">煤矿井下人员定位系统存储信息保存期不少于 </w:t>
            </w:r>
          </w:p>
          <w:p w14:paraId="06E62070">
            <w:pPr>
              <w:keepNext w:val="0"/>
              <w:keepLines w:val="0"/>
              <w:widowControl/>
              <w:suppressLineNumbers w:val="0"/>
              <w:jc w:val="left"/>
            </w:pPr>
            <w:r>
              <w:rPr>
                <w:rFonts w:hint="eastAsia" w:ascii="仿宋_GB2312" w:hAnsi="宋体" w:eastAsia="仿宋_GB2312" w:cs="仿宋_GB2312"/>
                <w:color w:val="000000"/>
                <w:kern w:val="0"/>
                <w:sz w:val="18"/>
                <w:szCs w:val="18"/>
                <w:lang w:val="en-US" w:eastAsia="zh-CN" w:bidi="ar"/>
              </w:rPr>
              <w:t>一年。</w:t>
            </w:r>
          </w:p>
          <w:p w14:paraId="390ABD5A">
            <w:pPr>
              <w:keepNext w:val="0"/>
              <w:keepLines w:val="0"/>
              <w:pageBreakBefore w:val="0"/>
              <w:widowControl w:val="0"/>
              <w:kinsoku/>
              <w:wordWrap/>
              <w:overflowPunct w:val="0"/>
              <w:topLinePunct w:val="0"/>
              <w:autoSpaceDE/>
              <w:autoSpaceDN/>
              <w:bidi w:val="0"/>
              <w:adjustRightInd w:val="0"/>
              <w:snapToGrid w:val="0"/>
              <w:spacing w:line="260" w:lineRule="exact"/>
              <w:rPr>
                <w:ins w:id="1284" w:author="LV" w:date="2026-07-14T16:14:11Z"/>
                <w:rFonts w:ascii="仿宋_GB2312" w:hAnsi="宋体" w:eastAsia="仿宋_GB2312" w:cs="仿宋_GB2312"/>
                <w:spacing w:val="-5"/>
                <w:kern w:val="2"/>
                <w:sz w:val="18"/>
                <w:szCs w:val="18"/>
                <w:lang w:val="en-US" w:eastAsia="zh-CN" w:bidi="ar-SA"/>
              </w:rPr>
            </w:pPr>
          </w:p>
          <w:p w14:paraId="52329E27">
            <w:pPr>
              <w:keepNext w:val="0"/>
              <w:keepLines w:val="0"/>
              <w:pageBreakBefore w:val="0"/>
              <w:widowControl w:val="0"/>
              <w:kinsoku/>
              <w:wordWrap/>
              <w:overflowPunct w:val="0"/>
              <w:topLinePunct w:val="0"/>
              <w:autoSpaceDE/>
              <w:autoSpaceDN/>
              <w:bidi w:val="0"/>
              <w:adjustRightInd w:val="0"/>
              <w:snapToGrid w:val="0"/>
              <w:spacing w:line="260" w:lineRule="exact"/>
              <w:rPr>
                <w:ins w:id="1285" w:author="LV" w:date="2026-07-14T16:14:25Z"/>
                <w:rFonts w:ascii="仿宋_GB2312" w:hAnsi="宋体" w:eastAsia="仿宋_GB2312" w:cs="仿宋_GB2312"/>
                <w:spacing w:val="-5"/>
                <w:kern w:val="2"/>
                <w:sz w:val="18"/>
                <w:szCs w:val="18"/>
                <w:lang w:val="en-US" w:eastAsia="zh-CN" w:bidi="ar-SA"/>
              </w:rPr>
            </w:pPr>
          </w:p>
          <w:p w14:paraId="4B315A57">
            <w:pPr>
              <w:keepNext w:val="0"/>
              <w:keepLines w:val="0"/>
              <w:pageBreakBefore w:val="0"/>
              <w:widowControl w:val="0"/>
              <w:kinsoku/>
              <w:wordWrap/>
              <w:overflowPunct w:val="0"/>
              <w:topLinePunct w:val="0"/>
              <w:autoSpaceDE/>
              <w:autoSpaceDN/>
              <w:bidi w:val="0"/>
              <w:adjustRightInd w:val="0"/>
              <w:snapToGrid w:val="0"/>
              <w:spacing w:line="260" w:lineRule="exact"/>
              <w:rPr>
                <w:ins w:id="1286" w:author="LV" w:date="2026-07-14T16:14:26Z"/>
                <w:rFonts w:ascii="仿宋_GB2312" w:hAnsi="宋体" w:eastAsia="仿宋_GB2312" w:cs="仿宋_GB2312"/>
                <w:spacing w:val="-5"/>
                <w:kern w:val="2"/>
                <w:sz w:val="18"/>
                <w:szCs w:val="18"/>
                <w:lang w:val="en-US" w:eastAsia="zh-CN" w:bidi="ar-SA"/>
              </w:rPr>
            </w:pPr>
          </w:p>
          <w:p w14:paraId="04BCE3D5">
            <w:pPr>
              <w:keepNext w:val="0"/>
              <w:keepLines w:val="0"/>
              <w:pageBreakBefore w:val="0"/>
              <w:widowControl w:val="0"/>
              <w:kinsoku/>
              <w:wordWrap/>
              <w:overflowPunct w:val="0"/>
              <w:topLinePunct w:val="0"/>
              <w:autoSpaceDE/>
              <w:autoSpaceDN/>
              <w:bidi w:val="0"/>
              <w:adjustRightInd w:val="0"/>
              <w:snapToGrid w:val="0"/>
              <w:spacing w:line="260" w:lineRule="exact"/>
              <w:rPr>
                <w:ins w:id="1287" w:author="LV" w:date="2026-07-14T16:14:26Z"/>
                <w:rFonts w:ascii="仿宋_GB2312" w:hAnsi="宋体" w:eastAsia="仿宋_GB2312" w:cs="仿宋_GB2312"/>
                <w:spacing w:val="-5"/>
                <w:kern w:val="2"/>
                <w:sz w:val="18"/>
                <w:szCs w:val="18"/>
                <w:lang w:val="en-US" w:eastAsia="zh-CN" w:bidi="ar-SA"/>
              </w:rPr>
            </w:pPr>
          </w:p>
          <w:p w14:paraId="5BA7D99B">
            <w:pPr>
              <w:keepNext w:val="0"/>
              <w:keepLines w:val="0"/>
              <w:pageBreakBefore w:val="0"/>
              <w:widowControl w:val="0"/>
              <w:kinsoku/>
              <w:wordWrap/>
              <w:overflowPunct w:val="0"/>
              <w:topLinePunct w:val="0"/>
              <w:autoSpaceDE/>
              <w:autoSpaceDN/>
              <w:bidi w:val="0"/>
              <w:adjustRightInd w:val="0"/>
              <w:snapToGrid w:val="0"/>
              <w:spacing w:line="260" w:lineRule="exact"/>
              <w:rPr>
                <w:ins w:id="1288" w:author="LV" w:date="2026-07-14T16:14:27Z"/>
                <w:rFonts w:ascii="仿宋_GB2312" w:hAnsi="宋体" w:eastAsia="仿宋_GB2312" w:cs="仿宋_GB2312"/>
                <w:spacing w:val="-5"/>
                <w:kern w:val="2"/>
                <w:sz w:val="18"/>
                <w:szCs w:val="18"/>
                <w:lang w:val="en-US" w:eastAsia="zh-CN" w:bidi="ar-SA"/>
              </w:rPr>
            </w:pPr>
          </w:p>
          <w:p w14:paraId="156F744E">
            <w:pPr>
              <w:keepNext w:val="0"/>
              <w:keepLines w:val="0"/>
              <w:pageBreakBefore w:val="0"/>
              <w:widowControl w:val="0"/>
              <w:kinsoku/>
              <w:wordWrap/>
              <w:overflowPunct w:val="0"/>
              <w:topLinePunct w:val="0"/>
              <w:autoSpaceDE/>
              <w:autoSpaceDN/>
              <w:bidi w:val="0"/>
              <w:adjustRightInd w:val="0"/>
              <w:snapToGrid w:val="0"/>
              <w:spacing w:line="260" w:lineRule="exact"/>
              <w:rPr>
                <w:ins w:id="1289" w:author="LV" w:date="2026-07-14T16:14:27Z"/>
                <w:rFonts w:ascii="仿宋_GB2312" w:hAnsi="宋体" w:eastAsia="仿宋_GB2312" w:cs="仿宋_GB2312"/>
                <w:spacing w:val="-5"/>
                <w:kern w:val="2"/>
                <w:sz w:val="18"/>
                <w:szCs w:val="18"/>
                <w:lang w:val="en-US" w:eastAsia="zh-CN" w:bidi="ar-SA"/>
              </w:rPr>
            </w:pPr>
          </w:p>
          <w:p w14:paraId="692FA661">
            <w:pPr>
              <w:keepNext w:val="0"/>
              <w:keepLines w:val="0"/>
              <w:pageBreakBefore w:val="0"/>
              <w:widowControl w:val="0"/>
              <w:kinsoku/>
              <w:wordWrap/>
              <w:overflowPunct w:val="0"/>
              <w:topLinePunct w:val="0"/>
              <w:autoSpaceDE/>
              <w:autoSpaceDN/>
              <w:bidi w:val="0"/>
              <w:adjustRightInd w:val="0"/>
              <w:snapToGrid w:val="0"/>
              <w:spacing w:line="260" w:lineRule="exact"/>
              <w:rPr>
                <w:ins w:id="1290" w:author="LV" w:date="2026-07-14T16:14:18Z"/>
                <w:rFonts w:ascii="仿宋_GB2312" w:hAnsi="宋体" w:eastAsia="仿宋_GB2312" w:cs="仿宋_GB2312"/>
                <w:spacing w:val="-5"/>
                <w:kern w:val="2"/>
                <w:sz w:val="18"/>
                <w:szCs w:val="18"/>
                <w:lang w:val="en-US" w:eastAsia="zh-CN" w:bidi="ar-SA"/>
              </w:rPr>
            </w:pPr>
          </w:p>
          <w:p w14:paraId="44D40868">
            <w:pPr>
              <w:keepNext w:val="0"/>
              <w:keepLines w:val="0"/>
              <w:pageBreakBefore w:val="0"/>
              <w:widowControl w:val="0"/>
              <w:kinsoku/>
              <w:wordWrap/>
              <w:overflowPunct w:val="0"/>
              <w:topLinePunct w:val="0"/>
              <w:autoSpaceDE/>
              <w:autoSpaceDN/>
              <w:bidi w:val="0"/>
              <w:adjustRightInd w:val="0"/>
              <w:snapToGrid w:val="0"/>
              <w:spacing w:line="260" w:lineRule="exact"/>
              <w:rPr>
                <w:ins w:id="1291" w:author="LV" w:date="2026-07-14T16:14:18Z"/>
                <w:rFonts w:ascii="仿宋_GB2312" w:hAnsi="宋体" w:eastAsia="仿宋_GB2312" w:cs="仿宋_GB2312"/>
                <w:spacing w:val="-5"/>
                <w:kern w:val="2"/>
                <w:sz w:val="18"/>
                <w:szCs w:val="18"/>
                <w:lang w:val="en-US" w:eastAsia="zh-CN" w:bidi="ar-SA"/>
              </w:rPr>
            </w:pPr>
          </w:p>
          <w:p w14:paraId="502EB462">
            <w:pPr>
              <w:keepNext w:val="0"/>
              <w:keepLines w:val="0"/>
              <w:pageBreakBefore w:val="0"/>
              <w:widowControl w:val="0"/>
              <w:kinsoku/>
              <w:wordWrap/>
              <w:overflowPunct w:val="0"/>
              <w:topLinePunct w:val="0"/>
              <w:autoSpaceDE/>
              <w:autoSpaceDN/>
              <w:bidi w:val="0"/>
              <w:adjustRightInd w:val="0"/>
              <w:snapToGrid w:val="0"/>
              <w:spacing w:line="260" w:lineRule="exact"/>
              <w:rPr>
                <w:ins w:id="1292" w:author="LV" w:date="2026-07-14T16:14:19Z"/>
                <w:rFonts w:ascii="仿宋_GB2312" w:hAnsi="宋体" w:eastAsia="仿宋_GB2312" w:cs="仿宋_GB2312"/>
                <w:spacing w:val="-5"/>
                <w:kern w:val="2"/>
                <w:sz w:val="18"/>
                <w:szCs w:val="18"/>
                <w:lang w:val="en-US" w:eastAsia="zh-CN" w:bidi="ar-SA"/>
              </w:rPr>
            </w:pPr>
          </w:p>
          <w:p w14:paraId="69AA6AB5">
            <w:pPr>
              <w:keepNext w:val="0"/>
              <w:keepLines w:val="0"/>
              <w:pageBreakBefore w:val="0"/>
              <w:widowControl w:val="0"/>
              <w:kinsoku/>
              <w:wordWrap/>
              <w:overflowPunct w:val="0"/>
              <w:topLinePunct w:val="0"/>
              <w:autoSpaceDE/>
              <w:autoSpaceDN/>
              <w:bidi w:val="0"/>
              <w:adjustRightInd w:val="0"/>
              <w:snapToGrid w:val="0"/>
              <w:spacing w:line="260" w:lineRule="exact"/>
              <w:rPr>
                <w:ins w:id="1293" w:author="LV" w:date="2026-07-14T16:14:20Z"/>
                <w:rFonts w:ascii="仿宋_GB2312" w:hAnsi="宋体" w:eastAsia="仿宋_GB2312" w:cs="仿宋_GB2312"/>
                <w:spacing w:val="-5"/>
                <w:kern w:val="2"/>
                <w:sz w:val="18"/>
                <w:szCs w:val="18"/>
                <w:lang w:val="en-US" w:eastAsia="zh-CN" w:bidi="ar-SA"/>
              </w:rPr>
            </w:pPr>
          </w:p>
          <w:p w14:paraId="145A37A7">
            <w:pPr>
              <w:keepNext w:val="0"/>
              <w:keepLines w:val="0"/>
              <w:pageBreakBefore w:val="0"/>
              <w:widowControl w:val="0"/>
              <w:kinsoku/>
              <w:wordWrap/>
              <w:overflowPunct w:val="0"/>
              <w:topLinePunct w:val="0"/>
              <w:autoSpaceDE/>
              <w:autoSpaceDN/>
              <w:bidi w:val="0"/>
              <w:adjustRightInd w:val="0"/>
              <w:snapToGrid w:val="0"/>
              <w:spacing w:line="260" w:lineRule="exact"/>
              <w:rPr>
                <w:ins w:id="1294" w:author="LV" w:date="2026-07-14T16:14:11Z"/>
                <w:rFonts w:ascii="仿宋_GB2312" w:hAnsi="宋体" w:eastAsia="仿宋_GB2312" w:cs="仿宋_GB2312"/>
                <w:spacing w:val="-5"/>
                <w:kern w:val="2"/>
                <w:sz w:val="18"/>
                <w:szCs w:val="18"/>
                <w:lang w:val="en-US" w:eastAsia="zh-CN" w:bidi="ar-SA"/>
              </w:rPr>
            </w:pPr>
          </w:p>
          <w:p w14:paraId="1623F662">
            <w:pPr>
              <w:keepNext w:val="0"/>
              <w:keepLines w:val="0"/>
              <w:pageBreakBefore w:val="0"/>
              <w:widowControl w:val="0"/>
              <w:kinsoku/>
              <w:wordWrap/>
              <w:overflowPunct w:val="0"/>
              <w:topLinePunct w:val="0"/>
              <w:autoSpaceDE/>
              <w:autoSpaceDN/>
              <w:bidi w:val="0"/>
              <w:adjustRightInd w:val="0"/>
              <w:snapToGrid w:val="0"/>
              <w:spacing w:line="260" w:lineRule="exact"/>
              <w:rPr>
                <w:ins w:id="1295" w:author="LV" w:date="2026-07-14T16:14:11Z"/>
                <w:rFonts w:ascii="仿宋_GB2312" w:hAnsi="宋体" w:eastAsia="仿宋_GB2312" w:cs="仿宋_GB2312"/>
                <w:spacing w:val="-5"/>
                <w:kern w:val="2"/>
                <w:sz w:val="18"/>
                <w:szCs w:val="18"/>
                <w:lang w:val="en-US" w:eastAsia="zh-CN" w:bidi="ar-SA"/>
              </w:rPr>
            </w:pPr>
          </w:p>
          <w:p w14:paraId="734DAE74">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kern w:val="2"/>
                <w:sz w:val="18"/>
                <w:szCs w:val="18"/>
                <w:lang w:val="en-US" w:eastAsia="zh-CN" w:bidi="ar-SA"/>
              </w:rPr>
            </w:pPr>
          </w:p>
        </w:tc>
        <w:tc>
          <w:tcPr>
            <w:tcW w:w="4082" w:type="dxa"/>
            <w:vMerge w:val="restart"/>
            <w:tcBorders>
              <w:tl2br w:val="nil"/>
              <w:tr2bl w:val="nil"/>
            </w:tcBorders>
            <w:shd w:val="clear" w:color="auto" w:fill="auto"/>
            <w:tcMar>
              <w:top w:w="15" w:type="dxa"/>
              <w:left w:w="15" w:type="dxa"/>
              <w:right w:w="15" w:type="dxa"/>
            </w:tcMar>
            <w:vAlign w:val="center"/>
            <w:tcPrChange w:id="1296" w:author="LV" w:date="2026-07-14T16:15:08Z">
              <w:tcPr>
                <w:tcW w:w="4082" w:type="dxa"/>
                <w:gridSpan w:val="3"/>
                <w:vMerge w:val="restart"/>
                <w:tcBorders>
                  <w:tl2br w:val="nil"/>
                  <w:tr2bl w:val="nil"/>
                </w:tcBorders>
                <w:shd w:val="clear" w:color="auto" w:fill="auto"/>
                <w:tcMar>
                  <w:top w:w="15" w:type="dxa"/>
                  <w:left w:w="15" w:type="dxa"/>
                  <w:right w:w="15" w:type="dxa"/>
                </w:tcMar>
                <w:vAlign w:val="center"/>
              </w:tcPr>
            </w:tcPrChange>
          </w:tcPr>
          <w:p w14:paraId="5FBC473C">
            <w:pPr>
              <w:keepNext w:val="0"/>
              <w:keepLines w:val="0"/>
              <w:widowControl/>
              <w:suppressLineNumbers w:val="0"/>
              <w:jc w:val="both"/>
              <w:pPrChange w:id="1297" w:author="LV" w:date="2026-07-14T16:15:08Z">
                <w:pPr>
                  <w:keepNext w:val="0"/>
                  <w:keepLines w:val="0"/>
                  <w:widowControl/>
                  <w:suppressLineNumbers w:val="0"/>
                  <w:jc w:val="left"/>
                </w:pPr>
              </w:pPrChange>
            </w:pPr>
            <w:r>
              <w:rPr>
                <w:rFonts w:ascii="仿宋_GB2312" w:hAnsi="宋体" w:eastAsia="仿宋_GB2312" w:cs="仿宋_GB2312"/>
                <w:color w:val="000000"/>
                <w:kern w:val="0"/>
                <w:sz w:val="18"/>
                <w:szCs w:val="18"/>
                <w:lang w:val="en-US" w:eastAsia="zh-CN" w:bidi="ar"/>
              </w:rPr>
              <w:t>《煤矿领导带班下井及安全监督检查规定》第十八条</w:t>
            </w:r>
          </w:p>
          <w:p w14:paraId="3F83F08C">
            <w:pPr>
              <w:keepNext w:val="0"/>
              <w:keepLines w:val="0"/>
              <w:widowControl/>
              <w:suppressLineNumbers w:val="0"/>
              <w:jc w:val="both"/>
              <w:pPrChange w:id="1298" w:author="LV" w:date="2026-07-14T16:15:08Z">
                <w:pPr>
                  <w:keepNext w:val="0"/>
                  <w:keepLines w:val="0"/>
                  <w:widowControl/>
                  <w:suppressLineNumbers w:val="0"/>
                  <w:jc w:val="left"/>
                </w:pPr>
              </w:pPrChange>
            </w:pPr>
            <w:r>
              <w:rPr>
                <w:rFonts w:hint="eastAsia" w:ascii="仿宋_GB2312" w:hAnsi="宋体" w:eastAsia="仿宋_GB2312" w:cs="仿宋_GB2312"/>
                <w:color w:val="000000"/>
                <w:kern w:val="0"/>
                <w:sz w:val="18"/>
                <w:szCs w:val="18"/>
                <w:lang w:val="en-US" w:eastAsia="zh-CN" w:bidi="ar"/>
              </w:rPr>
              <w:t>煤矿有下列情形之一的，给予警告，并处3万元罚款； 对煤矿主要负责人处1万元罚款：（五）未按规定填</w:t>
            </w:r>
          </w:p>
          <w:p w14:paraId="2B757852">
            <w:pPr>
              <w:keepNext w:val="0"/>
              <w:keepLines w:val="0"/>
              <w:widowControl/>
              <w:suppressLineNumbers w:val="0"/>
              <w:jc w:val="both"/>
              <w:pPrChange w:id="1299" w:author="LV" w:date="2026-07-14T16:15:08Z">
                <w:pPr>
                  <w:keepNext w:val="0"/>
                  <w:keepLines w:val="0"/>
                  <w:widowControl/>
                  <w:suppressLineNumbers w:val="0"/>
                  <w:jc w:val="left"/>
                </w:pPr>
              </w:pPrChange>
            </w:pPr>
            <w:r>
              <w:rPr>
                <w:rFonts w:hint="eastAsia" w:ascii="仿宋_GB2312" w:hAnsi="宋体" w:eastAsia="仿宋_GB2312" w:cs="仿宋_GB2312"/>
                <w:color w:val="000000"/>
                <w:kern w:val="0"/>
                <w:sz w:val="18"/>
                <w:szCs w:val="18"/>
                <w:lang w:val="en-US" w:eastAsia="zh-CN" w:bidi="ar"/>
              </w:rPr>
              <w:t>写煤矿领导下井交接班记录簿、带班下井记录或者保</w:t>
            </w:r>
          </w:p>
          <w:p w14:paraId="7B0144BC">
            <w:pPr>
              <w:keepNext w:val="0"/>
              <w:keepLines w:val="0"/>
              <w:widowControl/>
              <w:suppressLineNumbers w:val="0"/>
              <w:jc w:val="both"/>
              <w:pPrChange w:id="1300" w:author="LV" w:date="2026-07-14T16:15:08Z">
                <w:pPr>
                  <w:keepNext w:val="0"/>
                  <w:keepLines w:val="0"/>
                  <w:widowControl/>
                  <w:suppressLineNumbers w:val="0"/>
                  <w:jc w:val="left"/>
                </w:pPr>
              </w:pPrChange>
            </w:pPr>
            <w:r>
              <w:rPr>
                <w:rFonts w:hint="eastAsia" w:ascii="仿宋_GB2312" w:hAnsi="宋体" w:eastAsia="仿宋_GB2312" w:cs="仿宋_GB2312"/>
                <w:color w:val="000000"/>
                <w:kern w:val="0"/>
                <w:sz w:val="18"/>
                <w:szCs w:val="18"/>
                <w:lang w:val="en-US" w:eastAsia="zh-CN" w:bidi="ar"/>
              </w:rPr>
              <w:t>存带班下井相关记录档案的。</w:t>
            </w:r>
          </w:p>
          <w:p w14:paraId="38592B64">
            <w:pPr>
              <w:keepNext w:val="0"/>
              <w:keepLines w:val="0"/>
              <w:pageBreakBefore w:val="0"/>
              <w:widowControl w:val="0"/>
              <w:kinsoku/>
              <w:wordWrap/>
              <w:overflowPunct w:val="0"/>
              <w:topLinePunct w:val="0"/>
              <w:autoSpaceDE/>
              <w:autoSpaceDN/>
              <w:bidi w:val="0"/>
              <w:adjustRightInd w:val="0"/>
              <w:snapToGrid w:val="0"/>
              <w:spacing w:line="260" w:lineRule="exact"/>
              <w:rPr>
                <w:ins w:id="1302" w:author="LV" w:date="2026-07-14T16:14:22Z"/>
                <w:rFonts w:ascii="仿宋_GB2312" w:hAnsi="宋体" w:eastAsia="仿宋_GB2312" w:cs="仿宋_GB2312"/>
                <w:spacing w:val="-5"/>
                <w:kern w:val="2"/>
                <w:sz w:val="18"/>
                <w:szCs w:val="18"/>
                <w:lang w:val="en-US" w:eastAsia="zh-CN" w:bidi="ar-SA"/>
              </w:rPr>
              <w:pPrChange w:id="1301" w:author="LV" w:date="2026-07-14T16:15:08Z">
                <w:pPr>
                  <w:keepNext w:val="0"/>
                  <w:keepLines w:val="0"/>
                  <w:pageBreakBefore w:val="0"/>
                  <w:widowControl w:val="0"/>
                  <w:kinsoku/>
                  <w:wordWrap/>
                  <w:overflowPunct w:val="0"/>
                  <w:topLinePunct w:val="0"/>
                  <w:autoSpaceDE/>
                  <w:autoSpaceDN/>
                  <w:bidi w:val="0"/>
                  <w:adjustRightInd w:val="0"/>
                  <w:snapToGrid w:val="0"/>
                  <w:spacing w:line="260" w:lineRule="exact"/>
                </w:pPr>
              </w:pPrChange>
            </w:pPr>
          </w:p>
          <w:p w14:paraId="3ED59428">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kern w:val="2"/>
                <w:sz w:val="18"/>
                <w:szCs w:val="18"/>
                <w:lang w:val="en-US" w:eastAsia="zh-CN" w:bidi="ar-SA"/>
              </w:rPr>
              <w:pPrChange w:id="1303" w:author="LV" w:date="2026-07-14T16:15:08Z">
                <w:pPr>
                  <w:keepNext w:val="0"/>
                  <w:keepLines w:val="0"/>
                  <w:pageBreakBefore w:val="0"/>
                  <w:widowControl w:val="0"/>
                  <w:kinsoku/>
                  <w:wordWrap/>
                  <w:overflowPunct w:val="0"/>
                  <w:topLinePunct w:val="0"/>
                  <w:autoSpaceDE/>
                  <w:autoSpaceDN/>
                  <w:bidi w:val="0"/>
                  <w:adjustRightInd w:val="0"/>
                  <w:snapToGrid w:val="0"/>
                  <w:spacing w:line="260" w:lineRule="exact"/>
                </w:pPr>
              </w:pPrChange>
            </w:pPr>
          </w:p>
        </w:tc>
        <w:tc>
          <w:tcPr>
            <w:tcW w:w="459" w:type="dxa"/>
            <w:tcBorders>
              <w:tl2br w:val="nil"/>
              <w:tr2bl w:val="nil"/>
            </w:tcBorders>
            <w:shd w:val="clear" w:color="auto" w:fill="auto"/>
            <w:noWrap/>
            <w:tcMar>
              <w:top w:w="15" w:type="dxa"/>
              <w:left w:w="15" w:type="dxa"/>
              <w:right w:w="15" w:type="dxa"/>
            </w:tcMar>
            <w:vAlign w:val="center"/>
            <w:tcPrChange w:id="1304" w:author="LV" w:date="2026-07-14T16:15:08Z">
              <w:tcPr>
                <w:tcW w:w="459" w:type="dxa"/>
                <w:gridSpan w:val="3"/>
                <w:tcBorders>
                  <w:tl2br w:val="nil"/>
                  <w:tr2bl w:val="nil"/>
                </w:tcBorders>
                <w:shd w:val="clear" w:color="auto" w:fill="auto"/>
                <w:noWrap/>
                <w:tcMar>
                  <w:top w:w="15" w:type="dxa"/>
                  <w:left w:w="15" w:type="dxa"/>
                  <w:right w:w="15" w:type="dxa"/>
                </w:tcMar>
                <w:vAlign w:val="center"/>
              </w:tcPr>
            </w:tcPrChange>
          </w:tcPr>
          <w:p w14:paraId="1904149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color w:val="auto"/>
                <w:kern w:val="2"/>
                <w:sz w:val="18"/>
                <w:szCs w:val="18"/>
                <w:lang w:val="en-US" w:eastAsia="zh-CN" w:bidi="ar-SA"/>
              </w:rPr>
            </w:pPr>
            <w:r>
              <w:rPr>
                <w:rFonts w:hint="eastAsia" w:ascii="仿宋_GB2312" w:hAnsi="宋体" w:eastAsia="仿宋_GB2312" w:cs="仿宋_GB2312"/>
                <w:color w:val="auto"/>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Change w:id="1305" w:author="LV" w:date="2026-07-14T16:15:08Z">
              <w:tcPr>
                <w:tcW w:w="1829" w:type="dxa"/>
                <w:gridSpan w:val="3"/>
                <w:tcBorders>
                  <w:tl2br w:val="nil"/>
                  <w:tr2bl w:val="nil"/>
                </w:tcBorders>
                <w:shd w:val="clear" w:color="auto" w:fill="auto"/>
                <w:tcMar>
                  <w:top w:w="15" w:type="dxa"/>
                  <w:left w:w="15" w:type="dxa"/>
                  <w:right w:w="15" w:type="dxa"/>
                </w:tcMar>
                <w:vAlign w:val="center"/>
              </w:tcPr>
            </w:tcPrChange>
          </w:tcPr>
          <w:p w14:paraId="04C572BA">
            <w:pPr>
              <w:keepNext w:val="0"/>
              <w:keepLines w:val="0"/>
              <w:pageBreakBefore w:val="0"/>
              <w:widowControl w:val="0"/>
              <w:kinsoku/>
              <w:wordWrap/>
              <w:overflowPunct w:val="0"/>
              <w:topLinePunct w:val="0"/>
              <w:autoSpaceDE/>
              <w:autoSpaceDN/>
              <w:bidi w:val="0"/>
              <w:adjustRightInd/>
              <w:snapToGrid/>
              <w:spacing w:line="276" w:lineRule="exact"/>
              <w:jc w:val="lef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Change w:id="1306" w:author="LV" w:date="2026-07-14T16:15:08Z">
              <w:tcPr>
                <w:tcW w:w="2655" w:type="dxa"/>
                <w:gridSpan w:val="3"/>
                <w:tcBorders>
                  <w:tl2br w:val="nil"/>
                  <w:tr2bl w:val="nil"/>
                </w:tcBorders>
                <w:shd w:val="clear" w:color="auto" w:fill="auto"/>
                <w:tcMar>
                  <w:top w:w="15" w:type="dxa"/>
                  <w:left w:w="15" w:type="dxa"/>
                  <w:right w:w="15" w:type="dxa"/>
                </w:tcMar>
                <w:vAlign w:val="center"/>
              </w:tcPr>
            </w:tcPrChange>
          </w:tcPr>
          <w:p w14:paraId="5B336833">
            <w:pPr>
              <w:keepNext w:val="0"/>
              <w:keepLines w:val="0"/>
              <w:pageBreakBefore w:val="0"/>
              <w:widowControl w:val="0"/>
              <w:kinsoku/>
              <w:wordWrap/>
              <w:overflowPunct w:val="0"/>
              <w:topLinePunct w:val="0"/>
              <w:autoSpaceDE/>
              <w:autoSpaceDN/>
              <w:bidi w:val="0"/>
              <w:adjustRightInd/>
              <w:snapToGrid/>
              <w:spacing w:line="276"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04A6DC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3"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652D8DF">
            <w:pPr>
              <w:keepNext w:val="0"/>
              <w:keepLines w:val="0"/>
              <w:pageBreakBefore w:val="0"/>
              <w:widowControl w:val="0"/>
              <w:kinsoku/>
              <w:wordWrap/>
              <w:overflowPunct w:val="0"/>
              <w:topLinePunct w:val="0"/>
              <w:autoSpaceDE/>
              <w:autoSpaceDN/>
              <w:bidi w:val="0"/>
              <w:adjustRightInd w:val="0"/>
              <w:snapToGrid w:val="0"/>
              <w:spacing w:line="260" w:lineRule="exact"/>
              <w:ind w:left="0" w:leftChars="0" w:right="0" w:rightChars="0" w:firstLine="0" w:firstLineChars="0"/>
              <w:jc w:val="center"/>
              <w:rPr>
                <w:rFonts w:hint="default" w:ascii="仿宋_GB2312" w:hAnsi="宋体" w:eastAsia="仿宋_GB2312" w:cs="仿宋_GB2312"/>
                <w:spacing w:val="-5"/>
                <w:kern w:val="2"/>
                <w:sz w:val="18"/>
                <w:szCs w:val="18"/>
                <w:lang w:val="en-US" w:eastAsia="zh-CN" w:bidi="ar-SA"/>
              </w:rPr>
            </w:pPr>
          </w:p>
        </w:tc>
        <w:tc>
          <w:tcPr>
            <w:tcW w:w="1005" w:type="dxa"/>
            <w:vMerge w:val="continue"/>
            <w:tcBorders>
              <w:tl2br w:val="nil"/>
              <w:tr2bl w:val="nil"/>
            </w:tcBorders>
            <w:shd w:val="clear" w:color="auto" w:fill="auto"/>
            <w:tcMar>
              <w:top w:w="15" w:type="dxa"/>
              <w:left w:w="15" w:type="dxa"/>
              <w:right w:w="15" w:type="dxa"/>
            </w:tcMar>
            <w:vAlign w:val="center"/>
          </w:tcPr>
          <w:p w14:paraId="0F27D503">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kern w:val="2"/>
                <w:sz w:val="18"/>
                <w:szCs w:val="18"/>
                <w:lang w:val="en-US" w:eastAsia="zh-CN" w:bidi="ar-SA"/>
              </w:rPr>
            </w:pPr>
          </w:p>
        </w:tc>
        <w:tc>
          <w:tcPr>
            <w:tcW w:w="3667" w:type="dxa"/>
            <w:vMerge w:val="continue"/>
            <w:tcBorders>
              <w:tl2br w:val="nil"/>
              <w:tr2bl w:val="nil"/>
            </w:tcBorders>
            <w:shd w:val="clear" w:color="auto" w:fill="auto"/>
            <w:tcMar>
              <w:top w:w="15" w:type="dxa"/>
              <w:left w:w="15" w:type="dxa"/>
              <w:right w:w="15" w:type="dxa"/>
            </w:tcMar>
            <w:vAlign w:val="center"/>
          </w:tcPr>
          <w:p w14:paraId="0D75225C">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kern w:val="2"/>
                <w:sz w:val="18"/>
                <w:szCs w:val="18"/>
                <w:lang w:val="en-US" w:eastAsia="zh-CN" w:bidi="ar-SA"/>
              </w:rPr>
            </w:pPr>
          </w:p>
        </w:tc>
        <w:tc>
          <w:tcPr>
            <w:tcW w:w="4082" w:type="dxa"/>
            <w:vMerge w:val="continue"/>
            <w:tcBorders>
              <w:tl2br w:val="nil"/>
              <w:tr2bl w:val="nil"/>
            </w:tcBorders>
            <w:shd w:val="clear" w:color="auto" w:fill="auto"/>
            <w:tcMar>
              <w:top w:w="15" w:type="dxa"/>
              <w:left w:w="15" w:type="dxa"/>
              <w:right w:w="15" w:type="dxa"/>
            </w:tcMar>
            <w:vAlign w:val="center"/>
          </w:tcPr>
          <w:p w14:paraId="77B4CF29">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kern w:val="2"/>
                <w:sz w:val="18"/>
                <w:szCs w:val="18"/>
                <w:lang w:val="en-US" w:eastAsia="zh-CN" w:bidi="ar-SA"/>
              </w:rPr>
            </w:pPr>
          </w:p>
        </w:tc>
        <w:tc>
          <w:tcPr>
            <w:tcW w:w="459" w:type="dxa"/>
            <w:tcBorders>
              <w:tl2br w:val="nil"/>
              <w:tr2bl w:val="nil"/>
            </w:tcBorders>
            <w:shd w:val="clear" w:color="auto" w:fill="auto"/>
            <w:noWrap/>
            <w:tcMar>
              <w:top w:w="15" w:type="dxa"/>
              <w:left w:w="15" w:type="dxa"/>
              <w:right w:w="15" w:type="dxa"/>
            </w:tcMar>
            <w:vAlign w:val="center"/>
          </w:tcPr>
          <w:p w14:paraId="02056BB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color w:val="auto"/>
                <w:kern w:val="2"/>
                <w:sz w:val="18"/>
                <w:szCs w:val="18"/>
                <w:lang w:val="en-US" w:eastAsia="zh-CN" w:bidi="ar-SA"/>
              </w:rPr>
            </w:pPr>
            <w:r>
              <w:rPr>
                <w:rFonts w:hint="eastAsia" w:ascii="仿宋_GB2312" w:hAnsi="宋体" w:eastAsia="仿宋_GB2312" w:cs="仿宋_GB2312"/>
                <w:color w:val="auto"/>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11EBBEDB">
            <w:pPr>
              <w:keepNext w:val="0"/>
              <w:keepLines w:val="0"/>
              <w:pageBreakBefore w:val="0"/>
              <w:widowControl w:val="0"/>
              <w:kinsoku/>
              <w:wordWrap/>
              <w:overflowPunct w:val="0"/>
              <w:topLinePunct w:val="0"/>
              <w:autoSpaceDE/>
              <w:autoSpaceDN/>
              <w:bidi w:val="0"/>
              <w:adjustRightInd/>
              <w:snapToGrid/>
              <w:spacing w:line="276"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2B9A1595">
            <w:pPr>
              <w:keepNext w:val="0"/>
              <w:keepLines w:val="0"/>
              <w:pageBreakBefore w:val="0"/>
              <w:widowControl w:val="0"/>
              <w:kinsoku/>
              <w:wordWrap/>
              <w:overflowPunct w:val="0"/>
              <w:topLinePunct w:val="0"/>
              <w:autoSpaceDE/>
              <w:autoSpaceDN/>
              <w:bidi w:val="0"/>
              <w:adjustRightInd/>
              <w:snapToGrid/>
              <w:spacing w:line="276"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28C29C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3"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A3C15CB">
            <w:pPr>
              <w:keepNext w:val="0"/>
              <w:keepLines w:val="0"/>
              <w:pageBreakBefore w:val="0"/>
              <w:widowControl w:val="0"/>
              <w:kinsoku/>
              <w:wordWrap/>
              <w:overflowPunct w:val="0"/>
              <w:topLinePunct w:val="0"/>
              <w:autoSpaceDE/>
              <w:autoSpaceDN/>
              <w:bidi w:val="0"/>
              <w:adjustRightInd w:val="0"/>
              <w:snapToGrid w:val="0"/>
              <w:spacing w:line="260" w:lineRule="exact"/>
              <w:ind w:left="0" w:leftChars="0" w:right="0" w:rightChars="0" w:firstLine="0" w:firstLineChars="0"/>
              <w:jc w:val="center"/>
              <w:rPr>
                <w:rFonts w:hint="default" w:ascii="仿宋_GB2312" w:hAnsi="宋体" w:eastAsia="仿宋_GB2312" w:cs="仿宋_GB2312"/>
                <w:spacing w:val="-5"/>
                <w:kern w:val="2"/>
                <w:sz w:val="18"/>
                <w:szCs w:val="18"/>
                <w:lang w:val="en-US" w:eastAsia="zh-CN" w:bidi="ar-SA"/>
              </w:rPr>
            </w:pPr>
          </w:p>
        </w:tc>
        <w:tc>
          <w:tcPr>
            <w:tcW w:w="1005" w:type="dxa"/>
            <w:vMerge w:val="continue"/>
            <w:tcBorders>
              <w:tl2br w:val="nil"/>
              <w:tr2bl w:val="nil"/>
            </w:tcBorders>
            <w:shd w:val="clear" w:color="auto" w:fill="auto"/>
            <w:tcMar>
              <w:top w:w="15" w:type="dxa"/>
              <w:left w:w="15" w:type="dxa"/>
              <w:right w:w="15" w:type="dxa"/>
            </w:tcMar>
            <w:vAlign w:val="center"/>
          </w:tcPr>
          <w:p w14:paraId="117FB46F">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kern w:val="2"/>
                <w:sz w:val="18"/>
                <w:szCs w:val="18"/>
                <w:lang w:val="en-US" w:eastAsia="zh-CN" w:bidi="ar-SA"/>
              </w:rPr>
            </w:pPr>
          </w:p>
        </w:tc>
        <w:tc>
          <w:tcPr>
            <w:tcW w:w="3667" w:type="dxa"/>
            <w:vMerge w:val="continue"/>
            <w:tcBorders>
              <w:tl2br w:val="nil"/>
              <w:tr2bl w:val="nil"/>
            </w:tcBorders>
            <w:shd w:val="clear" w:color="auto" w:fill="auto"/>
            <w:tcMar>
              <w:top w:w="15" w:type="dxa"/>
              <w:left w:w="15" w:type="dxa"/>
              <w:right w:w="15" w:type="dxa"/>
            </w:tcMar>
            <w:vAlign w:val="center"/>
          </w:tcPr>
          <w:p w14:paraId="1BB83072">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kern w:val="2"/>
                <w:sz w:val="18"/>
                <w:szCs w:val="18"/>
                <w:lang w:val="en-US" w:eastAsia="zh-CN" w:bidi="ar-SA"/>
              </w:rPr>
            </w:pPr>
          </w:p>
        </w:tc>
        <w:tc>
          <w:tcPr>
            <w:tcW w:w="4082" w:type="dxa"/>
            <w:vMerge w:val="continue"/>
            <w:tcBorders>
              <w:tl2br w:val="nil"/>
              <w:tr2bl w:val="nil"/>
            </w:tcBorders>
            <w:shd w:val="clear" w:color="auto" w:fill="auto"/>
            <w:tcMar>
              <w:top w:w="15" w:type="dxa"/>
              <w:left w:w="15" w:type="dxa"/>
              <w:right w:w="15" w:type="dxa"/>
            </w:tcMar>
            <w:vAlign w:val="center"/>
          </w:tcPr>
          <w:p w14:paraId="5F09CB6C">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kern w:val="2"/>
                <w:sz w:val="18"/>
                <w:szCs w:val="18"/>
                <w:lang w:val="en-US" w:eastAsia="zh-CN" w:bidi="ar-SA"/>
              </w:rPr>
            </w:pPr>
          </w:p>
        </w:tc>
        <w:tc>
          <w:tcPr>
            <w:tcW w:w="459" w:type="dxa"/>
            <w:tcBorders>
              <w:tl2br w:val="nil"/>
              <w:tr2bl w:val="nil"/>
            </w:tcBorders>
            <w:shd w:val="clear" w:color="auto" w:fill="auto"/>
            <w:noWrap/>
            <w:tcMar>
              <w:top w:w="15" w:type="dxa"/>
              <w:left w:w="15" w:type="dxa"/>
              <w:right w:w="15" w:type="dxa"/>
            </w:tcMar>
            <w:vAlign w:val="center"/>
          </w:tcPr>
          <w:p w14:paraId="2EF04E0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color w:val="auto"/>
                <w:kern w:val="2"/>
                <w:sz w:val="18"/>
                <w:szCs w:val="18"/>
                <w:lang w:val="en-US" w:eastAsia="zh-CN" w:bidi="ar-SA"/>
              </w:rPr>
            </w:pPr>
            <w:r>
              <w:rPr>
                <w:rFonts w:hint="eastAsia" w:ascii="仿宋_GB2312" w:hAnsi="宋体" w:eastAsia="仿宋_GB2312" w:cs="仿宋_GB2312"/>
                <w:color w:val="auto"/>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2821561C">
            <w:pPr>
              <w:keepNext w:val="0"/>
              <w:keepLines w:val="0"/>
              <w:pageBreakBefore w:val="0"/>
              <w:widowControl w:val="0"/>
              <w:kinsoku/>
              <w:wordWrap/>
              <w:overflowPunct w:val="0"/>
              <w:topLinePunct w:val="0"/>
              <w:autoSpaceDE/>
              <w:autoSpaceDN/>
              <w:bidi w:val="0"/>
              <w:adjustRightInd/>
              <w:snapToGrid/>
              <w:spacing w:line="276"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F7461A0">
            <w:pPr>
              <w:keepNext w:val="0"/>
              <w:keepLines w:val="0"/>
              <w:pageBreakBefore w:val="0"/>
              <w:widowControl w:val="0"/>
              <w:kinsoku/>
              <w:wordWrap/>
              <w:overflowPunct w:val="0"/>
              <w:topLinePunct w:val="0"/>
              <w:autoSpaceDE/>
              <w:autoSpaceDN/>
              <w:bidi w:val="0"/>
              <w:adjustRightInd/>
              <w:snapToGrid/>
              <w:spacing w:line="276"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5D87D6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3"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2712C8F">
            <w:pPr>
              <w:keepNext w:val="0"/>
              <w:keepLines w:val="0"/>
              <w:pageBreakBefore w:val="0"/>
              <w:widowControl w:val="0"/>
              <w:kinsoku/>
              <w:wordWrap/>
              <w:overflowPunct w:val="0"/>
              <w:topLinePunct w:val="0"/>
              <w:autoSpaceDE/>
              <w:autoSpaceDN/>
              <w:bidi w:val="0"/>
              <w:adjustRightInd w:val="0"/>
              <w:snapToGrid w:val="0"/>
              <w:spacing w:line="260" w:lineRule="exact"/>
              <w:ind w:left="0" w:leftChars="0" w:right="0" w:rightChars="0" w:firstLine="0" w:firstLineChars="0"/>
              <w:jc w:val="center"/>
              <w:rPr>
                <w:rFonts w:hint="default" w:ascii="仿宋_GB2312" w:hAnsi="宋体" w:eastAsia="仿宋_GB2312" w:cs="仿宋_GB2312"/>
                <w:spacing w:val="-5"/>
                <w:kern w:val="2"/>
                <w:sz w:val="18"/>
                <w:szCs w:val="18"/>
                <w:lang w:val="en-US" w:eastAsia="zh-CN" w:bidi="ar-SA"/>
              </w:rPr>
            </w:pPr>
          </w:p>
        </w:tc>
        <w:tc>
          <w:tcPr>
            <w:tcW w:w="1005" w:type="dxa"/>
            <w:vMerge w:val="continue"/>
            <w:tcBorders>
              <w:tl2br w:val="nil"/>
              <w:tr2bl w:val="nil"/>
            </w:tcBorders>
            <w:shd w:val="clear" w:color="auto" w:fill="auto"/>
            <w:tcMar>
              <w:top w:w="15" w:type="dxa"/>
              <w:left w:w="15" w:type="dxa"/>
              <w:right w:w="15" w:type="dxa"/>
            </w:tcMar>
            <w:vAlign w:val="center"/>
          </w:tcPr>
          <w:p w14:paraId="038BC90C">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kern w:val="2"/>
                <w:sz w:val="18"/>
                <w:szCs w:val="18"/>
                <w:lang w:val="en-US" w:eastAsia="zh-CN" w:bidi="ar-SA"/>
              </w:rPr>
            </w:pPr>
          </w:p>
        </w:tc>
        <w:tc>
          <w:tcPr>
            <w:tcW w:w="3667" w:type="dxa"/>
            <w:vMerge w:val="continue"/>
            <w:tcBorders>
              <w:tl2br w:val="nil"/>
              <w:tr2bl w:val="nil"/>
            </w:tcBorders>
            <w:shd w:val="clear" w:color="auto" w:fill="auto"/>
            <w:tcMar>
              <w:top w:w="15" w:type="dxa"/>
              <w:left w:w="15" w:type="dxa"/>
              <w:right w:w="15" w:type="dxa"/>
            </w:tcMar>
            <w:vAlign w:val="center"/>
          </w:tcPr>
          <w:p w14:paraId="4218D199">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kern w:val="2"/>
                <w:sz w:val="18"/>
                <w:szCs w:val="18"/>
                <w:lang w:val="en-US" w:eastAsia="zh-CN" w:bidi="ar-SA"/>
              </w:rPr>
            </w:pPr>
          </w:p>
        </w:tc>
        <w:tc>
          <w:tcPr>
            <w:tcW w:w="4082" w:type="dxa"/>
            <w:vMerge w:val="continue"/>
            <w:tcBorders>
              <w:tl2br w:val="nil"/>
              <w:tr2bl w:val="nil"/>
            </w:tcBorders>
            <w:shd w:val="clear" w:color="auto" w:fill="auto"/>
            <w:tcMar>
              <w:top w:w="15" w:type="dxa"/>
              <w:left w:w="15" w:type="dxa"/>
              <w:right w:w="15" w:type="dxa"/>
            </w:tcMar>
            <w:vAlign w:val="center"/>
          </w:tcPr>
          <w:p w14:paraId="32FEF6BB">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kern w:val="2"/>
                <w:sz w:val="18"/>
                <w:szCs w:val="18"/>
                <w:lang w:val="en-US" w:eastAsia="zh-CN" w:bidi="ar-SA"/>
              </w:rPr>
            </w:pPr>
          </w:p>
        </w:tc>
        <w:tc>
          <w:tcPr>
            <w:tcW w:w="459" w:type="dxa"/>
            <w:tcBorders>
              <w:tl2br w:val="nil"/>
              <w:tr2bl w:val="nil"/>
            </w:tcBorders>
            <w:shd w:val="clear" w:color="auto" w:fill="auto"/>
            <w:noWrap/>
            <w:tcMar>
              <w:top w:w="15" w:type="dxa"/>
              <w:left w:w="15" w:type="dxa"/>
              <w:right w:w="15" w:type="dxa"/>
            </w:tcMar>
            <w:vAlign w:val="center"/>
          </w:tcPr>
          <w:p w14:paraId="4D79A37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color w:val="auto"/>
                <w:kern w:val="2"/>
                <w:sz w:val="18"/>
                <w:szCs w:val="18"/>
                <w:lang w:val="en-US" w:eastAsia="zh-CN" w:bidi="ar-SA"/>
              </w:rPr>
            </w:pPr>
            <w:r>
              <w:rPr>
                <w:rFonts w:hint="eastAsia" w:ascii="仿宋_GB2312" w:hAnsi="宋体" w:eastAsia="仿宋_GB2312" w:cs="仿宋_GB2312"/>
                <w:color w:val="auto"/>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20153DC1">
            <w:pPr>
              <w:keepNext w:val="0"/>
              <w:keepLines w:val="0"/>
              <w:pageBreakBefore w:val="0"/>
              <w:widowControl w:val="0"/>
              <w:kinsoku/>
              <w:wordWrap/>
              <w:overflowPunct w:val="0"/>
              <w:topLinePunct w:val="0"/>
              <w:autoSpaceDE/>
              <w:autoSpaceDN/>
              <w:bidi w:val="0"/>
              <w:adjustRightInd w:val="0"/>
              <w:snapToGrid w:val="0"/>
              <w:spacing w:line="260" w:lineRule="exact"/>
              <w:jc w:val="center"/>
              <w:textAlignment w:val="center"/>
              <w:rPr>
                <w:rFonts w:hint="eastAsia" w:ascii="仿宋_GB2312" w:hAnsi="宋体" w:eastAsia="仿宋_GB2312" w:cs="仿宋_GB2312"/>
                <w:spacing w:val="-5"/>
                <w:kern w:val="2"/>
                <w:sz w:val="18"/>
                <w:szCs w:val="18"/>
                <w:lang w:val="en-US" w:eastAsia="zh-CN" w:bidi="ar-SA"/>
              </w:rPr>
            </w:pPr>
            <w:r>
              <w:rPr>
                <w:rFonts w:hint="eastAsia" w:ascii="仿宋_GB2312" w:hAnsi="宋体" w:eastAsia="仿宋_GB2312" w:cs="仿宋_GB2312"/>
                <w:kern w:val="0"/>
                <w:sz w:val="18"/>
                <w:szCs w:val="18"/>
                <w:lang w:bidi="ar"/>
              </w:rPr>
              <w:t>无</w:t>
            </w:r>
          </w:p>
        </w:tc>
        <w:tc>
          <w:tcPr>
            <w:tcW w:w="2655" w:type="dxa"/>
            <w:tcBorders>
              <w:tl2br w:val="nil"/>
              <w:tr2bl w:val="nil"/>
            </w:tcBorders>
            <w:shd w:val="clear" w:color="auto" w:fill="auto"/>
            <w:tcMar>
              <w:top w:w="15" w:type="dxa"/>
              <w:left w:w="15" w:type="dxa"/>
              <w:right w:w="15" w:type="dxa"/>
            </w:tcMar>
            <w:vAlign w:val="center"/>
          </w:tcPr>
          <w:p w14:paraId="0CCB2906">
            <w:pPr>
              <w:keepNext w:val="0"/>
              <w:keepLines w:val="0"/>
              <w:pageBreakBefore w:val="0"/>
              <w:widowControl w:val="0"/>
              <w:kinsoku/>
              <w:wordWrap/>
              <w:overflowPunct w:val="0"/>
              <w:topLinePunct w:val="0"/>
              <w:autoSpaceDE/>
              <w:autoSpaceDN/>
              <w:bidi w:val="0"/>
              <w:adjustRightInd w:val="0"/>
              <w:snapToGrid w:val="0"/>
              <w:spacing w:line="260" w:lineRule="exact"/>
              <w:jc w:val="center"/>
              <w:textAlignment w:val="center"/>
              <w:rPr>
                <w:rFonts w:hint="eastAsia" w:ascii="仿宋_GB2312" w:hAnsi="宋体" w:eastAsia="仿宋_GB2312" w:cs="仿宋_GB2312"/>
                <w:spacing w:val="-5"/>
                <w:kern w:val="2"/>
                <w:sz w:val="18"/>
                <w:szCs w:val="18"/>
                <w:lang w:val="en-US" w:eastAsia="zh-CN" w:bidi="ar-SA"/>
              </w:rPr>
            </w:pPr>
            <w:r>
              <w:rPr>
                <w:rFonts w:hint="eastAsia" w:ascii="仿宋_GB2312" w:hAnsi="宋体" w:eastAsia="仿宋_GB2312" w:cs="仿宋_GB2312"/>
                <w:kern w:val="0"/>
                <w:sz w:val="18"/>
                <w:szCs w:val="18"/>
                <w:lang w:bidi="ar"/>
              </w:rPr>
              <w:t>无</w:t>
            </w:r>
          </w:p>
        </w:tc>
      </w:tr>
      <w:tr w14:paraId="0B433A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3"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E24D139">
            <w:pPr>
              <w:keepNext w:val="0"/>
              <w:keepLines w:val="0"/>
              <w:pageBreakBefore w:val="0"/>
              <w:widowControl w:val="0"/>
              <w:kinsoku/>
              <w:wordWrap/>
              <w:overflowPunct w:val="0"/>
              <w:topLinePunct w:val="0"/>
              <w:autoSpaceDE/>
              <w:autoSpaceDN/>
              <w:bidi w:val="0"/>
              <w:adjustRightInd w:val="0"/>
              <w:snapToGrid w:val="0"/>
              <w:spacing w:line="260" w:lineRule="exact"/>
              <w:ind w:left="0" w:leftChars="0" w:right="0" w:rightChars="0" w:firstLine="0" w:firstLineChars="0"/>
              <w:jc w:val="center"/>
              <w:rPr>
                <w:rFonts w:hint="default" w:ascii="仿宋_GB2312" w:hAnsi="宋体" w:eastAsia="仿宋_GB2312" w:cs="仿宋_GB2312"/>
                <w:spacing w:val="-5"/>
                <w:kern w:val="2"/>
                <w:sz w:val="18"/>
                <w:szCs w:val="18"/>
                <w:lang w:val="en-US" w:eastAsia="zh-CN" w:bidi="ar-SA"/>
              </w:rPr>
            </w:pPr>
          </w:p>
        </w:tc>
        <w:tc>
          <w:tcPr>
            <w:tcW w:w="1005" w:type="dxa"/>
            <w:vMerge w:val="continue"/>
            <w:tcBorders>
              <w:tl2br w:val="nil"/>
              <w:tr2bl w:val="nil"/>
            </w:tcBorders>
            <w:shd w:val="clear" w:color="auto" w:fill="auto"/>
            <w:tcMar>
              <w:top w:w="15" w:type="dxa"/>
              <w:left w:w="15" w:type="dxa"/>
              <w:right w:w="15" w:type="dxa"/>
            </w:tcMar>
            <w:vAlign w:val="center"/>
          </w:tcPr>
          <w:p w14:paraId="4CACCCA2">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kern w:val="2"/>
                <w:sz w:val="18"/>
                <w:szCs w:val="18"/>
                <w:lang w:val="en-US" w:eastAsia="zh-CN" w:bidi="ar-SA"/>
              </w:rPr>
            </w:pPr>
          </w:p>
        </w:tc>
        <w:tc>
          <w:tcPr>
            <w:tcW w:w="3667" w:type="dxa"/>
            <w:vMerge w:val="continue"/>
            <w:tcBorders>
              <w:tl2br w:val="nil"/>
              <w:tr2bl w:val="nil"/>
            </w:tcBorders>
            <w:shd w:val="clear" w:color="auto" w:fill="auto"/>
            <w:tcMar>
              <w:top w:w="15" w:type="dxa"/>
              <w:left w:w="15" w:type="dxa"/>
              <w:right w:w="15" w:type="dxa"/>
            </w:tcMar>
            <w:vAlign w:val="center"/>
          </w:tcPr>
          <w:p w14:paraId="00B4D05B">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kern w:val="2"/>
                <w:sz w:val="18"/>
                <w:szCs w:val="18"/>
                <w:lang w:val="en-US" w:eastAsia="zh-CN" w:bidi="ar-SA"/>
              </w:rPr>
            </w:pPr>
          </w:p>
        </w:tc>
        <w:tc>
          <w:tcPr>
            <w:tcW w:w="4082" w:type="dxa"/>
            <w:vMerge w:val="continue"/>
            <w:tcBorders>
              <w:tl2br w:val="nil"/>
              <w:tr2bl w:val="nil"/>
            </w:tcBorders>
            <w:shd w:val="clear" w:color="auto" w:fill="auto"/>
            <w:tcMar>
              <w:top w:w="15" w:type="dxa"/>
              <w:left w:w="15" w:type="dxa"/>
              <w:right w:w="15" w:type="dxa"/>
            </w:tcMar>
            <w:vAlign w:val="center"/>
          </w:tcPr>
          <w:p w14:paraId="22E4A2BB">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kern w:val="2"/>
                <w:sz w:val="18"/>
                <w:szCs w:val="18"/>
                <w:lang w:val="en-US" w:eastAsia="zh-CN" w:bidi="ar-SA"/>
              </w:rPr>
            </w:pPr>
          </w:p>
        </w:tc>
        <w:tc>
          <w:tcPr>
            <w:tcW w:w="459" w:type="dxa"/>
            <w:tcBorders>
              <w:tl2br w:val="nil"/>
              <w:tr2bl w:val="nil"/>
            </w:tcBorders>
            <w:shd w:val="clear" w:color="auto" w:fill="auto"/>
            <w:noWrap/>
            <w:tcMar>
              <w:top w:w="15" w:type="dxa"/>
              <w:left w:w="15" w:type="dxa"/>
              <w:right w:w="15" w:type="dxa"/>
            </w:tcMar>
            <w:vAlign w:val="center"/>
          </w:tcPr>
          <w:p w14:paraId="1886645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color w:val="auto"/>
                <w:kern w:val="2"/>
                <w:sz w:val="18"/>
                <w:szCs w:val="18"/>
                <w:lang w:val="en-US" w:eastAsia="zh-CN" w:bidi="ar-SA"/>
              </w:rPr>
            </w:pPr>
            <w:r>
              <w:rPr>
                <w:rFonts w:hint="eastAsia" w:ascii="仿宋_GB2312" w:hAnsi="宋体" w:eastAsia="仿宋_GB2312" w:cs="仿宋_GB2312"/>
                <w:color w:val="auto"/>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2C1EA151">
            <w:pPr>
              <w:keepNext w:val="0"/>
              <w:keepLines w:val="0"/>
              <w:widowControl/>
              <w:suppressLineNumbers w:val="0"/>
              <w:jc w:val="left"/>
            </w:pPr>
            <w:r>
              <w:rPr>
                <w:rFonts w:ascii="仿宋_GB2312" w:hAnsi="宋体" w:eastAsia="仿宋_GB2312" w:cs="仿宋_GB2312"/>
                <w:color w:val="000000"/>
                <w:kern w:val="0"/>
                <w:sz w:val="18"/>
                <w:szCs w:val="18"/>
                <w:lang w:val="en-US" w:eastAsia="zh-CN" w:bidi="ar"/>
              </w:rPr>
              <w:t xml:space="preserve">未按规定填写煤矿领 </w:t>
            </w:r>
          </w:p>
          <w:p w14:paraId="5C600FEE">
            <w:pPr>
              <w:keepNext w:val="0"/>
              <w:keepLines w:val="0"/>
              <w:widowControl/>
              <w:suppressLineNumbers w:val="0"/>
              <w:jc w:val="left"/>
            </w:pPr>
            <w:r>
              <w:rPr>
                <w:rFonts w:hint="eastAsia" w:ascii="仿宋_GB2312" w:hAnsi="宋体" w:eastAsia="仿宋_GB2312" w:cs="仿宋_GB2312"/>
                <w:color w:val="000000"/>
                <w:kern w:val="0"/>
                <w:sz w:val="18"/>
                <w:szCs w:val="18"/>
                <w:lang w:val="en-US" w:eastAsia="zh-CN" w:bidi="ar"/>
              </w:rPr>
              <w:t xml:space="preserve">导下井交接班记录簿、 </w:t>
            </w:r>
          </w:p>
          <w:p w14:paraId="75659694">
            <w:pPr>
              <w:keepNext w:val="0"/>
              <w:keepLines w:val="0"/>
              <w:widowControl/>
              <w:suppressLineNumbers w:val="0"/>
              <w:jc w:val="left"/>
            </w:pPr>
            <w:r>
              <w:rPr>
                <w:rFonts w:hint="eastAsia" w:ascii="仿宋_GB2312" w:hAnsi="宋体" w:eastAsia="仿宋_GB2312" w:cs="仿宋_GB2312"/>
                <w:color w:val="000000"/>
                <w:kern w:val="0"/>
                <w:sz w:val="18"/>
                <w:szCs w:val="18"/>
                <w:lang w:val="en-US" w:eastAsia="zh-CN" w:bidi="ar"/>
              </w:rPr>
              <w:t xml:space="preserve">带班下井记录或者保 </w:t>
            </w:r>
          </w:p>
          <w:p w14:paraId="0D23133C">
            <w:pPr>
              <w:keepNext w:val="0"/>
              <w:keepLines w:val="0"/>
              <w:widowControl/>
              <w:suppressLineNumbers w:val="0"/>
              <w:jc w:val="left"/>
            </w:pPr>
            <w:r>
              <w:rPr>
                <w:rFonts w:hint="eastAsia" w:ascii="仿宋_GB2312" w:hAnsi="宋体" w:eastAsia="仿宋_GB2312" w:cs="仿宋_GB2312"/>
                <w:color w:val="000000"/>
                <w:kern w:val="0"/>
                <w:sz w:val="18"/>
                <w:szCs w:val="18"/>
                <w:lang w:val="en-US" w:eastAsia="zh-CN" w:bidi="ar"/>
              </w:rPr>
              <w:t xml:space="preserve">存带班下井相关记录 </w:t>
            </w:r>
          </w:p>
          <w:p w14:paraId="4382330A">
            <w:pPr>
              <w:keepNext w:val="0"/>
              <w:keepLines w:val="0"/>
              <w:widowControl/>
              <w:suppressLineNumbers w:val="0"/>
              <w:jc w:val="left"/>
            </w:pPr>
            <w:r>
              <w:rPr>
                <w:rFonts w:hint="eastAsia" w:ascii="仿宋_GB2312" w:hAnsi="宋体" w:eastAsia="仿宋_GB2312" w:cs="仿宋_GB2312"/>
                <w:color w:val="000000"/>
                <w:kern w:val="0"/>
                <w:sz w:val="18"/>
                <w:szCs w:val="18"/>
                <w:lang w:val="en-US" w:eastAsia="zh-CN" w:bidi="ar"/>
              </w:rPr>
              <w:t>档案的。</w:t>
            </w:r>
          </w:p>
          <w:p w14:paraId="77525E28">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宋体" w:eastAsia="仿宋_GB2312" w:cs="仿宋_GB2312"/>
                <w:spacing w:val="-5"/>
                <w:kern w:val="2"/>
                <w:sz w:val="18"/>
                <w:szCs w:val="18"/>
                <w:lang w:val="en-US" w:eastAsia="zh-CN" w:bidi="ar-SA"/>
              </w:rPr>
            </w:pPr>
          </w:p>
        </w:tc>
        <w:tc>
          <w:tcPr>
            <w:tcW w:w="2655" w:type="dxa"/>
            <w:tcBorders>
              <w:tl2br w:val="nil"/>
              <w:tr2bl w:val="nil"/>
            </w:tcBorders>
            <w:shd w:val="clear" w:color="auto" w:fill="auto"/>
            <w:tcMar>
              <w:top w:w="15" w:type="dxa"/>
              <w:left w:w="15" w:type="dxa"/>
              <w:right w:w="15" w:type="dxa"/>
            </w:tcMar>
            <w:vAlign w:val="center"/>
          </w:tcPr>
          <w:p w14:paraId="01845074">
            <w:pPr>
              <w:keepNext w:val="0"/>
              <w:keepLines w:val="0"/>
              <w:pageBreakBefore w:val="0"/>
              <w:widowControl w:val="0"/>
              <w:kinsoku/>
              <w:wordWrap/>
              <w:overflowPunct w:val="0"/>
              <w:topLinePunct w:val="0"/>
              <w:autoSpaceDE/>
              <w:autoSpaceDN/>
              <w:bidi w:val="0"/>
              <w:adjustRightInd w:val="0"/>
              <w:snapToGrid w:val="0"/>
              <w:spacing w:line="260" w:lineRule="exact"/>
              <w:jc w:val="center"/>
              <w:textAlignment w:val="center"/>
              <w:rPr>
                <w:rFonts w:hint="eastAsia" w:ascii="仿宋_GB2312" w:hAnsi="宋体" w:eastAsia="仿宋_GB2312" w:cs="仿宋_GB2312"/>
                <w:spacing w:val="-5"/>
                <w:sz w:val="18"/>
                <w:szCs w:val="18"/>
              </w:rPr>
            </w:pPr>
            <w:r>
              <w:rPr>
                <w:rFonts w:hint="eastAsia" w:ascii="仿宋_GB2312" w:hAnsi="宋体" w:eastAsia="仿宋_GB2312" w:cs="仿宋_GB2312"/>
                <w:spacing w:val="-5"/>
                <w:sz w:val="18"/>
                <w:szCs w:val="18"/>
              </w:rPr>
              <w:t>给予警告，并处3万元罚款；对煤</w:t>
            </w:r>
          </w:p>
          <w:p w14:paraId="3B653E78">
            <w:pPr>
              <w:keepNext w:val="0"/>
              <w:keepLines w:val="0"/>
              <w:pageBreakBefore w:val="0"/>
              <w:widowControl w:val="0"/>
              <w:kinsoku/>
              <w:wordWrap/>
              <w:overflowPunct w:val="0"/>
              <w:topLinePunct w:val="0"/>
              <w:autoSpaceDE/>
              <w:autoSpaceDN/>
              <w:bidi w:val="0"/>
              <w:adjustRightInd w:val="0"/>
              <w:snapToGrid w:val="0"/>
              <w:spacing w:line="260" w:lineRule="exact"/>
              <w:jc w:val="center"/>
              <w:textAlignment w:val="center"/>
              <w:rPr>
                <w:rFonts w:hint="eastAsia" w:ascii="仿宋_GB2312" w:hAnsi="宋体" w:eastAsia="仿宋_GB2312" w:cs="仿宋_GB2312"/>
                <w:spacing w:val="-5"/>
                <w:sz w:val="18"/>
                <w:szCs w:val="18"/>
              </w:rPr>
            </w:pPr>
            <w:r>
              <w:rPr>
                <w:rFonts w:hint="eastAsia" w:ascii="仿宋_GB2312" w:hAnsi="宋体" w:eastAsia="仿宋_GB2312" w:cs="仿宋_GB2312"/>
                <w:spacing w:val="-5"/>
                <w:sz w:val="18"/>
                <w:szCs w:val="18"/>
              </w:rPr>
              <w:t>矿主要负责人处1万元罚款。</w:t>
            </w:r>
          </w:p>
          <w:p w14:paraId="517C49E6">
            <w:pPr>
              <w:keepNext w:val="0"/>
              <w:keepLines w:val="0"/>
              <w:pageBreakBefore w:val="0"/>
              <w:widowControl w:val="0"/>
              <w:kinsoku/>
              <w:wordWrap/>
              <w:overflowPunct w:val="0"/>
              <w:topLinePunct w:val="0"/>
              <w:autoSpaceDE/>
              <w:autoSpaceDN/>
              <w:bidi w:val="0"/>
              <w:adjustRightInd w:val="0"/>
              <w:snapToGrid w:val="0"/>
              <w:spacing w:line="260" w:lineRule="exact"/>
              <w:jc w:val="center"/>
              <w:textAlignment w:val="center"/>
              <w:rPr>
                <w:rFonts w:hint="eastAsia" w:ascii="仿宋_GB2312" w:hAnsi="宋体" w:eastAsia="仿宋_GB2312" w:cs="仿宋_GB2312"/>
                <w:spacing w:val="-5"/>
                <w:kern w:val="2"/>
                <w:sz w:val="18"/>
                <w:szCs w:val="18"/>
                <w:lang w:val="en-US" w:eastAsia="zh-CN" w:bidi="ar-SA"/>
              </w:rPr>
            </w:pPr>
          </w:p>
        </w:tc>
      </w:tr>
      <w:tr w14:paraId="5A9CFC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3" w:hRule="atLeast"/>
          <w:jc w:val="center"/>
        </w:trPr>
        <w:tc>
          <w:tcPr>
            <w:tcW w:w="418" w:type="dxa"/>
            <w:vMerge w:val="continue"/>
            <w:tcBorders>
              <w:bottom w:val="single" w:color="auto" w:sz="4" w:space="0"/>
              <w:tl2br w:val="nil"/>
              <w:tr2bl w:val="nil"/>
            </w:tcBorders>
            <w:shd w:val="clear" w:color="auto" w:fill="auto"/>
            <w:noWrap/>
            <w:tcMar>
              <w:top w:w="15" w:type="dxa"/>
              <w:left w:w="15" w:type="dxa"/>
              <w:right w:w="15" w:type="dxa"/>
            </w:tcMar>
            <w:vAlign w:val="center"/>
          </w:tcPr>
          <w:p w14:paraId="39CD1FEA">
            <w:pPr>
              <w:keepNext w:val="0"/>
              <w:keepLines w:val="0"/>
              <w:pageBreakBefore w:val="0"/>
              <w:widowControl w:val="0"/>
              <w:kinsoku/>
              <w:wordWrap/>
              <w:overflowPunct w:val="0"/>
              <w:topLinePunct w:val="0"/>
              <w:autoSpaceDE/>
              <w:autoSpaceDN/>
              <w:bidi w:val="0"/>
              <w:adjustRightInd w:val="0"/>
              <w:snapToGrid w:val="0"/>
              <w:spacing w:line="260" w:lineRule="exact"/>
              <w:ind w:left="0" w:leftChars="0" w:right="0" w:rightChars="0" w:firstLine="0" w:firstLineChars="0"/>
              <w:jc w:val="center"/>
              <w:rPr>
                <w:rFonts w:hint="default" w:ascii="仿宋_GB2312" w:hAnsi="宋体" w:eastAsia="仿宋_GB2312" w:cs="仿宋_GB2312"/>
                <w:spacing w:val="-5"/>
                <w:kern w:val="2"/>
                <w:sz w:val="18"/>
                <w:szCs w:val="18"/>
                <w:lang w:val="en-US" w:eastAsia="zh-CN" w:bidi="ar-SA"/>
              </w:rPr>
            </w:pPr>
          </w:p>
        </w:tc>
        <w:tc>
          <w:tcPr>
            <w:tcW w:w="1005" w:type="dxa"/>
            <w:vMerge w:val="continue"/>
            <w:tcBorders>
              <w:bottom w:val="single" w:color="auto" w:sz="4" w:space="0"/>
              <w:tl2br w:val="nil"/>
              <w:tr2bl w:val="nil"/>
            </w:tcBorders>
            <w:shd w:val="clear" w:color="auto" w:fill="auto"/>
            <w:tcMar>
              <w:top w:w="15" w:type="dxa"/>
              <w:left w:w="15" w:type="dxa"/>
              <w:right w:w="15" w:type="dxa"/>
            </w:tcMar>
            <w:vAlign w:val="center"/>
          </w:tcPr>
          <w:p w14:paraId="3572B7D7">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kern w:val="2"/>
                <w:sz w:val="18"/>
                <w:szCs w:val="18"/>
                <w:lang w:val="en-US" w:eastAsia="zh-CN" w:bidi="ar-SA"/>
              </w:rPr>
            </w:pPr>
          </w:p>
        </w:tc>
        <w:tc>
          <w:tcPr>
            <w:tcW w:w="3667" w:type="dxa"/>
            <w:vMerge w:val="continue"/>
            <w:tcBorders>
              <w:bottom w:val="single" w:color="auto" w:sz="4" w:space="0"/>
              <w:tl2br w:val="nil"/>
              <w:tr2bl w:val="nil"/>
            </w:tcBorders>
            <w:shd w:val="clear" w:color="auto" w:fill="auto"/>
            <w:tcMar>
              <w:top w:w="15" w:type="dxa"/>
              <w:left w:w="15" w:type="dxa"/>
              <w:right w:w="15" w:type="dxa"/>
            </w:tcMar>
            <w:vAlign w:val="center"/>
          </w:tcPr>
          <w:p w14:paraId="45CD3D60">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kern w:val="2"/>
                <w:sz w:val="18"/>
                <w:szCs w:val="18"/>
                <w:lang w:val="en-US" w:eastAsia="zh-CN" w:bidi="ar-SA"/>
              </w:rPr>
            </w:pPr>
          </w:p>
        </w:tc>
        <w:tc>
          <w:tcPr>
            <w:tcW w:w="4082" w:type="dxa"/>
            <w:vMerge w:val="continue"/>
            <w:tcBorders>
              <w:bottom w:val="single" w:color="auto" w:sz="4" w:space="0"/>
              <w:tl2br w:val="nil"/>
              <w:tr2bl w:val="nil"/>
            </w:tcBorders>
            <w:shd w:val="clear" w:color="auto" w:fill="auto"/>
            <w:tcMar>
              <w:top w:w="15" w:type="dxa"/>
              <w:left w:w="15" w:type="dxa"/>
              <w:right w:w="15" w:type="dxa"/>
            </w:tcMar>
            <w:vAlign w:val="center"/>
          </w:tcPr>
          <w:p w14:paraId="0F2DE9E3">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kern w:val="2"/>
                <w:sz w:val="18"/>
                <w:szCs w:val="18"/>
                <w:lang w:val="en-US" w:eastAsia="zh-CN" w:bidi="ar-SA"/>
              </w:rPr>
            </w:pPr>
          </w:p>
        </w:tc>
        <w:tc>
          <w:tcPr>
            <w:tcW w:w="459" w:type="dxa"/>
            <w:tcBorders>
              <w:tl2br w:val="nil"/>
              <w:tr2bl w:val="nil"/>
            </w:tcBorders>
            <w:shd w:val="clear" w:color="auto" w:fill="auto"/>
            <w:noWrap/>
            <w:tcMar>
              <w:top w:w="15" w:type="dxa"/>
              <w:left w:w="15" w:type="dxa"/>
              <w:right w:w="15" w:type="dxa"/>
            </w:tcMar>
            <w:vAlign w:val="center"/>
          </w:tcPr>
          <w:p w14:paraId="1DC515A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color w:val="auto"/>
                <w:kern w:val="2"/>
                <w:sz w:val="18"/>
                <w:szCs w:val="18"/>
                <w:lang w:val="en-US" w:eastAsia="zh-CN" w:bidi="ar-SA"/>
              </w:rPr>
            </w:pPr>
            <w:r>
              <w:rPr>
                <w:rFonts w:hint="eastAsia" w:ascii="仿宋_GB2312" w:hAnsi="宋体" w:eastAsia="仿宋_GB2312" w:cs="仿宋_GB2312"/>
                <w:color w:val="auto"/>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10A6C43D">
            <w:pPr>
              <w:keepNext w:val="0"/>
              <w:keepLines w:val="0"/>
              <w:pageBreakBefore w:val="0"/>
              <w:widowControl w:val="0"/>
              <w:kinsoku/>
              <w:wordWrap/>
              <w:overflowPunct w:val="0"/>
              <w:topLinePunct w:val="0"/>
              <w:autoSpaceDE/>
              <w:autoSpaceDN/>
              <w:bidi w:val="0"/>
              <w:adjustRightInd w:val="0"/>
              <w:snapToGrid w:val="0"/>
              <w:spacing w:line="260" w:lineRule="exact"/>
              <w:jc w:val="center"/>
              <w:textAlignment w:val="center"/>
              <w:rPr>
                <w:rFonts w:hint="eastAsia" w:ascii="仿宋_GB2312" w:hAnsi="宋体" w:eastAsia="仿宋_GB2312" w:cs="仿宋_GB2312"/>
                <w:spacing w:val="-5"/>
                <w:kern w:val="2"/>
                <w:sz w:val="18"/>
                <w:szCs w:val="18"/>
                <w:lang w:val="en-US" w:eastAsia="zh-CN" w:bidi="ar-SA"/>
              </w:rPr>
            </w:pPr>
            <w:r>
              <w:rPr>
                <w:rFonts w:hint="eastAsia" w:ascii="仿宋_GB2312" w:hAnsi="宋体" w:eastAsia="仿宋_GB2312" w:cs="仿宋_GB2312"/>
                <w:kern w:val="0"/>
                <w:sz w:val="18"/>
                <w:szCs w:val="18"/>
                <w:lang w:bidi="ar"/>
              </w:rPr>
              <w:t>无</w:t>
            </w:r>
          </w:p>
        </w:tc>
        <w:tc>
          <w:tcPr>
            <w:tcW w:w="2655" w:type="dxa"/>
            <w:tcBorders>
              <w:tl2br w:val="nil"/>
              <w:tr2bl w:val="nil"/>
            </w:tcBorders>
            <w:shd w:val="clear" w:color="auto" w:fill="auto"/>
            <w:tcMar>
              <w:top w:w="15" w:type="dxa"/>
              <w:left w:w="15" w:type="dxa"/>
              <w:right w:w="15" w:type="dxa"/>
            </w:tcMar>
            <w:vAlign w:val="center"/>
          </w:tcPr>
          <w:p w14:paraId="52C2E7BF">
            <w:pPr>
              <w:keepNext w:val="0"/>
              <w:keepLines w:val="0"/>
              <w:pageBreakBefore w:val="0"/>
              <w:widowControl w:val="0"/>
              <w:kinsoku/>
              <w:wordWrap/>
              <w:overflowPunct w:val="0"/>
              <w:topLinePunct w:val="0"/>
              <w:autoSpaceDE/>
              <w:autoSpaceDN/>
              <w:bidi w:val="0"/>
              <w:adjustRightInd w:val="0"/>
              <w:snapToGrid w:val="0"/>
              <w:spacing w:line="260" w:lineRule="exact"/>
              <w:jc w:val="center"/>
              <w:textAlignment w:val="center"/>
              <w:rPr>
                <w:rFonts w:hint="eastAsia" w:ascii="仿宋_GB2312" w:hAnsi="宋体" w:eastAsia="仿宋_GB2312" w:cs="仿宋_GB2312"/>
                <w:spacing w:val="-5"/>
                <w:kern w:val="2"/>
                <w:sz w:val="18"/>
                <w:szCs w:val="18"/>
                <w:lang w:val="en-US" w:eastAsia="zh-CN" w:bidi="ar-SA"/>
              </w:rPr>
            </w:pPr>
            <w:r>
              <w:rPr>
                <w:rFonts w:hint="eastAsia" w:ascii="仿宋_GB2312" w:hAnsi="宋体" w:eastAsia="仿宋_GB2312" w:cs="仿宋_GB2312"/>
                <w:kern w:val="0"/>
                <w:sz w:val="18"/>
                <w:szCs w:val="18"/>
                <w:lang w:bidi="ar"/>
              </w:rPr>
              <w:t>无</w:t>
            </w:r>
          </w:p>
        </w:tc>
      </w:tr>
      <w:tr w14:paraId="43BFB3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1307" w:author="LV" w:date="2026-07-14T16:15:29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wBefore w:w="0" w:type="auto"/>
          <w:trHeight w:val="567" w:hRule="atLeast"/>
          <w:jc w:val="center"/>
          <w:trPrChange w:id="1307" w:author="LV" w:date="2026-07-14T16:15:29Z">
            <w:trPr>
              <w:gridBefore w:val="2"/>
              <w:wBefore w:w="15" w:type="dxa"/>
              <w:trHeight w:val="567" w:hRule="atLeast"/>
              <w:jc w:val="center"/>
            </w:trPr>
          </w:trPrChange>
        </w:trPr>
        <w:tc>
          <w:tcPr>
            <w:tcW w:w="418" w:type="dxa"/>
            <w:vMerge w:val="restart"/>
            <w:tcBorders>
              <w:bottom w:val="single" w:color="auto" w:sz="4" w:space="0"/>
              <w:tl2br w:val="nil"/>
              <w:tr2bl w:val="nil"/>
            </w:tcBorders>
            <w:shd w:val="clear" w:color="auto" w:fill="auto"/>
            <w:noWrap/>
            <w:tcMar>
              <w:top w:w="15" w:type="dxa"/>
              <w:left w:w="15" w:type="dxa"/>
              <w:right w:w="15" w:type="dxa"/>
            </w:tcMar>
            <w:vAlign w:val="center"/>
            <w:tcPrChange w:id="1308" w:author="LV" w:date="2026-07-14T16:15:29Z">
              <w:tcPr>
                <w:tcW w:w="418" w:type="dxa"/>
                <w:gridSpan w:val="3"/>
                <w:vMerge w:val="restart"/>
                <w:tcBorders>
                  <w:bottom w:val="single" w:color="auto" w:sz="4" w:space="0"/>
                  <w:tl2br w:val="nil"/>
                  <w:tr2bl w:val="nil"/>
                </w:tcBorders>
                <w:shd w:val="clear" w:color="auto" w:fill="auto"/>
                <w:noWrap/>
                <w:tcMar>
                  <w:top w:w="15" w:type="dxa"/>
                  <w:left w:w="15" w:type="dxa"/>
                  <w:right w:w="15" w:type="dxa"/>
                </w:tcMar>
                <w:vAlign w:val="center"/>
              </w:tcPr>
            </w:tcPrChange>
          </w:tcPr>
          <w:p w14:paraId="5386686E">
            <w:pPr>
              <w:keepNext w:val="0"/>
              <w:keepLines w:val="0"/>
              <w:pageBreakBefore w:val="0"/>
              <w:widowControl w:val="0"/>
              <w:kinsoku/>
              <w:wordWrap/>
              <w:overflowPunct w:val="0"/>
              <w:topLinePunct w:val="0"/>
              <w:autoSpaceDE/>
              <w:autoSpaceDN/>
              <w:bidi w:val="0"/>
              <w:adjustRightInd w:val="0"/>
              <w:snapToGrid w:val="0"/>
              <w:spacing w:line="260" w:lineRule="exact"/>
              <w:ind w:left="0" w:leftChars="0" w:right="0" w:rightChars="0" w:firstLine="0" w:firstLineChars="0"/>
              <w:jc w:val="center"/>
              <w:textAlignment w:val="center"/>
              <w:rPr>
                <w:rFonts w:hint="default" w:ascii="仿宋_GB2312" w:hAnsi="宋体" w:eastAsia="仿宋_GB2312" w:cs="仿宋_GB2312"/>
                <w:spacing w:val="0"/>
                <w:sz w:val="18"/>
                <w:szCs w:val="18"/>
                <w:lang w:val="en-US" w:eastAsia="zh-CN"/>
              </w:rPr>
            </w:pPr>
            <w:del w:id="1309" w:author="LV" w:date="2026-07-14T16:14:36Z">
              <w:r>
                <w:rPr>
                  <w:rFonts w:hint="default" w:ascii="仿宋_GB2312" w:hAnsi="宋体" w:eastAsia="仿宋_GB2312" w:cs="仿宋_GB2312"/>
                  <w:spacing w:val="0"/>
                  <w:kern w:val="0"/>
                  <w:sz w:val="18"/>
                  <w:szCs w:val="18"/>
                  <w:lang w:val="en-US" w:bidi="ar"/>
                </w:rPr>
                <w:delText>1</w:delText>
              </w:r>
            </w:del>
            <w:del w:id="1310" w:author="LV" w:date="2026-07-14T16:14:36Z">
              <w:r>
                <w:rPr>
                  <w:rFonts w:hint="default" w:ascii="仿宋_GB2312" w:hAnsi="宋体" w:eastAsia="仿宋_GB2312" w:cs="仿宋_GB2312"/>
                  <w:spacing w:val="0"/>
                  <w:kern w:val="0"/>
                  <w:sz w:val="18"/>
                  <w:szCs w:val="18"/>
                  <w:lang w:val="en-US" w:eastAsia="zh-CN" w:bidi="ar"/>
                </w:rPr>
                <w:delText>9</w:delText>
              </w:r>
            </w:del>
            <w:ins w:id="1311" w:author="LV" w:date="2026-07-14T16:14:36Z">
              <w:r>
                <w:rPr>
                  <w:rFonts w:hint="eastAsia" w:ascii="仿宋_GB2312" w:hAnsi="宋体" w:eastAsia="仿宋_GB2312" w:cs="仿宋_GB2312"/>
                  <w:spacing w:val="0"/>
                  <w:kern w:val="0"/>
                  <w:sz w:val="18"/>
                  <w:szCs w:val="18"/>
                  <w:lang w:val="en-US" w:eastAsia="zh-CN" w:bidi="ar"/>
                </w:rPr>
                <w:t>2</w:t>
              </w:r>
            </w:ins>
            <w:ins w:id="1312" w:author="LV" w:date="2026-07-14T16:14:37Z">
              <w:r>
                <w:rPr>
                  <w:rFonts w:hint="eastAsia" w:ascii="仿宋_GB2312" w:hAnsi="宋体" w:eastAsia="仿宋_GB2312" w:cs="仿宋_GB2312"/>
                  <w:spacing w:val="0"/>
                  <w:kern w:val="0"/>
                  <w:sz w:val="18"/>
                  <w:szCs w:val="18"/>
                  <w:lang w:val="en-US" w:eastAsia="zh-CN" w:bidi="ar"/>
                </w:rPr>
                <w:t>1</w:t>
              </w:r>
            </w:ins>
          </w:p>
        </w:tc>
        <w:tc>
          <w:tcPr>
            <w:tcW w:w="1005" w:type="dxa"/>
            <w:vMerge w:val="restart"/>
            <w:tcBorders>
              <w:bottom w:val="single" w:color="auto" w:sz="4" w:space="0"/>
              <w:tl2br w:val="nil"/>
              <w:tr2bl w:val="nil"/>
            </w:tcBorders>
            <w:shd w:val="clear" w:color="auto" w:fill="auto"/>
            <w:tcMar>
              <w:top w:w="15" w:type="dxa"/>
              <w:left w:w="15" w:type="dxa"/>
              <w:right w:w="15" w:type="dxa"/>
            </w:tcMar>
            <w:vAlign w:val="center"/>
            <w:tcPrChange w:id="1313" w:author="LV" w:date="2026-07-14T16:15:29Z">
              <w:tcPr>
                <w:tcW w:w="1005" w:type="dxa"/>
                <w:gridSpan w:val="3"/>
                <w:vMerge w:val="restart"/>
                <w:tcBorders>
                  <w:bottom w:val="single" w:color="auto" w:sz="4" w:space="0"/>
                  <w:tl2br w:val="nil"/>
                  <w:tr2bl w:val="nil"/>
                </w:tcBorders>
                <w:shd w:val="clear" w:color="auto" w:fill="auto"/>
                <w:tcMar>
                  <w:top w:w="15" w:type="dxa"/>
                  <w:left w:w="15" w:type="dxa"/>
                  <w:right w:w="15" w:type="dxa"/>
                </w:tcMar>
                <w:vAlign w:val="center"/>
              </w:tcPr>
            </w:tcPrChange>
          </w:tcPr>
          <w:p w14:paraId="7209997F">
            <w:pPr>
              <w:keepNext w:val="0"/>
              <w:keepLines w:val="0"/>
              <w:pageBreakBefore w:val="0"/>
              <w:widowControl w:val="0"/>
              <w:kinsoku/>
              <w:wordWrap/>
              <w:overflowPunct w:val="0"/>
              <w:topLinePunct w:val="0"/>
              <w:autoSpaceDE/>
              <w:autoSpaceDN/>
              <w:bidi w:val="0"/>
              <w:adjustRightInd w:val="0"/>
              <w:snapToGrid w:val="0"/>
              <w:spacing w:line="260" w:lineRule="exact"/>
              <w:textAlignment w:val="center"/>
              <w:rPr>
                <w:rFonts w:hint="eastAsia" w:ascii="仿宋_GB2312" w:hAnsi="宋体" w:eastAsia="仿宋_GB2312" w:cs="仿宋_GB2312"/>
                <w:color w:val="auto"/>
                <w:spacing w:val="0"/>
                <w:sz w:val="18"/>
                <w:szCs w:val="18"/>
                <w:lang w:eastAsia="zh-CN"/>
              </w:rPr>
            </w:pPr>
            <w:r>
              <w:rPr>
                <w:rFonts w:hint="eastAsia" w:ascii="仿宋_GB2312" w:hAnsi="宋体" w:eastAsia="仿宋_GB2312" w:cs="仿宋_GB2312"/>
                <w:color w:val="auto"/>
                <w:spacing w:val="0"/>
                <w:kern w:val="0"/>
                <w:sz w:val="18"/>
                <w:szCs w:val="18"/>
                <w:lang w:bidi="ar"/>
              </w:rPr>
              <w:t>冲击地压煤矿未按照《山东省煤矿冲击地压防治办法》规定审核批准相关技术资料</w:t>
            </w:r>
            <w:r>
              <w:rPr>
                <w:rFonts w:hint="eastAsia" w:ascii="仿宋_GB2312" w:hAnsi="宋体" w:eastAsia="仿宋_GB2312" w:cs="仿宋_GB2312"/>
                <w:color w:val="auto"/>
                <w:spacing w:val="0"/>
                <w:kern w:val="0"/>
                <w:sz w:val="18"/>
                <w:szCs w:val="18"/>
                <w:lang w:eastAsia="zh-CN" w:bidi="ar"/>
              </w:rPr>
              <w:t>的</w:t>
            </w:r>
          </w:p>
        </w:tc>
        <w:tc>
          <w:tcPr>
            <w:tcW w:w="3667" w:type="dxa"/>
            <w:vMerge w:val="restart"/>
            <w:tcBorders>
              <w:bottom w:val="single" w:color="auto" w:sz="4" w:space="0"/>
              <w:tl2br w:val="nil"/>
              <w:tr2bl w:val="nil"/>
            </w:tcBorders>
            <w:shd w:val="clear" w:color="auto" w:fill="auto"/>
            <w:tcMar>
              <w:top w:w="15" w:type="dxa"/>
              <w:left w:w="15" w:type="dxa"/>
              <w:right w:w="15" w:type="dxa"/>
            </w:tcMar>
            <w:vAlign w:val="center"/>
            <w:tcPrChange w:id="1314" w:author="LV" w:date="2026-07-14T16:15:29Z">
              <w:tcPr>
                <w:tcW w:w="3667" w:type="dxa"/>
                <w:gridSpan w:val="3"/>
                <w:vMerge w:val="restart"/>
                <w:tcBorders>
                  <w:bottom w:val="single" w:color="auto" w:sz="4" w:space="0"/>
                  <w:tl2br w:val="nil"/>
                  <w:tr2bl w:val="nil"/>
                </w:tcBorders>
                <w:shd w:val="clear" w:color="auto" w:fill="auto"/>
                <w:tcMar>
                  <w:top w:w="15" w:type="dxa"/>
                  <w:left w:w="15" w:type="dxa"/>
                  <w:right w:w="15" w:type="dxa"/>
                </w:tcMar>
                <w:vAlign w:val="center"/>
              </w:tcPr>
            </w:tcPrChange>
          </w:tcPr>
          <w:p w14:paraId="3F2ABEA1">
            <w:pPr>
              <w:keepNext w:val="0"/>
              <w:keepLines w:val="0"/>
              <w:pageBreakBefore w:val="0"/>
              <w:widowControl w:val="0"/>
              <w:kinsoku/>
              <w:wordWrap/>
              <w:overflowPunct w:val="0"/>
              <w:topLinePunct w:val="0"/>
              <w:autoSpaceDE/>
              <w:autoSpaceDN/>
              <w:bidi w:val="0"/>
              <w:adjustRightInd w:val="0"/>
              <w:snapToGrid w:val="0"/>
              <w:spacing w:line="260" w:lineRule="exact"/>
              <w:textAlignment w:val="center"/>
              <w:rPr>
                <w:ins w:id="1316" w:author="LV" w:date="2026-07-14T16:15:33Z"/>
                <w:rFonts w:hint="eastAsia" w:ascii="仿宋_GB2312" w:hAnsi="宋体" w:eastAsia="仿宋_GB2312" w:cs="仿宋_GB2312"/>
                <w:color w:val="auto"/>
                <w:spacing w:val="0"/>
                <w:kern w:val="0"/>
                <w:sz w:val="18"/>
                <w:szCs w:val="18"/>
                <w:lang w:bidi="ar"/>
              </w:rPr>
              <w:pPrChange w:id="1315" w:author="LV" w:date="2026-07-14T16:15:29Z">
                <w:pPr>
                  <w:keepNext w:val="0"/>
                  <w:keepLines w:val="0"/>
                  <w:pageBreakBefore w:val="0"/>
                  <w:widowControl w:val="0"/>
                  <w:kinsoku/>
                  <w:wordWrap/>
                  <w:overflowPunct w:val="0"/>
                  <w:topLinePunct w:val="0"/>
                  <w:autoSpaceDE/>
                  <w:autoSpaceDN/>
                  <w:bidi w:val="0"/>
                  <w:adjustRightInd w:val="0"/>
                  <w:snapToGrid w:val="0"/>
                  <w:spacing w:line="260" w:lineRule="exact"/>
                  <w:textAlignment w:val="center"/>
                </w:pPr>
              </w:pPrChange>
            </w:pPr>
          </w:p>
          <w:p w14:paraId="5CA20A4C">
            <w:pPr>
              <w:keepNext w:val="0"/>
              <w:keepLines w:val="0"/>
              <w:pageBreakBefore w:val="0"/>
              <w:widowControl w:val="0"/>
              <w:kinsoku/>
              <w:wordWrap/>
              <w:overflowPunct w:val="0"/>
              <w:topLinePunct w:val="0"/>
              <w:autoSpaceDE/>
              <w:autoSpaceDN/>
              <w:bidi w:val="0"/>
              <w:adjustRightInd w:val="0"/>
              <w:snapToGrid w:val="0"/>
              <w:spacing w:line="260" w:lineRule="exact"/>
              <w:textAlignment w:val="center"/>
              <w:rPr>
                <w:ins w:id="1318" w:author="LV" w:date="2026-07-14T16:15:33Z"/>
                <w:rFonts w:hint="eastAsia" w:ascii="仿宋_GB2312" w:hAnsi="宋体" w:eastAsia="仿宋_GB2312" w:cs="仿宋_GB2312"/>
                <w:color w:val="auto"/>
                <w:spacing w:val="0"/>
                <w:kern w:val="0"/>
                <w:sz w:val="18"/>
                <w:szCs w:val="18"/>
                <w:lang w:bidi="ar"/>
              </w:rPr>
              <w:pPrChange w:id="1317" w:author="LV" w:date="2026-07-14T16:15:29Z">
                <w:pPr>
                  <w:keepNext w:val="0"/>
                  <w:keepLines w:val="0"/>
                  <w:pageBreakBefore w:val="0"/>
                  <w:widowControl w:val="0"/>
                  <w:kinsoku/>
                  <w:wordWrap/>
                  <w:overflowPunct w:val="0"/>
                  <w:topLinePunct w:val="0"/>
                  <w:autoSpaceDE/>
                  <w:autoSpaceDN/>
                  <w:bidi w:val="0"/>
                  <w:adjustRightInd w:val="0"/>
                  <w:snapToGrid w:val="0"/>
                  <w:spacing w:line="260" w:lineRule="exact"/>
                  <w:textAlignment w:val="center"/>
                </w:pPr>
              </w:pPrChange>
            </w:pPr>
          </w:p>
          <w:p w14:paraId="3FFC4EF4">
            <w:pPr>
              <w:keepNext w:val="0"/>
              <w:keepLines w:val="0"/>
              <w:pageBreakBefore w:val="0"/>
              <w:widowControl w:val="0"/>
              <w:kinsoku/>
              <w:wordWrap/>
              <w:overflowPunct w:val="0"/>
              <w:topLinePunct w:val="0"/>
              <w:autoSpaceDE/>
              <w:autoSpaceDN/>
              <w:bidi w:val="0"/>
              <w:adjustRightInd w:val="0"/>
              <w:snapToGrid w:val="0"/>
              <w:spacing w:line="260" w:lineRule="exact"/>
              <w:textAlignment w:val="center"/>
              <w:rPr>
                <w:ins w:id="1320" w:author="LV" w:date="2026-07-14T16:15:34Z"/>
                <w:rFonts w:hint="eastAsia" w:ascii="仿宋_GB2312" w:hAnsi="宋体" w:eastAsia="仿宋_GB2312" w:cs="仿宋_GB2312"/>
                <w:color w:val="auto"/>
                <w:spacing w:val="0"/>
                <w:kern w:val="0"/>
                <w:sz w:val="18"/>
                <w:szCs w:val="18"/>
                <w:lang w:bidi="ar"/>
              </w:rPr>
              <w:pPrChange w:id="1319" w:author="LV" w:date="2026-07-14T16:15:29Z">
                <w:pPr>
                  <w:keepNext w:val="0"/>
                  <w:keepLines w:val="0"/>
                  <w:pageBreakBefore w:val="0"/>
                  <w:widowControl w:val="0"/>
                  <w:kinsoku/>
                  <w:wordWrap/>
                  <w:overflowPunct w:val="0"/>
                  <w:topLinePunct w:val="0"/>
                  <w:autoSpaceDE/>
                  <w:autoSpaceDN/>
                  <w:bidi w:val="0"/>
                  <w:adjustRightInd w:val="0"/>
                  <w:snapToGrid w:val="0"/>
                  <w:spacing w:line="260" w:lineRule="exact"/>
                  <w:textAlignment w:val="center"/>
                </w:pPr>
              </w:pPrChange>
            </w:pPr>
          </w:p>
          <w:p w14:paraId="21625AC7">
            <w:pPr>
              <w:keepNext w:val="0"/>
              <w:keepLines w:val="0"/>
              <w:pageBreakBefore w:val="0"/>
              <w:widowControl w:val="0"/>
              <w:kinsoku/>
              <w:wordWrap/>
              <w:overflowPunct w:val="0"/>
              <w:topLinePunct w:val="0"/>
              <w:autoSpaceDE/>
              <w:autoSpaceDN/>
              <w:bidi w:val="0"/>
              <w:adjustRightInd w:val="0"/>
              <w:snapToGrid w:val="0"/>
              <w:spacing w:line="260" w:lineRule="exact"/>
              <w:textAlignment w:val="center"/>
              <w:rPr>
                <w:ins w:id="1322" w:author="LV" w:date="2026-07-14T16:15:34Z"/>
                <w:rFonts w:hint="eastAsia" w:ascii="仿宋_GB2312" w:hAnsi="宋体" w:eastAsia="仿宋_GB2312" w:cs="仿宋_GB2312"/>
                <w:color w:val="auto"/>
                <w:spacing w:val="0"/>
                <w:kern w:val="0"/>
                <w:sz w:val="18"/>
                <w:szCs w:val="18"/>
                <w:lang w:bidi="ar"/>
              </w:rPr>
              <w:pPrChange w:id="1321" w:author="LV" w:date="2026-07-14T16:15:29Z">
                <w:pPr>
                  <w:keepNext w:val="0"/>
                  <w:keepLines w:val="0"/>
                  <w:pageBreakBefore w:val="0"/>
                  <w:widowControl w:val="0"/>
                  <w:kinsoku/>
                  <w:wordWrap/>
                  <w:overflowPunct w:val="0"/>
                  <w:topLinePunct w:val="0"/>
                  <w:autoSpaceDE/>
                  <w:autoSpaceDN/>
                  <w:bidi w:val="0"/>
                  <w:adjustRightInd w:val="0"/>
                  <w:snapToGrid w:val="0"/>
                  <w:spacing w:line="260" w:lineRule="exact"/>
                  <w:textAlignment w:val="center"/>
                </w:pPr>
              </w:pPrChange>
            </w:pPr>
          </w:p>
          <w:p w14:paraId="4E42FF5E">
            <w:pPr>
              <w:keepNext w:val="0"/>
              <w:keepLines w:val="0"/>
              <w:pageBreakBefore w:val="0"/>
              <w:widowControl w:val="0"/>
              <w:kinsoku/>
              <w:wordWrap/>
              <w:overflowPunct w:val="0"/>
              <w:topLinePunct w:val="0"/>
              <w:autoSpaceDE/>
              <w:autoSpaceDN/>
              <w:bidi w:val="0"/>
              <w:adjustRightInd w:val="0"/>
              <w:snapToGrid w:val="0"/>
              <w:spacing w:line="260" w:lineRule="exact"/>
              <w:textAlignment w:val="center"/>
              <w:rPr>
                <w:ins w:id="1324" w:author="LV" w:date="2026-07-14T16:15:34Z"/>
                <w:rFonts w:hint="eastAsia" w:ascii="仿宋_GB2312" w:hAnsi="宋体" w:eastAsia="仿宋_GB2312" w:cs="仿宋_GB2312"/>
                <w:color w:val="auto"/>
                <w:spacing w:val="0"/>
                <w:kern w:val="0"/>
                <w:sz w:val="18"/>
                <w:szCs w:val="18"/>
                <w:lang w:bidi="ar"/>
              </w:rPr>
              <w:pPrChange w:id="1323" w:author="LV" w:date="2026-07-14T16:15:29Z">
                <w:pPr>
                  <w:keepNext w:val="0"/>
                  <w:keepLines w:val="0"/>
                  <w:pageBreakBefore w:val="0"/>
                  <w:widowControl w:val="0"/>
                  <w:kinsoku/>
                  <w:wordWrap/>
                  <w:overflowPunct w:val="0"/>
                  <w:topLinePunct w:val="0"/>
                  <w:autoSpaceDE/>
                  <w:autoSpaceDN/>
                  <w:bidi w:val="0"/>
                  <w:adjustRightInd w:val="0"/>
                  <w:snapToGrid w:val="0"/>
                  <w:spacing w:line="260" w:lineRule="exact"/>
                  <w:textAlignment w:val="center"/>
                </w:pPr>
              </w:pPrChange>
            </w:pPr>
          </w:p>
          <w:p w14:paraId="3B09D5B7">
            <w:pPr>
              <w:keepNext w:val="0"/>
              <w:keepLines w:val="0"/>
              <w:pageBreakBefore w:val="0"/>
              <w:widowControl w:val="0"/>
              <w:kinsoku/>
              <w:wordWrap/>
              <w:overflowPunct w:val="0"/>
              <w:topLinePunct w:val="0"/>
              <w:autoSpaceDE/>
              <w:autoSpaceDN/>
              <w:bidi w:val="0"/>
              <w:adjustRightInd w:val="0"/>
              <w:snapToGrid w:val="0"/>
              <w:spacing w:line="260" w:lineRule="exact"/>
              <w:textAlignment w:val="center"/>
              <w:rPr>
                <w:rFonts w:hint="eastAsia" w:ascii="仿宋_GB2312" w:hAnsi="宋体" w:eastAsia="仿宋_GB2312" w:cs="仿宋_GB2312"/>
                <w:color w:val="auto"/>
                <w:spacing w:val="0"/>
                <w:kern w:val="0"/>
                <w:sz w:val="18"/>
                <w:szCs w:val="18"/>
                <w:lang w:bidi="ar"/>
              </w:rPr>
              <w:pPrChange w:id="1325" w:author="LV" w:date="2026-07-14T16:15:29Z">
                <w:pPr>
                  <w:keepNext w:val="0"/>
                  <w:keepLines w:val="0"/>
                  <w:pageBreakBefore w:val="0"/>
                  <w:widowControl w:val="0"/>
                  <w:kinsoku/>
                  <w:wordWrap/>
                  <w:overflowPunct w:val="0"/>
                  <w:topLinePunct w:val="0"/>
                  <w:autoSpaceDE/>
                  <w:autoSpaceDN/>
                  <w:bidi w:val="0"/>
                  <w:adjustRightInd w:val="0"/>
                  <w:snapToGrid w:val="0"/>
                  <w:spacing w:line="260" w:lineRule="exact"/>
                  <w:textAlignment w:val="center"/>
                </w:pPr>
              </w:pPrChange>
            </w:pPr>
            <w:r>
              <w:rPr>
                <w:rFonts w:hint="eastAsia" w:ascii="仿宋_GB2312" w:hAnsi="宋体" w:eastAsia="仿宋_GB2312" w:cs="仿宋_GB2312"/>
                <w:color w:val="auto"/>
                <w:spacing w:val="0"/>
                <w:kern w:val="0"/>
                <w:sz w:val="18"/>
                <w:szCs w:val="18"/>
                <w:lang w:bidi="ar"/>
              </w:rPr>
              <w:t>《山东省煤矿冲击地压防治办法》</w:t>
            </w:r>
          </w:p>
          <w:p w14:paraId="0C9FE5D9">
            <w:pPr>
              <w:keepNext w:val="0"/>
              <w:keepLines w:val="0"/>
              <w:pageBreakBefore w:val="0"/>
              <w:widowControl w:val="0"/>
              <w:kinsoku/>
              <w:wordWrap/>
              <w:overflowPunct w:val="0"/>
              <w:topLinePunct w:val="0"/>
              <w:autoSpaceDE/>
              <w:autoSpaceDN/>
              <w:bidi w:val="0"/>
              <w:adjustRightInd w:val="0"/>
              <w:snapToGrid w:val="0"/>
              <w:spacing w:line="260" w:lineRule="exact"/>
              <w:textAlignment w:val="center"/>
              <w:rPr>
                <w:rFonts w:ascii="仿宋_GB2312" w:hAnsi="宋体" w:eastAsia="仿宋_GB2312" w:cs="仿宋_GB2312"/>
                <w:color w:val="auto"/>
                <w:spacing w:val="0"/>
                <w:kern w:val="0"/>
                <w:sz w:val="18"/>
                <w:szCs w:val="18"/>
                <w:lang w:bidi="ar"/>
              </w:rPr>
              <w:pPrChange w:id="1326" w:author="LV" w:date="2026-07-14T16:15:29Z">
                <w:pPr>
                  <w:keepNext w:val="0"/>
                  <w:keepLines w:val="0"/>
                  <w:pageBreakBefore w:val="0"/>
                  <w:widowControl w:val="0"/>
                  <w:kinsoku/>
                  <w:wordWrap/>
                  <w:overflowPunct w:val="0"/>
                  <w:topLinePunct w:val="0"/>
                  <w:autoSpaceDE/>
                  <w:autoSpaceDN/>
                  <w:bidi w:val="0"/>
                  <w:adjustRightInd w:val="0"/>
                  <w:snapToGrid w:val="0"/>
                  <w:spacing w:line="260" w:lineRule="exact"/>
                  <w:textAlignment w:val="center"/>
                </w:pPr>
              </w:pPrChange>
            </w:pPr>
            <w:r>
              <w:rPr>
                <w:rFonts w:hint="eastAsia" w:ascii="仿宋_GB2312" w:hAnsi="宋体" w:eastAsia="仿宋_GB2312" w:cs="仿宋_GB2312"/>
                <w:color w:val="auto"/>
                <w:spacing w:val="0"/>
                <w:kern w:val="0"/>
                <w:sz w:val="18"/>
                <w:szCs w:val="18"/>
                <w:lang w:bidi="ar"/>
              </w:rPr>
              <w:t>第十一条</w:t>
            </w:r>
            <w:r>
              <w:rPr>
                <w:rFonts w:hint="eastAsia" w:ascii="仿宋_GB2312" w:hAnsi="宋体" w:eastAsia="仿宋_GB2312" w:cs="仿宋_GB2312"/>
                <w:color w:val="auto"/>
                <w:spacing w:val="0"/>
                <w:kern w:val="0"/>
                <w:sz w:val="18"/>
                <w:szCs w:val="18"/>
                <w:lang w:val="en-US" w:eastAsia="zh-CN" w:bidi="ar"/>
              </w:rPr>
              <w:t xml:space="preserve"> </w:t>
            </w:r>
            <w:r>
              <w:rPr>
                <w:rFonts w:hint="eastAsia" w:ascii="仿宋_GB2312" w:hAnsi="宋体" w:eastAsia="仿宋_GB2312" w:cs="仿宋_GB2312"/>
                <w:color w:val="auto"/>
                <w:spacing w:val="0"/>
                <w:kern w:val="0"/>
                <w:sz w:val="18"/>
                <w:szCs w:val="18"/>
                <w:lang w:bidi="ar"/>
              </w:rPr>
              <w:t>有冲击地压矿井的煤矿企业应当建立健全冲击地压防治制度，明确分管冲击地压防治工作的责任人和业务主管机构，配备专业技术管理人员，审核批准冲击地压矿井的防治机构、防治规划和年度计划、冲击危险性预警指标、采掘工作面推进速度等，并督促落实。</w:t>
            </w:r>
          </w:p>
          <w:p w14:paraId="0D206BE0">
            <w:pPr>
              <w:keepNext w:val="0"/>
              <w:keepLines w:val="0"/>
              <w:pageBreakBefore w:val="0"/>
              <w:widowControl w:val="0"/>
              <w:kinsoku/>
              <w:wordWrap/>
              <w:overflowPunct w:val="0"/>
              <w:topLinePunct w:val="0"/>
              <w:autoSpaceDE/>
              <w:autoSpaceDN/>
              <w:bidi w:val="0"/>
              <w:adjustRightInd w:val="0"/>
              <w:snapToGrid w:val="0"/>
              <w:spacing w:line="260" w:lineRule="exact"/>
              <w:textAlignment w:val="center"/>
              <w:rPr>
                <w:rFonts w:hint="eastAsia" w:ascii="仿宋_GB2312" w:hAnsi="宋体" w:eastAsia="仿宋_GB2312" w:cs="仿宋_GB2312"/>
                <w:color w:val="auto"/>
                <w:spacing w:val="-5"/>
                <w:kern w:val="0"/>
                <w:sz w:val="18"/>
                <w:szCs w:val="18"/>
                <w:lang w:bidi="ar"/>
              </w:rPr>
              <w:pPrChange w:id="1327" w:author="LV" w:date="2026-07-14T16:15:29Z">
                <w:pPr>
                  <w:keepNext w:val="0"/>
                  <w:keepLines w:val="0"/>
                  <w:pageBreakBefore w:val="0"/>
                  <w:widowControl w:val="0"/>
                  <w:kinsoku/>
                  <w:wordWrap/>
                  <w:overflowPunct w:val="0"/>
                  <w:topLinePunct w:val="0"/>
                  <w:autoSpaceDE/>
                  <w:autoSpaceDN/>
                  <w:bidi w:val="0"/>
                  <w:adjustRightInd w:val="0"/>
                  <w:snapToGrid w:val="0"/>
                  <w:spacing w:line="260" w:lineRule="exact"/>
                  <w:textAlignment w:val="center"/>
                </w:pPr>
              </w:pPrChange>
            </w:pPr>
            <w:r>
              <w:rPr>
                <w:rFonts w:hint="eastAsia" w:ascii="仿宋_GB2312" w:hAnsi="宋体" w:eastAsia="仿宋_GB2312" w:cs="仿宋_GB2312"/>
                <w:color w:val="auto"/>
                <w:spacing w:val="-5"/>
                <w:kern w:val="0"/>
                <w:sz w:val="18"/>
                <w:szCs w:val="18"/>
                <w:lang w:bidi="ar"/>
              </w:rPr>
              <w:t>第二十三条第二款</w:t>
            </w:r>
            <w:r>
              <w:rPr>
                <w:rFonts w:ascii="仿宋_GB2312" w:hAnsi="宋体" w:eastAsia="仿宋_GB2312" w:cs="仿宋_GB2312"/>
                <w:color w:val="auto"/>
                <w:spacing w:val="-5"/>
                <w:kern w:val="0"/>
                <w:sz w:val="18"/>
                <w:szCs w:val="18"/>
                <w:lang w:bidi="ar"/>
              </w:rPr>
              <w:t xml:space="preserve"> </w:t>
            </w:r>
            <w:r>
              <w:rPr>
                <w:rFonts w:hint="eastAsia" w:ascii="仿宋_GB2312" w:hAnsi="宋体" w:eastAsia="仿宋_GB2312" w:cs="仿宋_GB2312"/>
                <w:color w:val="auto"/>
                <w:spacing w:val="-5"/>
                <w:kern w:val="0"/>
                <w:sz w:val="18"/>
                <w:szCs w:val="18"/>
                <w:lang w:bidi="ar"/>
              </w:rPr>
              <w:t>严重冲击地压矿井和按照严重冲击地压矿井要求管理的采区，不得开采孤岛煤柱。冲击地压煤层开采孤岛煤柱前，煤矿企业应当组织专家进行安全开采论证，编制防冲专项设计，经煤矿企业主要负责人批准后实施。</w:t>
            </w:r>
          </w:p>
          <w:p w14:paraId="77256B09">
            <w:pPr>
              <w:keepNext w:val="0"/>
              <w:keepLines w:val="0"/>
              <w:pageBreakBefore w:val="0"/>
              <w:widowControl w:val="0"/>
              <w:kinsoku/>
              <w:wordWrap/>
              <w:overflowPunct w:val="0"/>
              <w:topLinePunct w:val="0"/>
              <w:autoSpaceDE/>
              <w:autoSpaceDN/>
              <w:bidi w:val="0"/>
              <w:adjustRightInd w:val="0"/>
              <w:snapToGrid w:val="0"/>
              <w:spacing w:line="260" w:lineRule="exact"/>
              <w:textAlignment w:val="center"/>
              <w:rPr>
                <w:rFonts w:ascii="仿宋_GB2312" w:hAnsi="宋体" w:eastAsia="仿宋_GB2312" w:cs="仿宋_GB2312"/>
                <w:color w:val="auto"/>
                <w:spacing w:val="-5"/>
                <w:kern w:val="0"/>
                <w:sz w:val="18"/>
                <w:szCs w:val="18"/>
                <w:lang w:bidi="ar"/>
              </w:rPr>
              <w:pPrChange w:id="1328" w:author="LV" w:date="2026-07-14T16:15:29Z">
                <w:pPr>
                  <w:keepNext w:val="0"/>
                  <w:keepLines w:val="0"/>
                  <w:pageBreakBefore w:val="0"/>
                  <w:widowControl w:val="0"/>
                  <w:kinsoku/>
                  <w:wordWrap/>
                  <w:overflowPunct w:val="0"/>
                  <w:topLinePunct w:val="0"/>
                  <w:autoSpaceDE/>
                  <w:autoSpaceDN/>
                  <w:bidi w:val="0"/>
                  <w:adjustRightInd w:val="0"/>
                  <w:snapToGrid w:val="0"/>
                  <w:spacing w:line="260" w:lineRule="exact"/>
                  <w:textAlignment w:val="center"/>
                </w:pPr>
              </w:pPrChange>
            </w:pPr>
            <w:r>
              <w:rPr>
                <w:rFonts w:hint="eastAsia" w:ascii="仿宋_GB2312" w:hAnsi="宋体" w:eastAsia="仿宋_GB2312" w:cs="仿宋_GB2312"/>
                <w:color w:val="auto"/>
                <w:spacing w:val="-5"/>
                <w:kern w:val="0"/>
                <w:sz w:val="18"/>
                <w:szCs w:val="18"/>
                <w:lang w:bidi="ar"/>
              </w:rPr>
              <w:t>第三十六条第一款 具有冲击地压危险的采煤工作面，应当加大上下出口和巷道超前支护范围与强度。巷道超前支护长度根据采煤工作面超前支承压力影响范围，由煤矿企业总工程师批准。</w:t>
            </w:r>
          </w:p>
          <w:p w14:paraId="5C50CE90">
            <w:pPr>
              <w:keepNext w:val="0"/>
              <w:keepLines w:val="0"/>
              <w:pageBreakBefore w:val="0"/>
              <w:widowControl w:val="0"/>
              <w:kinsoku/>
              <w:wordWrap/>
              <w:overflowPunct w:val="0"/>
              <w:topLinePunct w:val="0"/>
              <w:autoSpaceDE/>
              <w:autoSpaceDN/>
              <w:bidi w:val="0"/>
              <w:adjustRightInd w:val="0"/>
              <w:snapToGrid w:val="0"/>
              <w:spacing w:line="260" w:lineRule="exact"/>
              <w:textAlignment w:val="center"/>
              <w:rPr>
                <w:ins w:id="1330" w:author="LV" w:date="2026-07-14T16:14:40Z"/>
                <w:rFonts w:hint="eastAsia" w:ascii="仿宋_GB2312" w:hAnsi="宋体" w:eastAsia="仿宋_GB2312" w:cs="仿宋_GB2312"/>
                <w:color w:val="auto"/>
                <w:spacing w:val="0"/>
                <w:kern w:val="0"/>
                <w:sz w:val="18"/>
                <w:szCs w:val="18"/>
                <w:lang w:bidi="ar"/>
              </w:rPr>
              <w:pPrChange w:id="1329" w:author="LV" w:date="2026-07-14T16:15:29Z">
                <w:pPr>
                  <w:keepNext w:val="0"/>
                  <w:keepLines w:val="0"/>
                  <w:pageBreakBefore w:val="0"/>
                  <w:widowControl w:val="0"/>
                  <w:kinsoku/>
                  <w:wordWrap/>
                  <w:overflowPunct w:val="0"/>
                  <w:topLinePunct w:val="0"/>
                  <w:autoSpaceDE/>
                  <w:autoSpaceDN/>
                  <w:bidi w:val="0"/>
                  <w:adjustRightInd w:val="0"/>
                  <w:snapToGrid w:val="0"/>
                  <w:spacing w:line="260" w:lineRule="exact"/>
                  <w:textAlignment w:val="center"/>
                </w:pPr>
              </w:pPrChange>
            </w:pPr>
            <w:r>
              <w:rPr>
                <w:rFonts w:hint="eastAsia" w:ascii="仿宋_GB2312" w:hAnsi="宋体" w:eastAsia="仿宋_GB2312" w:cs="仿宋_GB2312"/>
                <w:color w:val="auto"/>
                <w:spacing w:val="0"/>
                <w:kern w:val="0"/>
                <w:sz w:val="18"/>
                <w:szCs w:val="18"/>
                <w:lang w:bidi="ar"/>
              </w:rPr>
              <w:t>第三十七条 具有强冲击地压危险的掘进巷道以及中等冲击地压危险的厚煤层托顶煤掘进巷道，除采用本条第二款规定的主动支护方式外，还应当采用可缩式U型钢棚、液压单元支架或者门式支架等受冲击后仍有安全空间的加强支护方式。支护方式和范围应当由煤矿企业总工程师批准。</w:t>
            </w:r>
          </w:p>
          <w:p w14:paraId="4E71443F">
            <w:pPr>
              <w:keepNext w:val="0"/>
              <w:keepLines w:val="0"/>
              <w:pageBreakBefore w:val="0"/>
              <w:widowControl w:val="0"/>
              <w:kinsoku/>
              <w:wordWrap/>
              <w:overflowPunct w:val="0"/>
              <w:topLinePunct w:val="0"/>
              <w:autoSpaceDE/>
              <w:autoSpaceDN/>
              <w:bidi w:val="0"/>
              <w:adjustRightInd w:val="0"/>
              <w:snapToGrid w:val="0"/>
              <w:spacing w:line="260" w:lineRule="exact"/>
              <w:textAlignment w:val="center"/>
              <w:rPr>
                <w:ins w:id="1332" w:author="LV" w:date="2026-07-14T16:14:42Z"/>
                <w:rFonts w:hint="eastAsia" w:ascii="仿宋_GB2312" w:hAnsi="宋体" w:eastAsia="仿宋_GB2312" w:cs="仿宋_GB2312"/>
                <w:color w:val="auto"/>
                <w:spacing w:val="0"/>
                <w:kern w:val="0"/>
                <w:sz w:val="18"/>
                <w:szCs w:val="18"/>
                <w:lang w:bidi="ar"/>
              </w:rPr>
              <w:pPrChange w:id="1331" w:author="LV" w:date="2026-07-14T16:15:29Z">
                <w:pPr>
                  <w:keepNext w:val="0"/>
                  <w:keepLines w:val="0"/>
                  <w:pageBreakBefore w:val="0"/>
                  <w:widowControl w:val="0"/>
                  <w:kinsoku/>
                  <w:wordWrap/>
                  <w:overflowPunct w:val="0"/>
                  <w:topLinePunct w:val="0"/>
                  <w:autoSpaceDE/>
                  <w:autoSpaceDN/>
                  <w:bidi w:val="0"/>
                  <w:adjustRightInd w:val="0"/>
                  <w:snapToGrid w:val="0"/>
                  <w:spacing w:line="260" w:lineRule="exact"/>
                  <w:textAlignment w:val="center"/>
                </w:pPr>
              </w:pPrChange>
            </w:pPr>
          </w:p>
          <w:p w14:paraId="36585C99">
            <w:pPr>
              <w:keepNext w:val="0"/>
              <w:keepLines w:val="0"/>
              <w:pageBreakBefore w:val="0"/>
              <w:widowControl w:val="0"/>
              <w:kinsoku/>
              <w:wordWrap/>
              <w:overflowPunct w:val="0"/>
              <w:topLinePunct w:val="0"/>
              <w:autoSpaceDE/>
              <w:autoSpaceDN/>
              <w:bidi w:val="0"/>
              <w:adjustRightInd w:val="0"/>
              <w:snapToGrid w:val="0"/>
              <w:spacing w:line="260" w:lineRule="exact"/>
              <w:textAlignment w:val="center"/>
              <w:rPr>
                <w:ins w:id="1334" w:author="LV" w:date="2026-07-14T16:15:49Z"/>
                <w:rFonts w:hint="eastAsia" w:ascii="仿宋_GB2312" w:hAnsi="宋体" w:eastAsia="仿宋_GB2312" w:cs="仿宋_GB2312"/>
                <w:color w:val="auto"/>
                <w:spacing w:val="0"/>
                <w:kern w:val="0"/>
                <w:sz w:val="18"/>
                <w:szCs w:val="18"/>
                <w:lang w:bidi="ar"/>
              </w:rPr>
              <w:pPrChange w:id="1333" w:author="LV" w:date="2026-07-14T16:15:29Z">
                <w:pPr>
                  <w:keepNext w:val="0"/>
                  <w:keepLines w:val="0"/>
                  <w:pageBreakBefore w:val="0"/>
                  <w:widowControl w:val="0"/>
                  <w:kinsoku/>
                  <w:wordWrap/>
                  <w:overflowPunct w:val="0"/>
                  <w:topLinePunct w:val="0"/>
                  <w:autoSpaceDE/>
                  <w:autoSpaceDN/>
                  <w:bidi w:val="0"/>
                  <w:adjustRightInd w:val="0"/>
                  <w:snapToGrid w:val="0"/>
                  <w:spacing w:line="260" w:lineRule="exact"/>
                  <w:textAlignment w:val="center"/>
                </w:pPr>
              </w:pPrChange>
            </w:pPr>
          </w:p>
          <w:p w14:paraId="0DDE085B">
            <w:pPr>
              <w:keepNext w:val="0"/>
              <w:keepLines w:val="0"/>
              <w:pageBreakBefore w:val="0"/>
              <w:widowControl w:val="0"/>
              <w:kinsoku/>
              <w:wordWrap/>
              <w:overflowPunct w:val="0"/>
              <w:topLinePunct w:val="0"/>
              <w:autoSpaceDE/>
              <w:autoSpaceDN/>
              <w:bidi w:val="0"/>
              <w:adjustRightInd w:val="0"/>
              <w:snapToGrid w:val="0"/>
              <w:spacing w:line="260" w:lineRule="exact"/>
              <w:textAlignment w:val="center"/>
              <w:rPr>
                <w:rFonts w:hint="eastAsia" w:ascii="仿宋_GB2312" w:hAnsi="宋体" w:eastAsia="仿宋_GB2312" w:cs="仿宋_GB2312"/>
                <w:color w:val="auto"/>
                <w:spacing w:val="0"/>
                <w:kern w:val="0"/>
                <w:sz w:val="18"/>
                <w:szCs w:val="18"/>
                <w:lang w:bidi="ar"/>
              </w:rPr>
              <w:pPrChange w:id="1335" w:author="LV" w:date="2026-07-14T16:15:29Z">
                <w:pPr>
                  <w:keepNext w:val="0"/>
                  <w:keepLines w:val="0"/>
                  <w:pageBreakBefore w:val="0"/>
                  <w:widowControl w:val="0"/>
                  <w:kinsoku/>
                  <w:wordWrap/>
                  <w:overflowPunct w:val="0"/>
                  <w:topLinePunct w:val="0"/>
                  <w:autoSpaceDE/>
                  <w:autoSpaceDN/>
                  <w:bidi w:val="0"/>
                  <w:adjustRightInd w:val="0"/>
                  <w:snapToGrid w:val="0"/>
                  <w:spacing w:line="260" w:lineRule="exact"/>
                  <w:textAlignment w:val="center"/>
                </w:pPr>
              </w:pPrChange>
            </w:pPr>
          </w:p>
        </w:tc>
        <w:tc>
          <w:tcPr>
            <w:tcW w:w="4082" w:type="dxa"/>
            <w:vMerge w:val="restart"/>
            <w:tcBorders>
              <w:bottom w:val="single" w:color="auto" w:sz="4" w:space="0"/>
              <w:tl2br w:val="nil"/>
              <w:tr2bl w:val="nil"/>
            </w:tcBorders>
            <w:shd w:val="clear" w:color="auto" w:fill="auto"/>
            <w:tcMar>
              <w:top w:w="15" w:type="dxa"/>
              <w:left w:w="15" w:type="dxa"/>
              <w:right w:w="15" w:type="dxa"/>
            </w:tcMar>
            <w:vAlign w:val="center"/>
            <w:tcPrChange w:id="1336" w:author="LV" w:date="2026-07-14T16:15:29Z">
              <w:tcPr>
                <w:tcW w:w="4082" w:type="dxa"/>
                <w:gridSpan w:val="3"/>
                <w:vMerge w:val="restart"/>
                <w:tcBorders>
                  <w:bottom w:val="single" w:color="auto" w:sz="4" w:space="0"/>
                  <w:tl2br w:val="nil"/>
                  <w:tr2bl w:val="nil"/>
                </w:tcBorders>
                <w:shd w:val="clear" w:color="auto" w:fill="auto"/>
                <w:tcMar>
                  <w:top w:w="15" w:type="dxa"/>
                  <w:left w:w="15" w:type="dxa"/>
                  <w:right w:w="15" w:type="dxa"/>
                </w:tcMar>
                <w:vAlign w:val="center"/>
              </w:tcPr>
            </w:tcPrChange>
          </w:tcPr>
          <w:p w14:paraId="47A1F5B8">
            <w:pPr>
              <w:keepNext w:val="0"/>
              <w:keepLines w:val="0"/>
              <w:pageBreakBefore w:val="0"/>
              <w:widowControl w:val="0"/>
              <w:kinsoku/>
              <w:wordWrap/>
              <w:overflowPunct w:val="0"/>
              <w:topLinePunct w:val="0"/>
              <w:autoSpaceDE/>
              <w:autoSpaceDN/>
              <w:bidi w:val="0"/>
              <w:adjustRightInd w:val="0"/>
              <w:snapToGrid w:val="0"/>
              <w:spacing w:line="260" w:lineRule="exact"/>
              <w:textAlignment w:val="center"/>
              <w:rPr>
                <w:rFonts w:ascii="仿宋_GB2312" w:hAnsi="宋体" w:eastAsia="仿宋_GB2312" w:cs="仿宋_GB2312"/>
                <w:color w:val="auto"/>
                <w:spacing w:val="0"/>
                <w:sz w:val="18"/>
                <w:szCs w:val="18"/>
              </w:rPr>
              <w:pPrChange w:id="1337" w:author="LV" w:date="2026-07-14T16:15:29Z">
                <w:pPr>
                  <w:keepNext w:val="0"/>
                  <w:keepLines w:val="0"/>
                  <w:pageBreakBefore w:val="0"/>
                  <w:widowControl w:val="0"/>
                  <w:kinsoku/>
                  <w:wordWrap/>
                  <w:overflowPunct w:val="0"/>
                  <w:topLinePunct w:val="0"/>
                  <w:autoSpaceDE/>
                  <w:autoSpaceDN/>
                  <w:bidi w:val="0"/>
                  <w:adjustRightInd w:val="0"/>
                  <w:snapToGrid w:val="0"/>
                  <w:spacing w:line="260" w:lineRule="exact"/>
                  <w:textAlignment w:val="center"/>
                </w:pPr>
              </w:pPrChange>
            </w:pPr>
            <w:r>
              <w:rPr>
                <w:rFonts w:hint="eastAsia" w:ascii="仿宋_GB2312" w:hAnsi="宋体" w:eastAsia="仿宋_GB2312" w:cs="仿宋_GB2312"/>
                <w:color w:val="auto"/>
                <w:spacing w:val="0"/>
                <w:kern w:val="0"/>
                <w:sz w:val="18"/>
                <w:szCs w:val="18"/>
                <w:lang w:bidi="ar"/>
              </w:rPr>
              <w:t>《山东省煤矿冲击地压防治办法》第四十九条 违反本办法规定，煤矿企业有下列行为之一的，由煤矿安全生产监督管理部门或者煤矿安全监察机构责令改正，处以5万元以上10万元以下的罚款；对其主要负责人或者直接负责的主管人员处以1万元以上2万元以下的罚款：（一）未按照本办法规定审核批准冲击地压矿井的防治机构、防治规划和年度计划、冲击危险性预警指标、采掘工作面推进速度的；（二）未按照本办法规定批准孤岛煤柱开采防冲专项设计的；（三）未按照本办法规定批准采煤工作面超前支护长度的；（四）具有强冲击地压危险的掘进巷道以及中等冲击地压危险的厚煤层托顶煤掘进巷道，其支护方式和范围未按照本办法规定批准的。</w:t>
            </w:r>
          </w:p>
        </w:tc>
        <w:tc>
          <w:tcPr>
            <w:tcW w:w="459" w:type="dxa"/>
            <w:tcBorders>
              <w:bottom w:val="single" w:color="auto" w:sz="4" w:space="0"/>
              <w:tl2br w:val="nil"/>
              <w:tr2bl w:val="nil"/>
            </w:tcBorders>
            <w:shd w:val="clear" w:color="auto" w:fill="auto"/>
            <w:noWrap/>
            <w:tcMar>
              <w:top w:w="15" w:type="dxa"/>
              <w:left w:w="15" w:type="dxa"/>
              <w:right w:w="15" w:type="dxa"/>
            </w:tcMar>
            <w:vAlign w:val="center"/>
            <w:tcPrChange w:id="1338" w:author="LV" w:date="2026-07-14T16:15:29Z">
              <w:tcPr>
                <w:tcW w:w="459" w:type="dxa"/>
                <w:gridSpan w:val="3"/>
                <w:tcBorders>
                  <w:bottom w:val="single" w:color="auto" w:sz="4" w:space="0"/>
                  <w:tl2br w:val="nil"/>
                  <w:tr2bl w:val="nil"/>
                </w:tcBorders>
                <w:shd w:val="clear" w:color="auto" w:fill="auto"/>
                <w:noWrap/>
                <w:tcMar>
                  <w:top w:w="15" w:type="dxa"/>
                  <w:left w:w="15" w:type="dxa"/>
                  <w:right w:w="15" w:type="dxa"/>
                </w:tcMar>
                <w:vAlign w:val="center"/>
              </w:tcPr>
            </w:tcPrChange>
          </w:tcPr>
          <w:p w14:paraId="2AF9F2E0">
            <w:pPr>
              <w:keepNext w:val="0"/>
              <w:keepLines w:val="0"/>
              <w:pageBreakBefore w:val="0"/>
              <w:widowControl w:val="0"/>
              <w:kinsoku/>
              <w:wordWrap/>
              <w:overflowPunct w:val="0"/>
              <w:topLinePunct w:val="0"/>
              <w:autoSpaceDE/>
              <w:autoSpaceDN/>
              <w:bidi w:val="0"/>
              <w:adjustRightInd w:val="0"/>
              <w:snapToGrid w:val="0"/>
              <w:spacing w:line="260" w:lineRule="exact"/>
              <w:ind w:left="0" w:leftChars="0" w:right="0" w:rightChars="0" w:firstLine="0" w:firstLineChars="0"/>
              <w:jc w:val="center"/>
              <w:textAlignment w:val="center"/>
              <w:rPr>
                <w:rFonts w:ascii="仿宋_GB2312" w:hAnsi="宋体" w:eastAsia="仿宋_GB2312" w:cs="仿宋_GB2312"/>
                <w:color w:val="auto"/>
                <w:spacing w:val="0"/>
                <w:sz w:val="18"/>
                <w:szCs w:val="18"/>
              </w:rPr>
            </w:pPr>
            <w:r>
              <w:rPr>
                <w:rFonts w:hint="eastAsia" w:ascii="仿宋_GB2312" w:hAnsi="宋体" w:eastAsia="仿宋_GB2312" w:cs="仿宋_GB2312"/>
                <w:color w:val="auto"/>
                <w:spacing w:val="0"/>
                <w:kern w:val="0"/>
                <w:sz w:val="18"/>
                <w:szCs w:val="18"/>
                <w:lang w:bidi="ar"/>
              </w:rPr>
              <w:t>不予处罚</w:t>
            </w:r>
          </w:p>
        </w:tc>
        <w:tc>
          <w:tcPr>
            <w:tcW w:w="1829" w:type="dxa"/>
            <w:tcBorders>
              <w:bottom w:val="single" w:color="auto" w:sz="4" w:space="0"/>
              <w:tl2br w:val="nil"/>
              <w:tr2bl w:val="nil"/>
            </w:tcBorders>
            <w:shd w:val="clear" w:color="auto" w:fill="auto"/>
            <w:tcMar>
              <w:top w:w="15" w:type="dxa"/>
              <w:left w:w="15" w:type="dxa"/>
              <w:right w:w="15" w:type="dxa"/>
            </w:tcMar>
            <w:vAlign w:val="center"/>
            <w:tcPrChange w:id="1339" w:author="LV" w:date="2026-07-14T16:15:29Z">
              <w:tcPr>
                <w:tcW w:w="1829" w:type="dxa"/>
                <w:gridSpan w:val="3"/>
                <w:tcBorders>
                  <w:bottom w:val="single" w:color="auto" w:sz="4" w:space="0"/>
                  <w:tl2br w:val="nil"/>
                  <w:tr2bl w:val="nil"/>
                </w:tcBorders>
                <w:shd w:val="clear" w:color="auto" w:fill="auto"/>
                <w:tcMar>
                  <w:top w:w="15" w:type="dxa"/>
                  <w:left w:w="15" w:type="dxa"/>
                  <w:right w:w="15" w:type="dxa"/>
                </w:tcMar>
                <w:vAlign w:val="center"/>
              </w:tcPr>
            </w:tcPrChange>
          </w:tcPr>
          <w:p w14:paraId="28AA1213">
            <w:pPr>
              <w:keepNext w:val="0"/>
              <w:keepLines w:val="0"/>
              <w:pageBreakBefore w:val="0"/>
              <w:widowControl w:val="0"/>
              <w:kinsoku/>
              <w:wordWrap/>
              <w:overflowPunct w:val="0"/>
              <w:topLinePunct w:val="0"/>
              <w:autoSpaceDE/>
              <w:autoSpaceDN/>
              <w:bidi w:val="0"/>
              <w:adjustRightInd w:val="0"/>
              <w:snapToGrid w:val="0"/>
              <w:spacing w:line="260" w:lineRule="exact"/>
              <w:textAlignment w:val="center"/>
              <w:rPr>
                <w:rFonts w:ascii="仿宋_GB2312" w:hAnsi="宋体" w:eastAsia="仿宋_GB2312" w:cs="仿宋_GB2312"/>
                <w:color w:val="auto"/>
                <w:spacing w:val="0"/>
                <w:sz w:val="18"/>
                <w:szCs w:val="18"/>
              </w:rPr>
            </w:pPr>
            <w:r>
              <w:rPr>
                <w:rFonts w:hint="eastAsia" w:ascii="仿宋_GB2312" w:hAnsi="宋体" w:eastAsia="仿宋_GB2312" w:cs="仿宋_GB2312"/>
                <w:color w:val="auto"/>
                <w:spacing w:val="0"/>
                <w:kern w:val="0"/>
                <w:sz w:val="18"/>
                <w:szCs w:val="18"/>
                <w:lang w:bidi="ar"/>
              </w:rPr>
              <w:t>适用总则规定</w:t>
            </w:r>
          </w:p>
        </w:tc>
        <w:tc>
          <w:tcPr>
            <w:tcW w:w="2655" w:type="dxa"/>
            <w:tcBorders>
              <w:bottom w:val="single" w:color="auto" w:sz="4" w:space="0"/>
              <w:tl2br w:val="nil"/>
              <w:tr2bl w:val="nil"/>
            </w:tcBorders>
            <w:shd w:val="clear" w:color="auto" w:fill="auto"/>
            <w:tcMar>
              <w:top w:w="15" w:type="dxa"/>
              <w:left w:w="15" w:type="dxa"/>
              <w:right w:w="15" w:type="dxa"/>
            </w:tcMar>
            <w:vAlign w:val="center"/>
            <w:tcPrChange w:id="1340" w:author="LV" w:date="2026-07-14T16:15:29Z">
              <w:tcPr>
                <w:tcW w:w="2655" w:type="dxa"/>
                <w:gridSpan w:val="3"/>
                <w:tcBorders>
                  <w:bottom w:val="single" w:color="auto" w:sz="4" w:space="0"/>
                  <w:tl2br w:val="nil"/>
                  <w:tr2bl w:val="nil"/>
                </w:tcBorders>
                <w:shd w:val="clear" w:color="auto" w:fill="auto"/>
                <w:tcMar>
                  <w:top w:w="15" w:type="dxa"/>
                  <w:left w:w="15" w:type="dxa"/>
                  <w:right w:w="15" w:type="dxa"/>
                </w:tcMar>
                <w:vAlign w:val="center"/>
              </w:tcPr>
            </w:tcPrChange>
          </w:tcPr>
          <w:p w14:paraId="59DC7AAF">
            <w:pPr>
              <w:keepNext w:val="0"/>
              <w:keepLines w:val="0"/>
              <w:pageBreakBefore w:val="0"/>
              <w:widowControl w:val="0"/>
              <w:kinsoku/>
              <w:wordWrap/>
              <w:overflowPunct w:val="0"/>
              <w:topLinePunct w:val="0"/>
              <w:autoSpaceDE/>
              <w:autoSpaceDN/>
              <w:bidi w:val="0"/>
              <w:adjustRightInd w:val="0"/>
              <w:snapToGrid w:val="0"/>
              <w:spacing w:line="260" w:lineRule="exact"/>
              <w:jc w:val="center"/>
              <w:textAlignment w:val="center"/>
              <w:rPr>
                <w:rFonts w:ascii="仿宋_GB2312" w:hAnsi="宋体" w:eastAsia="仿宋_GB2312" w:cs="仿宋_GB2312"/>
                <w:color w:val="auto"/>
                <w:spacing w:val="0"/>
                <w:sz w:val="18"/>
                <w:szCs w:val="18"/>
              </w:rPr>
            </w:pPr>
            <w:r>
              <w:rPr>
                <w:rFonts w:hint="eastAsia" w:ascii="仿宋_GB2312" w:hAnsi="宋体" w:eastAsia="仿宋_GB2312" w:cs="仿宋_GB2312"/>
                <w:color w:val="auto"/>
                <w:spacing w:val="0"/>
                <w:kern w:val="0"/>
                <w:sz w:val="18"/>
                <w:szCs w:val="18"/>
                <w:lang w:bidi="ar"/>
              </w:rPr>
              <w:t>无</w:t>
            </w:r>
          </w:p>
        </w:tc>
      </w:tr>
      <w:tr w14:paraId="689F8E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49A13D7">
            <w:pPr>
              <w:keepNext w:val="0"/>
              <w:keepLines w:val="0"/>
              <w:pageBreakBefore w:val="0"/>
              <w:widowControl w:val="0"/>
              <w:kinsoku/>
              <w:wordWrap/>
              <w:overflowPunct w:val="0"/>
              <w:topLinePunct w:val="0"/>
              <w:autoSpaceDE/>
              <w:autoSpaceDN/>
              <w:bidi w:val="0"/>
              <w:adjustRightInd w:val="0"/>
              <w:snapToGrid w:val="0"/>
              <w:spacing w:line="260" w:lineRule="exact"/>
              <w:ind w:left="0" w:leftChars="0" w:right="0" w:rightChars="0" w:firstLine="0" w:firstLineChars="0"/>
              <w:jc w:val="center"/>
              <w:rPr>
                <w:rFonts w:ascii="仿宋_GB2312" w:hAnsi="宋体" w:eastAsia="仿宋_GB2312" w:cs="仿宋_GB2312"/>
                <w:spacing w:val="0"/>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E477C88">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color w:val="auto"/>
                <w:spacing w:val="0"/>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6D8F96C">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color w:val="auto"/>
                <w:spacing w:val="0"/>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4FE035C">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color w:val="auto"/>
                <w:spacing w:val="0"/>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EB93EA3">
            <w:pPr>
              <w:keepNext w:val="0"/>
              <w:keepLines w:val="0"/>
              <w:pageBreakBefore w:val="0"/>
              <w:widowControl w:val="0"/>
              <w:kinsoku/>
              <w:wordWrap/>
              <w:overflowPunct w:val="0"/>
              <w:topLinePunct w:val="0"/>
              <w:autoSpaceDE/>
              <w:autoSpaceDN/>
              <w:bidi w:val="0"/>
              <w:adjustRightInd w:val="0"/>
              <w:snapToGrid w:val="0"/>
              <w:spacing w:line="260" w:lineRule="exact"/>
              <w:ind w:left="0" w:leftChars="0" w:right="0" w:rightChars="0" w:firstLine="0" w:firstLineChars="0"/>
              <w:jc w:val="center"/>
              <w:textAlignment w:val="center"/>
              <w:rPr>
                <w:rFonts w:ascii="仿宋_GB2312" w:hAnsi="宋体" w:eastAsia="仿宋_GB2312" w:cs="仿宋_GB2312"/>
                <w:color w:val="auto"/>
                <w:spacing w:val="0"/>
                <w:sz w:val="18"/>
                <w:szCs w:val="18"/>
              </w:rPr>
            </w:pPr>
            <w:r>
              <w:rPr>
                <w:rFonts w:hint="eastAsia" w:ascii="仿宋_GB2312" w:hAnsi="宋体" w:eastAsia="仿宋_GB2312" w:cs="仿宋_GB2312"/>
                <w:color w:val="auto"/>
                <w:spacing w:val="0"/>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5697930B">
            <w:pPr>
              <w:keepNext w:val="0"/>
              <w:keepLines w:val="0"/>
              <w:pageBreakBefore w:val="0"/>
              <w:widowControl w:val="0"/>
              <w:kinsoku/>
              <w:wordWrap/>
              <w:overflowPunct w:val="0"/>
              <w:topLinePunct w:val="0"/>
              <w:autoSpaceDE/>
              <w:autoSpaceDN/>
              <w:bidi w:val="0"/>
              <w:adjustRightInd w:val="0"/>
              <w:snapToGrid w:val="0"/>
              <w:spacing w:line="260" w:lineRule="exact"/>
              <w:textAlignment w:val="center"/>
              <w:rPr>
                <w:rFonts w:ascii="仿宋_GB2312" w:hAnsi="宋体" w:eastAsia="仿宋_GB2312" w:cs="仿宋_GB2312"/>
                <w:color w:val="auto"/>
                <w:spacing w:val="0"/>
                <w:sz w:val="18"/>
                <w:szCs w:val="18"/>
              </w:rPr>
            </w:pPr>
            <w:r>
              <w:rPr>
                <w:rFonts w:hint="eastAsia" w:ascii="仿宋_GB2312" w:hAnsi="宋体" w:eastAsia="仿宋_GB2312" w:cs="仿宋_GB2312"/>
                <w:color w:val="auto"/>
                <w:spacing w:val="0"/>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057BEB22">
            <w:pPr>
              <w:keepNext w:val="0"/>
              <w:keepLines w:val="0"/>
              <w:pageBreakBefore w:val="0"/>
              <w:widowControl w:val="0"/>
              <w:kinsoku/>
              <w:wordWrap/>
              <w:overflowPunct w:val="0"/>
              <w:topLinePunct w:val="0"/>
              <w:autoSpaceDE/>
              <w:autoSpaceDN/>
              <w:bidi w:val="0"/>
              <w:adjustRightInd w:val="0"/>
              <w:snapToGrid w:val="0"/>
              <w:spacing w:line="260" w:lineRule="exact"/>
              <w:jc w:val="center"/>
              <w:textAlignment w:val="center"/>
              <w:rPr>
                <w:rFonts w:ascii="仿宋_GB2312" w:hAnsi="宋体" w:eastAsia="仿宋_GB2312" w:cs="仿宋_GB2312"/>
                <w:color w:val="auto"/>
                <w:spacing w:val="0"/>
                <w:sz w:val="18"/>
                <w:szCs w:val="18"/>
              </w:rPr>
            </w:pPr>
            <w:r>
              <w:rPr>
                <w:rFonts w:hint="eastAsia" w:ascii="仿宋_GB2312" w:hAnsi="宋体" w:eastAsia="仿宋_GB2312" w:cs="仿宋_GB2312"/>
                <w:color w:val="auto"/>
                <w:spacing w:val="0"/>
                <w:kern w:val="0"/>
                <w:sz w:val="18"/>
                <w:szCs w:val="18"/>
                <w:lang w:bidi="ar"/>
              </w:rPr>
              <w:t>无</w:t>
            </w:r>
          </w:p>
        </w:tc>
      </w:tr>
      <w:tr w14:paraId="4D83C3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A7F407E">
            <w:pPr>
              <w:keepNext w:val="0"/>
              <w:keepLines w:val="0"/>
              <w:pageBreakBefore w:val="0"/>
              <w:widowControl w:val="0"/>
              <w:kinsoku/>
              <w:wordWrap/>
              <w:overflowPunct w:val="0"/>
              <w:topLinePunct w:val="0"/>
              <w:autoSpaceDE/>
              <w:autoSpaceDN/>
              <w:bidi w:val="0"/>
              <w:adjustRightInd w:val="0"/>
              <w:snapToGrid w:val="0"/>
              <w:spacing w:line="260" w:lineRule="exact"/>
              <w:ind w:left="0" w:leftChars="0" w:right="0" w:rightChars="0" w:firstLine="0" w:firstLineChars="0"/>
              <w:jc w:val="center"/>
              <w:rPr>
                <w:rFonts w:ascii="仿宋_GB2312" w:hAnsi="宋体" w:eastAsia="仿宋_GB2312" w:cs="仿宋_GB2312"/>
                <w:spacing w:val="0"/>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0B2992B">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color w:val="auto"/>
                <w:spacing w:val="0"/>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5AAA281">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color w:val="auto"/>
                <w:spacing w:val="0"/>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9A7A029">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color w:val="auto"/>
                <w:spacing w:val="0"/>
                <w:sz w:val="18"/>
                <w:szCs w:val="18"/>
              </w:rPr>
            </w:pPr>
          </w:p>
        </w:tc>
        <w:tc>
          <w:tcPr>
            <w:tcW w:w="459" w:type="dxa"/>
            <w:tcBorders>
              <w:bottom w:val="single" w:color="auto" w:sz="4" w:space="0"/>
              <w:tl2br w:val="nil"/>
              <w:tr2bl w:val="nil"/>
            </w:tcBorders>
            <w:shd w:val="clear" w:color="auto" w:fill="auto"/>
            <w:noWrap/>
            <w:tcMar>
              <w:top w:w="15" w:type="dxa"/>
              <w:left w:w="15" w:type="dxa"/>
              <w:right w:w="15" w:type="dxa"/>
            </w:tcMar>
            <w:vAlign w:val="center"/>
          </w:tcPr>
          <w:p w14:paraId="50F892B0">
            <w:pPr>
              <w:keepNext w:val="0"/>
              <w:keepLines w:val="0"/>
              <w:pageBreakBefore w:val="0"/>
              <w:widowControl w:val="0"/>
              <w:kinsoku/>
              <w:wordWrap/>
              <w:overflowPunct w:val="0"/>
              <w:topLinePunct w:val="0"/>
              <w:autoSpaceDE/>
              <w:autoSpaceDN/>
              <w:bidi w:val="0"/>
              <w:adjustRightInd w:val="0"/>
              <w:snapToGrid w:val="0"/>
              <w:spacing w:line="260" w:lineRule="exact"/>
              <w:ind w:left="0" w:leftChars="0" w:right="0" w:rightChars="0" w:firstLine="0" w:firstLineChars="0"/>
              <w:jc w:val="center"/>
              <w:textAlignment w:val="center"/>
              <w:rPr>
                <w:rFonts w:ascii="仿宋_GB2312" w:hAnsi="宋体" w:eastAsia="仿宋_GB2312" w:cs="仿宋_GB2312"/>
                <w:color w:val="auto"/>
                <w:spacing w:val="0"/>
                <w:sz w:val="18"/>
                <w:szCs w:val="18"/>
              </w:rPr>
            </w:pPr>
            <w:r>
              <w:rPr>
                <w:rFonts w:hint="eastAsia" w:ascii="仿宋_GB2312" w:hAnsi="宋体" w:eastAsia="仿宋_GB2312" w:cs="仿宋_GB2312"/>
                <w:color w:val="auto"/>
                <w:spacing w:val="0"/>
                <w:kern w:val="0"/>
                <w:sz w:val="18"/>
                <w:szCs w:val="18"/>
                <w:lang w:bidi="ar"/>
              </w:rPr>
              <w:t>减轻处罚</w:t>
            </w:r>
          </w:p>
        </w:tc>
        <w:tc>
          <w:tcPr>
            <w:tcW w:w="1829" w:type="dxa"/>
            <w:tcBorders>
              <w:bottom w:val="single" w:color="auto" w:sz="4" w:space="0"/>
              <w:tl2br w:val="nil"/>
              <w:tr2bl w:val="nil"/>
            </w:tcBorders>
            <w:shd w:val="clear" w:color="auto" w:fill="auto"/>
            <w:tcMar>
              <w:top w:w="15" w:type="dxa"/>
              <w:left w:w="15" w:type="dxa"/>
              <w:right w:w="15" w:type="dxa"/>
            </w:tcMar>
            <w:vAlign w:val="center"/>
          </w:tcPr>
          <w:p w14:paraId="7B6F3C06">
            <w:pPr>
              <w:keepNext w:val="0"/>
              <w:keepLines w:val="0"/>
              <w:pageBreakBefore w:val="0"/>
              <w:widowControl w:val="0"/>
              <w:kinsoku/>
              <w:wordWrap/>
              <w:overflowPunct w:val="0"/>
              <w:topLinePunct w:val="0"/>
              <w:autoSpaceDE/>
              <w:autoSpaceDN/>
              <w:bidi w:val="0"/>
              <w:adjustRightInd w:val="0"/>
              <w:snapToGrid w:val="0"/>
              <w:spacing w:line="260" w:lineRule="exact"/>
              <w:textAlignment w:val="center"/>
              <w:rPr>
                <w:rFonts w:ascii="仿宋_GB2312" w:hAnsi="宋体" w:eastAsia="仿宋_GB2312" w:cs="仿宋_GB2312"/>
                <w:color w:val="auto"/>
                <w:spacing w:val="0"/>
                <w:sz w:val="18"/>
                <w:szCs w:val="18"/>
              </w:rPr>
            </w:pPr>
            <w:r>
              <w:rPr>
                <w:rFonts w:hint="eastAsia" w:ascii="仿宋_GB2312" w:hAnsi="宋体" w:eastAsia="仿宋_GB2312" w:cs="仿宋_GB2312"/>
                <w:color w:val="auto"/>
                <w:spacing w:val="0"/>
                <w:kern w:val="0"/>
                <w:sz w:val="18"/>
                <w:szCs w:val="18"/>
                <w:lang w:bidi="ar"/>
              </w:rPr>
              <w:t>适用总则规定</w:t>
            </w:r>
          </w:p>
        </w:tc>
        <w:tc>
          <w:tcPr>
            <w:tcW w:w="2655" w:type="dxa"/>
            <w:tcBorders>
              <w:bottom w:val="single" w:color="auto" w:sz="4" w:space="0"/>
              <w:tl2br w:val="nil"/>
              <w:tr2bl w:val="nil"/>
            </w:tcBorders>
            <w:shd w:val="clear" w:color="auto" w:fill="auto"/>
            <w:tcMar>
              <w:top w:w="15" w:type="dxa"/>
              <w:left w:w="15" w:type="dxa"/>
              <w:right w:w="15" w:type="dxa"/>
            </w:tcMar>
            <w:vAlign w:val="center"/>
          </w:tcPr>
          <w:p w14:paraId="251E2652">
            <w:pPr>
              <w:keepNext w:val="0"/>
              <w:keepLines w:val="0"/>
              <w:pageBreakBefore w:val="0"/>
              <w:widowControl w:val="0"/>
              <w:kinsoku/>
              <w:wordWrap/>
              <w:overflowPunct w:val="0"/>
              <w:topLinePunct w:val="0"/>
              <w:autoSpaceDE/>
              <w:autoSpaceDN/>
              <w:bidi w:val="0"/>
              <w:adjustRightInd w:val="0"/>
              <w:snapToGrid w:val="0"/>
              <w:spacing w:line="260" w:lineRule="exact"/>
              <w:jc w:val="center"/>
              <w:textAlignment w:val="center"/>
              <w:rPr>
                <w:rFonts w:ascii="仿宋_GB2312" w:hAnsi="宋体" w:eastAsia="仿宋_GB2312" w:cs="仿宋_GB2312"/>
                <w:color w:val="auto"/>
                <w:spacing w:val="0"/>
                <w:sz w:val="18"/>
                <w:szCs w:val="18"/>
              </w:rPr>
            </w:pPr>
            <w:r>
              <w:rPr>
                <w:rFonts w:hint="eastAsia" w:ascii="仿宋_GB2312" w:hAnsi="宋体" w:eastAsia="仿宋_GB2312" w:cs="仿宋_GB2312"/>
                <w:color w:val="auto"/>
                <w:spacing w:val="0"/>
                <w:kern w:val="0"/>
                <w:sz w:val="18"/>
                <w:szCs w:val="18"/>
                <w:lang w:bidi="ar"/>
              </w:rPr>
              <w:t>无</w:t>
            </w:r>
          </w:p>
        </w:tc>
      </w:tr>
      <w:tr w14:paraId="4C25D1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63"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C105D7C">
            <w:pPr>
              <w:keepNext w:val="0"/>
              <w:keepLines w:val="0"/>
              <w:pageBreakBefore w:val="0"/>
              <w:widowControl w:val="0"/>
              <w:kinsoku/>
              <w:wordWrap/>
              <w:overflowPunct w:val="0"/>
              <w:topLinePunct w:val="0"/>
              <w:autoSpaceDE/>
              <w:autoSpaceDN/>
              <w:bidi w:val="0"/>
              <w:adjustRightInd w:val="0"/>
              <w:snapToGrid w:val="0"/>
              <w:spacing w:line="260" w:lineRule="exact"/>
              <w:ind w:left="0" w:leftChars="0" w:right="0" w:rightChars="0" w:firstLine="0" w:firstLineChars="0"/>
              <w:jc w:val="center"/>
              <w:rPr>
                <w:rFonts w:ascii="仿宋_GB2312" w:hAnsi="宋体" w:eastAsia="仿宋_GB2312" w:cs="仿宋_GB2312"/>
                <w:spacing w:val="0"/>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9284E7C">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color w:val="auto"/>
                <w:spacing w:val="0"/>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5517D0C">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color w:val="auto"/>
                <w:spacing w:val="0"/>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81070E1">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color w:val="auto"/>
                <w:spacing w:val="0"/>
                <w:sz w:val="18"/>
                <w:szCs w:val="18"/>
              </w:rPr>
            </w:pPr>
          </w:p>
        </w:tc>
        <w:tc>
          <w:tcPr>
            <w:tcW w:w="459"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7FD6A479">
            <w:pPr>
              <w:keepNext w:val="0"/>
              <w:keepLines w:val="0"/>
              <w:pageBreakBefore w:val="0"/>
              <w:widowControl w:val="0"/>
              <w:kinsoku/>
              <w:wordWrap/>
              <w:overflowPunct w:val="0"/>
              <w:topLinePunct w:val="0"/>
              <w:autoSpaceDE/>
              <w:autoSpaceDN/>
              <w:bidi w:val="0"/>
              <w:adjustRightInd w:val="0"/>
              <w:snapToGrid w:val="0"/>
              <w:spacing w:line="260" w:lineRule="exact"/>
              <w:ind w:left="0" w:leftChars="0" w:right="0" w:rightChars="0" w:firstLine="0" w:firstLineChars="0"/>
              <w:jc w:val="center"/>
              <w:textAlignment w:val="center"/>
              <w:rPr>
                <w:rFonts w:ascii="仿宋_GB2312" w:hAnsi="宋体" w:eastAsia="仿宋_GB2312" w:cs="仿宋_GB2312"/>
                <w:color w:val="auto"/>
                <w:spacing w:val="0"/>
                <w:kern w:val="0"/>
                <w:sz w:val="18"/>
                <w:szCs w:val="18"/>
                <w:lang w:bidi="ar"/>
              </w:rPr>
            </w:pPr>
            <w:r>
              <w:rPr>
                <w:rFonts w:hint="eastAsia" w:ascii="仿宋_GB2312" w:hAnsi="宋体" w:eastAsia="仿宋_GB2312" w:cs="仿宋_GB2312"/>
                <w:color w:val="auto"/>
                <w:spacing w:val="0"/>
                <w:kern w:val="0"/>
                <w:sz w:val="18"/>
                <w:szCs w:val="18"/>
                <w:lang w:bidi="ar"/>
              </w:rPr>
              <w:t>从轻处罚</w:t>
            </w:r>
          </w:p>
        </w:tc>
        <w:tc>
          <w:tcPr>
            <w:tcW w:w="1829"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4E02BDC5">
            <w:pPr>
              <w:keepNext w:val="0"/>
              <w:keepLines w:val="0"/>
              <w:pageBreakBefore w:val="0"/>
              <w:widowControl w:val="0"/>
              <w:kinsoku/>
              <w:wordWrap/>
              <w:overflowPunct w:val="0"/>
              <w:topLinePunct w:val="0"/>
              <w:autoSpaceDE/>
              <w:autoSpaceDN/>
              <w:bidi w:val="0"/>
              <w:adjustRightInd w:val="0"/>
              <w:snapToGrid w:val="0"/>
              <w:spacing w:line="260" w:lineRule="exact"/>
              <w:textAlignment w:val="center"/>
              <w:rPr>
                <w:rFonts w:ascii="仿宋_GB2312" w:hAnsi="宋体" w:eastAsia="仿宋_GB2312" w:cs="仿宋_GB2312"/>
                <w:color w:val="auto"/>
                <w:spacing w:val="0"/>
                <w:kern w:val="0"/>
                <w:sz w:val="18"/>
                <w:szCs w:val="18"/>
                <w:lang w:bidi="ar"/>
              </w:rPr>
            </w:pPr>
            <w:r>
              <w:rPr>
                <w:rFonts w:hint="eastAsia" w:ascii="仿宋_GB2312" w:hAnsi="宋体" w:eastAsia="仿宋_GB2312" w:cs="仿宋_GB2312"/>
                <w:color w:val="auto"/>
                <w:spacing w:val="0"/>
                <w:kern w:val="0"/>
                <w:sz w:val="18"/>
                <w:szCs w:val="18"/>
                <w:lang w:bidi="ar"/>
              </w:rPr>
              <w:t>1项技术资料等未按照规定进行审核批准的。</w:t>
            </w:r>
          </w:p>
        </w:tc>
        <w:tc>
          <w:tcPr>
            <w:tcW w:w="2655"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2FC8ED40">
            <w:pPr>
              <w:keepNext w:val="0"/>
              <w:keepLines w:val="0"/>
              <w:pageBreakBefore w:val="0"/>
              <w:widowControl w:val="0"/>
              <w:kinsoku/>
              <w:wordWrap/>
              <w:overflowPunct w:val="0"/>
              <w:topLinePunct w:val="0"/>
              <w:autoSpaceDE/>
              <w:autoSpaceDN/>
              <w:bidi w:val="0"/>
              <w:adjustRightInd w:val="0"/>
              <w:snapToGrid w:val="0"/>
              <w:spacing w:line="260" w:lineRule="exact"/>
              <w:textAlignment w:val="center"/>
              <w:rPr>
                <w:rFonts w:ascii="仿宋_GB2312" w:hAnsi="宋体" w:eastAsia="仿宋_GB2312" w:cs="仿宋_GB2312"/>
                <w:color w:val="auto"/>
                <w:spacing w:val="0"/>
                <w:kern w:val="0"/>
                <w:sz w:val="18"/>
                <w:szCs w:val="18"/>
                <w:lang w:bidi="ar"/>
              </w:rPr>
            </w:pPr>
            <w:r>
              <w:rPr>
                <w:rFonts w:hint="eastAsia" w:ascii="仿宋_GB2312" w:hAnsi="宋体" w:eastAsia="仿宋_GB2312" w:cs="仿宋_GB2312"/>
                <w:color w:val="auto"/>
                <w:spacing w:val="0"/>
                <w:kern w:val="0"/>
                <w:sz w:val="18"/>
                <w:szCs w:val="18"/>
                <w:lang w:bidi="ar"/>
              </w:rPr>
              <w:t>处以5万元以上7万元以下的罚款，对其主要负责人或者直接负责的主管人员处1万元以上1.3万元以下的罚款。</w:t>
            </w:r>
          </w:p>
        </w:tc>
      </w:tr>
      <w:tr w14:paraId="0ABA4C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0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05B291A">
            <w:pPr>
              <w:keepNext w:val="0"/>
              <w:keepLines w:val="0"/>
              <w:pageBreakBefore w:val="0"/>
              <w:widowControl w:val="0"/>
              <w:kinsoku/>
              <w:wordWrap/>
              <w:overflowPunct w:val="0"/>
              <w:topLinePunct w:val="0"/>
              <w:autoSpaceDE/>
              <w:autoSpaceDN/>
              <w:bidi w:val="0"/>
              <w:adjustRightInd w:val="0"/>
              <w:snapToGrid w:val="0"/>
              <w:spacing w:line="260" w:lineRule="exact"/>
              <w:ind w:left="0" w:leftChars="0" w:right="0" w:rightChars="0" w:firstLine="0" w:firstLineChars="0"/>
              <w:jc w:val="center"/>
              <w:rPr>
                <w:rFonts w:ascii="仿宋_GB2312" w:hAnsi="宋体" w:eastAsia="仿宋_GB2312" w:cs="仿宋_GB2312"/>
                <w:spacing w:val="0"/>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0426D90">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color w:val="auto"/>
                <w:spacing w:val="0"/>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A87F3CA">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color w:val="auto"/>
                <w:spacing w:val="0"/>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B4C6A25">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color w:val="auto"/>
                <w:spacing w:val="0"/>
                <w:sz w:val="18"/>
                <w:szCs w:val="18"/>
              </w:rPr>
            </w:pPr>
          </w:p>
        </w:tc>
        <w:tc>
          <w:tcPr>
            <w:tcW w:w="459"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08EFFDC0">
            <w:pPr>
              <w:keepNext w:val="0"/>
              <w:keepLines w:val="0"/>
              <w:pageBreakBefore w:val="0"/>
              <w:widowControl w:val="0"/>
              <w:kinsoku/>
              <w:wordWrap/>
              <w:overflowPunct w:val="0"/>
              <w:topLinePunct w:val="0"/>
              <w:autoSpaceDE/>
              <w:autoSpaceDN/>
              <w:bidi w:val="0"/>
              <w:adjustRightInd w:val="0"/>
              <w:snapToGrid w:val="0"/>
              <w:spacing w:line="260" w:lineRule="exact"/>
              <w:ind w:left="0" w:leftChars="0" w:right="0" w:rightChars="0" w:firstLine="0" w:firstLineChars="0"/>
              <w:jc w:val="center"/>
              <w:textAlignment w:val="center"/>
              <w:rPr>
                <w:rFonts w:ascii="仿宋_GB2312" w:hAnsi="宋体" w:eastAsia="仿宋_GB2312" w:cs="仿宋_GB2312"/>
                <w:color w:val="auto"/>
                <w:spacing w:val="0"/>
                <w:kern w:val="0"/>
                <w:sz w:val="18"/>
                <w:szCs w:val="18"/>
                <w:lang w:bidi="ar"/>
              </w:rPr>
            </w:pPr>
            <w:r>
              <w:rPr>
                <w:rFonts w:hint="eastAsia" w:ascii="仿宋_GB2312" w:hAnsi="宋体" w:eastAsia="仿宋_GB2312" w:cs="仿宋_GB2312"/>
                <w:color w:val="auto"/>
                <w:spacing w:val="0"/>
                <w:kern w:val="0"/>
                <w:sz w:val="18"/>
                <w:szCs w:val="18"/>
                <w:lang w:bidi="ar"/>
              </w:rPr>
              <w:t>一般处罚</w:t>
            </w:r>
          </w:p>
        </w:tc>
        <w:tc>
          <w:tcPr>
            <w:tcW w:w="1829"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490F7370">
            <w:pPr>
              <w:keepNext w:val="0"/>
              <w:keepLines w:val="0"/>
              <w:pageBreakBefore w:val="0"/>
              <w:widowControl w:val="0"/>
              <w:kinsoku/>
              <w:wordWrap/>
              <w:overflowPunct w:val="0"/>
              <w:topLinePunct w:val="0"/>
              <w:autoSpaceDE/>
              <w:autoSpaceDN/>
              <w:bidi w:val="0"/>
              <w:adjustRightInd w:val="0"/>
              <w:snapToGrid w:val="0"/>
              <w:spacing w:line="260" w:lineRule="exact"/>
              <w:textAlignment w:val="center"/>
              <w:rPr>
                <w:rFonts w:ascii="仿宋_GB2312" w:hAnsi="宋体" w:eastAsia="仿宋_GB2312" w:cs="仿宋_GB2312"/>
                <w:color w:val="auto"/>
                <w:spacing w:val="0"/>
                <w:kern w:val="0"/>
                <w:sz w:val="18"/>
                <w:szCs w:val="18"/>
                <w:lang w:bidi="ar"/>
              </w:rPr>
            </w:pPr>
            <w:r>
              <w:rPr>
                <w:rFonts w:hint="eastAsia" w:ascii="仿宋_GB2312" w:hAnsi="宋体" w:eastAsia="仿宋_GB2312" w:cs="仿宋_GB2312"/>
                <w:color w:val="auto"/>
                <w:spacing w:val="0"/>
                <w:kern w:val="0"/>
                <w:sz w:val="18"/>
                <w:szCs w:val="18"/>
                <w:lang w:bidi="ar"/>
              </w:rPr>
              <w:t>2项技术资料等未按照规定进行审核批准的。</w:t>
            </w:r>
          </w:p>
        </w:tc>
        <w:tc>
          <w:tcPr>
            <w:tcW w:w="2655"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12BD51D4">
            <w:pPr>
              <w:keepNext w:val="0"/>
              <w:keepLines w:val="0"/>
              <w:pageBreakBefore w:val="0"/>
              <w:widowControl w:val="0"/>
              <w:kinsoku/>
              <w:wordWrap/>
              <w:overflowPunct w:val="0"/>
              <w:topLinePunct w:val="0"/>
              <w:autoSpaceDE/>
              <w:autoSpaceDN/>
              <w:bidi w:val="0"/>
              <w:adjustRightInd w:val="0"/>
              <w:snapToGrid w:val="0"/>
              <w:spacing w:line="260" w:lineRule="exact"/>
              <w:textAlignment w:val="center"/>
              <w:rPr>
                <w:rFonts w:ascii="仿宋_GB2312" w:hAnsi="宋体" w:eastAsia="仿宋_GB2312" w:cs="仿宋_GB2312"/>
                <w:color w:val="auto"/>
                <w:spacing w:val="0"/>
                <w:kern w:val="0"/>
                <w:sz w:val="18"/>
                <w:szCs w:val="18"/>
                <w:lang w:bidi="ar"/>
              </w:rPr>
            </w:pPr>
            <w:r>
              <w:rPr>
                <w:rFonts w:hint="eastAsia" w:ascii="仿宋_GB2312" w:hAnsi="宋体" w:eastAsia="仿宋_GB2312" w:cs="仿宋_GB2312"/>
                <w:color w:val="auto"/>
                <w:spacing w:val="0"/>
                <w:kern w:val="0"/>
                <w:sz w:val="18"/>
                <w:szCs w:val="18"/>
                <w:lang w:bidi="ar"/>
              </w:rPr>
              <w:t>处以7万元以上9万元以下的罚款，对其主要负责人或者直接负责的主管人员处1.3万元以上1.8万元以下的罚款。</w:t>
            </w:r>
          </w:p>
        </w:tc>
      </w:tr>
      <w:tr w14:paraId="332C5F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1"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0E476DD">
            <w:pPr>
              <w:keepNext w:val="0"/>
              <w:keepLines w:val="0"/>
              <w:pageBreakBefore w:val="0"/>
              <w:widowControl w:val="0"/>
              <w:kinsoku/>
              <w:wordWrap/>
              <w:overflowPunct w:val="0"/>
              <w:topLinePunct w:val="0"/>
              <w:autoSpaceDE/>
              <w:autoSpaceDN/>
              <w:bidi w:val="0"/>
              <w:adjustRightInd w:val="0"/>
              <w:snapToGrid w:val="0"/>
              <w:spacing w:line="260" w:lineRule="exact"/>
              <w:ind w:left="0" w:leftChars="0" w:right="0" w:rightChars="0" w:firstLine="0" w:firstLineChars="0"/>
              <w:jc w:val="center"/>
              <w:rPr>
                <w:rFonts w:ascii="仿宋_GB2312" w:hAnsi="宋体" w:eastAsia="仿宋_GB2312" w:cs="仿宋_GB2312"/>
                <w:spacing w:val="0"/>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90EFCD6">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color w:val="auto"/>
                <w:spacing w:val="0"/>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65809E8">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color w:val="auto"/>
                <w:spacing w:val="0"/>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859A115">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color w:val="auto"/>
                <w:spacing w:val="0"/>
                <w:sz w:val="18"/>
                <w:szCs w:val="18"/>
              </w:rPr>
            </w:pPr>
          </w:p>
        </w:tc>
        <w:tc>
          <w:tcPr>
            <w:tcW w:w="459" w:type="dxa"/>
            <w:tcBorders>
              <w:top w:val="single" w:color="auto" w:sz="4" w:space="0"/>
              <w:tl2br w:val="nil"/>
              <w:tr2bl w:val="nil"/>
            </w:tcBorders>
            <w:shd w:val="clear" w:color="auto" w:fill="auto"/>
            <w:noWrap/>
            <w:tcMar>
              <w:top w:w="15" w:type="dxa"/>
              <w:left w:w="15" w:type="dxa"/>
              <w:right w:w="15" w:type="dxa"/>
            </w:tcMar>
            <w:vAlign w:val="center"/>
          </w:tcPr>
          <w:p w14:paraId="6A5EA371">
            <w:pPr>
              <w:keepNext w:val="0"/>
              <w:keepLines w:val="0"/>
              <w:pageBreakBefore w:val="0"/>
              <w:widowControl w:val="0"/>
              <w:kinsoku/>
              <w:wordWrap/>
              <w:overflowPunct w:val="0"/>
              <w:topLinePunct w:val="0"/>
              <w:autoSpaceDE/>
              <w:autoSpaceDN/>
              <w:bidi w:val="0"/>
              <w:adjustRightInd w:val="0"/>
              <w:snapToGrid w:val="0"/>
              <w:spacing w:line="260" w:lineRule="exact"/>
              <w:ind w:left="0" w:leftChars="0" w:right="0" w:rightChars="0" w:firstLine="0" w:firstLineChars="0"/>
              <w:jc w:val="center"/>
              <w:textAlignment w:val="center"/>
              <w:rPr>
                <w:rFonts w:ascii="仿宋_GB2312" w:hAnsi="宋体" w:eastAsia="仿宋_GB2312" w:cs="仿宋_GB2312"/>
                <w:color w:val="auto"/>
                <w:spacing w:val="0"/>
                <w:kern w:val="0"/>
                <w:sz w:val="18"/>
                <w:szCs w:val="18"/>
                <w:lang w:bidi="ar"/>
              </w:rPr>
            </w:pPr>
            <w:r>
              <w:rPr>
                <w:rFonts w:hint="eastAsia" w:ascii="仿宋_GB2312" w:hAnsi="宋体" w:eastAsia="仿宋_GB2312" w:cs="仿宋_GB2312"/>
                <w:color w:val="auto"/>
                <w:spacing w:val="0"/>
                <w:kern w:val="0"/>
                <w:sz w:val="18"/>
                <w:szCs w:val="18"/>
                <w:lang w:bidi="ar"/>
              </w:rPr>
              <w:t>从重处罚</w:t>
            </w:r>
          </w:p>
        </w:tc>
        <w:tc>
          <w:tcPr>
            <w:tcW w:w="1829" w:type="dxa"/>
            <w:tcBorders>
              <w:top w:val="single" w:color="auto" w:sz="4" w:space="0"/>
              <w:tl2br w:val="nil"/>
              <w:tr2bl w:val="nil"/>
            </w:tcBorders>
            <w:shd w:val="clear" w:color="auto" w:fill="auto"/>
            <w:tcMar>
              <w:top w:w="15" w:type="dxa"/>
              <w:left w:w="15" w:type="dxa"/>
              <w:right w:w="15" w:type="dxa"/>
            </w:tcMar>
            <w:vAlign w:val="center"/>
          </w:tcPr>
          <w:p w14:paraId="79856628">
            <w:pPr>
              <w:keepNext w:val="0"/>
              <w:keepLines w:val="0"/>
              <w:pageBreakBefore w:val="0"/>
              <w:widowControl w:val="0"/>
              <w:kinsoku/>
              <w:wordWrap/>
              <w:overflowPunct w:val="0"/>
              <w:topLinePunct w:val="0"/>
              <w:autoSpaceDE/>
              <w:autoSpaceDN/>
              <w:bidi w:val="0"/>
              <w:adjustRightInd w:val="0"/>
              <w:snapToGrid w:val="0"/>
              <w:spacing w:line="260" w:lineRule="exact"/>
              <w:textAlignment w:val="center"/>
              <w:rPr>
                <w:rFonts w:ascii="仿宋_GB2312" w:hAnsi="宋体" w:eastAsia="仿宋_GB2312" w:cs="仿宋_GB2312"/>
                <w:color w:val="auto"/>
                <w:spacing w:val="0"/>
                <w:kern w:val="0"/>
                <w:sz w:val="18"/>
                <w:szCs w:val="18"/>
                <w:lang w:bidi="ar"/>
              </w:rPr>
            </w:pPr>
            <w:r>
              <w:rPr>
                <w:rFonts w:hint="eastAsia" w:ascii="仿宋_GB2312" w:hAnsi="宋体" w:eastAsia="仿宋_GB2312" w:cs="仿宋_GB2312"/>
                <w:color w:val="auto"/>
                <w:spacing w:val="0"/>
                <w:kern w:val="0"/>
                <w:sz w:val="18"/>
                <w:szCs w:val="18"/>
                <w:lang w:bidi="ar"/>
              </w:rPr>
              <w:t>3项以上技术资料等未按照规定进行审核批准的。</w:t>
            </w:r>
          </w:p>
        </w:tc>
        <w:tc>
          <w:tcPr>
            <w:tcW w:w="2655" w:type="dxa"/>
            <w:tcBorders>
              <w:top w:val="single" w:color="auto" w:sz="4" w:space="0"/>
              <w:tl2br w:val="nil"/>
              <w:tr2bl w:val="nil"/>
            </w:tcBorders>
            <w:shd w:val="clear" w:color="auto" w:fill="auto"/>
            <w:tcMar>
              <w:top w:w="15" w:type="dxa"/>
              <w:left w:w="15" w:type="dxa"/>
              <w:right w:w="15" w:type="dxa"/>
            </w:tcMar>
            <w:vAlign w:val="center"/>
          </w:tcPr>
          <w:p w14:paraId="43B2E1D1">
            <w:pPr>
              <w:keepNext w:val="0"/>
              <w:keepLines w:val="0"/>
              <w:pageBreakBefore w:val="0"/>
              <w:widowControl w:val="0"/>
              <w:kinsoku/>
              <w:wordWrap/>
              <w:overflowPunct w:val="0"/>
              <w:topLinePunct w:val="0"/>
              <w:autoSpaceDE/>
              <w:autoSpaceDN/>
              <w:bidi w:val="0"/>
              <w:adjustRightInd w:val="0"/>
              <w:snapToGrid w:val="0"/>
              <w:spacing w:line="260" w:lineRule="exact"/>
              <w:textAlignment w:val="center"/>
              <w:rPr>
                <w:rFonts w:ascii="仿宋_GB2312" w:hAnsi="宋体" w:eastAsia="仿宋_GB2312" w:cs="仿宋_GB2312"/>
                <w:color w:val="auto"/>
                <w:spacing w:val="0"/>
                <w:kern w:val="0"/>
                <w:sz w:val="18"/>
                <w:szCs w:val="18"/>
                <w:lang w:bidi="ar"/>
              </w:rPr>
            </w:pPr>
            <w:r>
              <w:rPr>
                <w:rFonts w:hint="eastAsia" w:ascii="仿宋_GB2312" w:hAnsi="宋体" w:eastAsia="仿宋_GB2312" w:cs="仿宋_GB2312"/>
                <w:color w:val="auto"/>
                <w:spacing w:val="0"/>
                <w:kern w:val="0"/>
                <w:sz w:val="18"/>
                <w:szCs w:val="18"/>
                <w:lang w:bidi="ar"/>
              </w:rPr>
              <w:t>处以9万元以上10万元以下的罚款，对其主要负责人或者直接负责的主管人员处1.8万元以上2万元以下的罚款。</w:t>
            </w:r>
          </w:p>
        </w:tc>
      </w:tr>
      <w:tr w14:paraId="0A4E33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64EDB4E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val="en-US" w:eastAsia="zh-CN" w:bidi="ar"/>
              </w:rPr>
              <w:t>2</w:t>
            </w:r>
            <w:del w:id="1341" w:author="LV" w:date="2026-07-14T16:16:05Z">
              <w:r>
                <w:rPr>
                  <w:rFonts w:hint="default" w:ascii="仿宋_GB2312" w:hAnsi="宋体" w:eastAsia="仿宋_GB2312" w:cs="仿宋_GB2312"/>
                  <w:kern w:val="0"/>
                  <w:sz w:val="18"/>
                  <w:szCs w:val="18"/>
                  <w:lang w:val="en-US" w:eastAsia="zh-CN" w:bidi="ar"/>
                </w:rPr>
                <w:delText>0</w:delText>
              </w:r>
            </w:del>
            <w:ins w:id="1342" w:author="LV" w:date="2026-07-14T16:16:05Z">
              <w:r>
                <w:rPr>
                  <w:rFonts w:hint="eastAsia" w:ascii="仿宋_GB2312" w:hAnsi="宋体" w:eastAsia="仿宋_GB2312" w:cs="仿宋_GB2312"/>
                  <w:kern w:val="0"/>
                  <w:sz w:val="18"/>
                  <w:szCs w:val="18"/>
                  <w:lang w:val="en-US" w:eastAsia="zh-CN" w:bidi="ar"/>
                </w:rPr>
                <w:t>2</w:t>
              </w:r>
            </w:ins>
          </w:p>
        </w:tc>
        <w:tc>
          <w:tcPr>
            <w:tcW w:w="1005" w:type="dxa"/>
            <w:vMerge w:val="restart"/>
            <w:tcBorders>
              <w:tl2br w:val="nil"/>
              <w:tr2bl w:val="nil"/>
            </w:tcBorders>
            <w:shd w:val="clear" w:color="auto" w:fill="auto"/>
            <w:tcMar>
              <w:top w:w="15" w:type="dxa"/>
              <w:left w:w="15" w:type="dxa"/>
              <w:right w:w="15" w:type="dxa"/>
            </w:tcMar>
            <w:vAlign w:val="center"/>
          </w:tcPr>
          <w:p w14:paraId="565AEDC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冲击地压煤矿未按照《山东省煤矿冲击地压防治办法》规定组织生产的</w:t>
            </w:r>
          </w:p>
        </w:tc>
        <w:tc>
          <w:tcPr>
            <w:tcW w:w="3667" w:type="dxa"/>
            <w:vMerge w:val="restart"/>
            <w:tcBorders>
              <w:tl2br w:val="nil"/>
              <w:tr2bl w:val="nil"/>
            </w:tcBorders>
            <w:shd w:val="clear" w:color="auto" w:fill="auto"/>
            <w:tcMar>
              <w:top w:w="15" w:type="dxa"/>
              <w:left w:w="15" w:type="dxa"/>
              <w:right w:w="15" w:type="dxa"/>
            </w:tcMar>
            <w:vAlign w:val="center"/>
          </w:tcPr>
          <w:p w14:paraId="1AEEC359">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bidi="ar"/>
              </w:rPr>
              <w:t>《山东省煤矿冲击地压防治办法》</w:t>
            </w:r>
          </w:p>
          <w:p w14:paraId="50B221C7">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bidi="ar"/>
              </w:rPr>
              <w:t>第十条 冲击地压矿井开采深度不得超过国家有关规定。冲击地压矿井不得核增生产能力。具备冲击地压灾害防治能力且达到国家规定的治理要求的严重冲击地压矿井和采深超过1000米的矿井，其生产能力应当根据冲击地压防治需要予以核减。</w:t>
            </w:r>
          </w:p>
          <w:p w14:paraId="1D2D678A">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bidi="ar"/>
              </w:rPr>
              <w:t>第十六条 具有冲击地压危险的采掘工作面应当按照下列规定实行限员管理，并实现人员位置精确定位：（一）采煤工作面和顺槽超前300米以内不得超过16人；顺槽长度不足300米的，在顺槽与采区巷道交叉口以内不得超过16人；（二）掘进工作面200米范围内不得超过9人；掘进巷道不足200米的，在工作面回风流与全风压风流混合处以内不得超过9人。</w:t>
            </w:r>
          </w:p>
          <w:p w14:paraId="6E6141B2">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bidi="ar"/>
              </w:rPr>
              <w:t>第二十三条第二款 严重冲击地压矿井和按照严重冲击地压矿井要求管理的采区，不得开采孤岛煤柱。冲击地压煤层开采孤岛煤柱前，煤矿企业应当组织专家进行安全开采论证，编制防冲专项设计，经煤矿企业主要负责人批准后实施。</w:t>
            </w:r>
          </w:p>
          <w:p w14:paraId="0F3BE7FE">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第三十七条第二款 具有中等冲击地压危险的掘进巷道，应当采用恒阻锚索、高预应力全长锚注锚索、让压锚杆、高强度护表钢带、高强度护网或者大直径托盘等具有强抗变形和护表能力的主动支护方式。具有强冲击地压危险的掘进巷道以及中等冲击地压危险的厚煤层托顶煤掘进巷道，除采用本条第二款规定的主动支护方式外，还应当采用可缩式U型钢棚、液压单元支架或者门式支架等受冲击后仍有安全空间的加强支护方式。支护方式和范围应当由煤矿企业总工程师批准。</w:t>
            </w:r>
          </w:p>
        </w:tc>
        <w:tc>
          <w:tcPr>
            <w:tcW w:w="4082" w:type="dxa"/>
            <w:vMerge w:val="restart"/>
            <w:tcBorders>
              <w:tl2br w:val="nil"/>
              <w:tr2bl w:val="nil"/>
            </w:tcBorders>
            <w:shd w:val="clear" w:color="auto" w:fill="auto"/>
            <w:tcMar>
              <w:top w:w="15" w:type="dxa"/>
              <w:left w:w="15" w:type="dxa"/>
              <w:right w:w="15" w:type="dxa"/>
            </w:tcMar>
            <w:vAlign w:val="center"/>
          </w:tcPr>
          <w:p w14:paraId="0DFCD85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《山东省煤矿冲击地压防治办法》第五十条 违反本办法规定，冲击地压矿井有下列行为之一的，由煤矿安全生产监督管理部门或者煤矿安全监察机构责令限期改正，处以10万元以上20万元以下的罚款；对其主要负责人或者其他直接责任人员处以1万元以上3万元以下的罚款，并依法给予处分：（一）开采深度超过国家有关规定的；（二）具有冲击地压危险的采掘工作面人员超过本办法规定人数的；（三）开采严重冲击地压矿井或者按照严重冲击地压矿井要求管理的采区的孤岛煤柱的；（四）具有中等以上冲击地压危险的采煤工作面和掘进巷道，其支护方式不符合本办法规定要求的。</w:t>
            </w:r>
          </w:p>
        </w:tc>
        <w:tc>
          <w:tcPr>
            <w:tcW w:w="459" w:type="dxa"/>
            <w:tcBorders>
              <w:tl2br w:val="nil"/>
              <w:tr2bl w:val="nil"/>
            </w:tcBorders>
            <w:shd w:val="clear" w:color="auto" w:fill="auto"/>
            <w:noWrap/>
            <w:tcMar>
              <w:top w:w="15" w:type="dxa"/>
              <w:left w:w="15" w:type="dxa"/>
              <w:right w:w="15" w:type="dxa"/>
            </w:tcMar>
            <w:vAlign w:val="center"/>
          </w:tcPr>
          <w:p w14:paraId="5102415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4EAE71F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73C6FAE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1247CB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C000BB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594612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6DBB2F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94B562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0E3BFF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449E2C0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5CE9A91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36FE62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0373F7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0871AC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832BEC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0AB404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5737D4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59E8895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AA49F7F">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7F1357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30FA70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37A4BC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B97337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40DA11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961C33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49464E1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1处（次）违反规定超强度组织生产的。</w:t>
            </w:r>
          </w:p>
        </w:tc>
        <w:tc>
          <w:tcPr>
            <w:tcW w:w="2655" w:type="dxa"/>
            <w:tcBorders>
              <w:tl2br w:val="nil"/>
              <w:tr2bl w:val="nil"/>
            </w:tcBorders>
            <w:shd w:val="clear" w:color="auto" w:fill="auto"/>
            <w:tcMar>
              <w:top w:w="15" w:type="dxa"/>
              <w:left w:w="15" w:type="dxa"/>
              <w:right w:w="15" w:type="dxa"/>
            </w:tcMar>
            <w:vAlign w:val="center"/>
          </w:tcPr>
          <w:p w14:paraId="791D37A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处以10万元以上13万元以下的罚款，对其主要负责人或者其他直接责任人员处以1万元以上1.5万元以下的罚款。</w:t>
            </w:r>
          </w:p>
        </w:tc>
      </w:tr>
      <w:tr w14:paraId="0B3738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2A4F74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AB4160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7C89B6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BC45BD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C53488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6A9AB30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ascii="仿宋_GB2312" w:hAnsi="宋体" w:eastAsia="仿宋_GB2312" w:cs="仿宋_GB2312"/>
                <w:color w:val="auto"/>
                <w:kern w:val="0"/>
                <w:sz w:val="18"/>
                <w:szCs w:val="18"/>
                <w:lang w:bidi="ar"/>
              </w:rPr>
              <w:t>2处（次）违反规定超强</w:t>
            </w:r>
            <w:r>
              <w:rPr>
                <w:rFonts w:hint="eastAsia" w:ascii="仿宋_GB2312" w:hAnsi="宋体" w:eastAsia="仿宋_GB2312" w:cs="仿宋_GB2312"/>
                <w:color w:val="auto"/>
                <w:kern w:val="0"/>
                <w:sz w:val="18"/>
                <w:szCs w:val="18"/>
                <w:lang w:bidi="ar"/>
              </w:rPr>
              <w:t>度</w:t>
            </w:r>
            <w:r>
              <w:rPr>
                <w:rFonts w:ascii="仿宋_GB2312" w:hAnsi="宋体" w:eastAsia="仿宋_GB2312" w:cs="仿宋_GB2312"/>
                <w:color w:val="auto"/>
                <w:kern w:val="0"/>
                <w:sz w:val="18"/>
                <w:szCs w:val="18"/>
                <w:lang w:bidi="ar"/>
              </w:rPr>
              <w:t>组织生产的。</w:t>
            </w:r>
          </w:p>
        </w:tc>
        <w:tc>
          <w:tcPr>
            <w:tcW w:w="2655" w:type="dxa"/>
            <w:tcBorders>
              <w:tl2br w:val="nil"/>
              <w:tr2bl w:val="nil"/>
            </w:tcBorders>
            <w:shd w:val="clear" w:color="auto" w:fill="auto"/>
            <w:tcMar>
              <w:top w:w="15" w:type="dxa"/>
              <w:left w:w="15" w:type="dxa"/>
              <w:right w:w="15" w:type="dxa"/>
            </w:tcMar>
            <w:vAlign w:val="center"/>
          </w:tcPr>
          <w:p w14:paraId="6C43A92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处以</w:t>
            </w:r>
            <w:r>
              <w:rPr>
                <w:rFonts w:ascii="仿宋_GB2312" w:hAnsi="宋体" w:eastAsia="仿宋_GB2312" w:cs="仿宋_GB2312"/>
                <w:color w:val="auto"/>
                <w:kern w:val="0"/>
                <w:sz w:val="18"/>
                <w:szCs w:val="18"/>
                <w:lang w:bidi="ar"/>
              </w:rPr>
              <w:t>13万元以上</w:t>
            </w:r>
            <w:r>
              <w:rPr>
                <w:rFonts w:hint="eastAsia" w:ascii="仿宋_GB2312" w:hAnsi="宋体" w:eastAsia="仿宋_GB2312" w:cs="仿宋_GB2312"/>
                <w:color w:val="auto"/>
                <w:kern w:val="0"/>
                <w:sz w:val="18"/>
                <w:szCs w:val="18"/>
                <w:lang w:bidi="ar"/>
              </w:rPr>
              <w:t>17万元以下的罚款，对其主要负责人或者其他直接责任人员处以</w:t>
            </w:r>
            <w:r>
              <w:rPr>
                <w:rFonts w:ascii="仿宋_GB2312" w:hAnsi="宋体" w:eastAsia="仿宋_GB2312" w:cs="仿宋_GB2312"/>
                <w:color w:val="auto"/>
                <w:kern w:val="0"/>
                <w:sz w:val="18"/>
                <w:szCs w:val="18"/>
                <w:lang w:bidi="ar"/>
              </w:rPr>
              <w:t>1.5</w:t>
            </w:r>
            <w:r>
              <w:rPr>
                <w:rFonts w:hint="eastAsia" w:ascii="仿宋_GB2312" w:hAnsi="宋体" w:eastAsia="仿宋_GB2312" w:cs="仿宋_GB2312"/>
                <w:color w:val="auto"/>
                <w:kern w:val="0"/>
                <w:sz w:val="18"/>
                <w:szCs w:val="18"/>
                <w:lang w:bidi="ar"/>
              </w:rPr>
              <w:t>万元以上</w:t>
            </w:r>
            <w:r>
              <w:rPr>
                <w:rFonts w:ascii="仿宋_GB2312" w:hAnsi="宋体" w:eastAsia="仿宋_GB2312" w:cs="仿宋_GB2312"/>
                <w:color w:val="auto"/>
                <w:kern w:val="0"/>
                <w:sz w:val="18"/>
                <w:szCs w:val="18"/>
                <w:lang w:bidi="ar"/>
              </w:rPr>
              <w:t>2.5万元以下的罚款。</w:t>
            </w:r>
          </w:p>
        </w:tc>
      </w:tr>
      <w:tr w14:paraId="71AABD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B52FA4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74EC6A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F76DAC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D49858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E43697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582803D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3处（次）以上违反规定超强度组织生产的。</w:t>
            </w:r>
          </w:p>
        </w:tc>
        <w:tc>
          <w:tcPr>
            <w:tcW w:w="2655" w:type="dxa"/>
            <w:tcBorders>
              <w:tl2br w:val="nil"/>
              <w:tr2bl w:val="nil"/>
            </w:tcBorders>
            <w:shd w:val="clear" w:color="auto" w:fill="auto"/>
            <w:tcMar>
              <w:top w:w="15" w:type="dxa"/>
              <w:left w:w="15" w:type="dxa"/>
              <w:right w:w="15" w:type="dxa"/>
            </w:tcMar>
            <w:vAlign w:val="center"/>
          </w:tcPr>
          <w:p w14:paraId="3C2CE31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处以17万元以上20万元以下的罚款，对其主要负责人或者其他直接责任人员处2.5万元以上3万元以下的罚款。</w:t>
            </w:r>
          </w:p>
        </w:tc>
      </w:tr>
      <w:tr w14:paraId="18AB8E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5883992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val="en-US" w:eastAsia="zh-CN" w:bidi="ar"/>
              </w:rPr>
              <w:t>2</w:t>
            </w:r>
            <w:del w:id="1343" w:author="LV" w:date="2026-07-14T16:16:11Z">
              <w:r>
                <w:rPr>
                  <w:rFonts w:hint="default" w:ascii="仿宋_GB2312" w:hAnsi="宋体" w:eastAsia="仿宋_GB2312" w:cs="仿宋_GB2312"/>
                  <w:kern w:val="0"/>
                  <w:sz w:val="18"/>
                  <w:szCs w:val="18"/>
                  <w:lang w:val="en-US" w:eastAsia="zh-CN" w:bidi="ar"/>
                </w:rPr>
                <w:delText>1</w:delText>
              </w:r>
            </w:del>
            <w:ins w:id="1344" w:author="LV" w:date="2026-07-14T16:16:11Z">
              <w:r>
                <w:rPr>
                  <w:rFonts w:hint="eastAsia" w:ascii="仿宋_GB2312" w:hAnsi="宋体" w:eastAsia="仿宋_GB2312" w:cs="仿宋_GB2312"/>
                  <w:kern w:val="0"/>
                  <w:sz w:val="18"/>
                  <w:szCs w:val="18"/>
                  <w:lang w:val="en-US" w:eastAsia="zh-CN" w:bidi="ar"/>
                </w:rPr>
                <w:t>3</w:t>
              </w:r>
            </w:ins>
          </w:p>
        </w:tc>
        <w:tc>
          <w:tcPr>
            <w:tcW w:w="1005" w:type="dxa"/>
            <w:vMerge w:val="restart"/>
            <w:tcBorders>
              <w:tl2br w:val="nil"/>
              <w:tr2bl w:val="nil"/>
            </w:tcBorders>
            <w:shd w:val="clear" w:color="auto" w:fill="auto"/>
            <w:tcMar>
              <w:top w:w="15" w:type="dxa"/>
              <w:left w:w="15" w:type="dxa"/>
              <w:right w:w="15" w:type="dxa"/>
            </w:tcMar>
            <w:vAlign w:val="center"/>
          </w:tcPr>
          <w:p w14:paraId="487713E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冲击地压矿井未按照《山东省煤矿冲击地压防治办法》采取评价、监测、卸压等措施的</w:t>
            </w:r>
          </w:p>
        </w:tc>
        <w:tc>
          <w:tcPr>
            <w:tcW w:w="3667" w:type="dxa"/>
            <w:vMerge w:val="restart"/>
            <w:tcBorders>
              <w:tl2br w:val="nil"/>
              <w:tr2bl w:val="nil"/>
            </w:tcBorders>
            <w:shd w:val="clear" w:color="auto" w:fill="auto"/>
            <w:tcMar>
              <w:top w:w="15" w:type="dxa"/>
              <w:left w:w="15" w:type="dxa"/>
              <w:right w:w="15" w:type="dxa"/>
            </w:tcMar>
            <w:vAlign w:val="center"/>
          </w:tcPr>
          <w:p w14:paraId="1E0218F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bidi="ar"/>
              </w:rPr>
              <w:t>《山东省煤矿冲击地压防治办法》</w:t>
            </w:r>
          </w:p>
          <w:p w14:paraId="6EDB0EB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bidi="ar"/>
              </w:rPr>
              <w:t>第二十条</w:t>
            </w:r>
            <w:r>
              <w:rPr>
                <w:rFonts w:hint="eastAsia" w:ascii="仿宋_GB2312" w:hAnsi="宋体" w:eastAsia="仿宋_GB2312" w:cs="仿宋_GB2312"/>
                <w:color w:val="auto"/>
                <w:kern w:val="0"/>
                <w:sz w:val="18"/>
                <w:szCs w:val="18"/>
                <w:lang w:eastAsia="zh-CN" w:bidi="ar"/>
              </w:rPr>
              <w:t xml:space="preserve"> </w:t>
            </w:r>
            <w:r>
              <w:rPr>
                <w:rFonts w:hint="eastAsia" w:ascii="仿宋_GB2312" w:hAnsi="宋体" w:eastAsia="仿宋_GB2312" w:cs="仿宋_GB2312"/>
                <w:color w:val="auto"/>
                <w:kern w:val="0"/>
                <w:sz w:val="18"/>
                <w:szCs w:val="18"/>
                <w:lang w:bidi="ar"/>
              </w:rPr>
              <w:t>冲击地压煤矿应当按照国家有关规定委托符合下列条件的评价单位，对矿井、水平、煤层、采区、采掘工作面进行冲击危险性评价：（一）有冲击地压研究基础与评价能力；（二）有固定的冲击地压防治专业研究队伍；（三）有相应的冲击危险性评价工作经验。</w:t>
            </w:r>
          </w:p>
          <w:p w14:paraId="74CE558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bidi="ar"/>
              </w:rPr>
              <w:t>第二十七条 冲击地压矿井应当建立冲击地压危险性监测体系，采用区域与局部相结合的监测方法进行日常监测。区域监测应当采用微震监测等方法。具有冲击地压危险的采掘工作面，其局部监测应当采用钻屑和应力监测等方法；具有强冲击地压危险的采掘工作面，其局部监测还应当采用CT反演、电磁辐射等方法。具有中等以上冲击地压危险的采煤工作面，应当对液压支架工作阻力进行实时在线监测。</w:t>
            </w:r>
          </w:p>
          <w:p w14:paraId="32DA37D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第三十三条 具有冲击地压危险的采掘工作面，应当采取预防性卸压措施。在采煤工作面进行预防性卸压钻孔施工的，应当在采动影响范围外，且距离采煤工作面不小于150米；确需在150米以内进行施工的，应当按照解危施工安全技术措施执行。在掘进工作面进行预防性卸压钻孔施工的，应当在距离掘进工作面10米以内，按照设计要求一次性完成；钻孔施工不得与掘进机割煤、巷道支护同时作业。</w:t>
            </w:r>
          </w:p>
        </w:tc>
        <w:tc>
          <w:tcPr>
            <w:tcW w:w="4082" w:type="dxa"/>
            <w:vMerge w:val="restart"/>
            <w:tcBorders>
              <w:tl2br w:val="nil"/>
              <w:tr2bl w:val="nil"/>
            </w:tcBorders>
            <w:shd w:val="clear" w:color="auto" w:fill="auto"/>
            <w:tcMar>
              <w:top w:w="15" w:type="dxa"/>
              <w:left w:w="15" w:type="dxa"/>
              <w:right w:w="15" w:type="dxa"/>
            </w:tcMar>
            <w:vAlign w:val="center"/>
          </w:tcPr>
          <w:p w14:paraId="6514214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《山东省煤矿冲击地压防治办法》第五十一条 违反本办法规定，冲击地压矿井有下列行为之一的，由煤矿安全生产监督管理部门或者煤矿安全监察机构责令限期改正，处以5万元以上10万元以下的罚款；对其直接负责的主管人员或者其他直接责任人员处以5000元以上2万元以下的罚款：（一）未按照规定对矿井、水平、煤层、采区、采掘工作面进行冲击危险性评价的；（二）未采用区域监测、局部监测方法进行冲击地压危险性监测的；（三）未对具有冲击地压危险的采掘工作面采取预防性卸压措施的；（四）在采掘工作面进行预防性卸压钻孔施工，超出规定区域或者违反施工要求的。</w:t>
            </w:r>
          </w:p>
        </w:tc>
        <w:tc>
          <w:tcPr>
            <w:tcW w:w="459" w:type="dxa"/>
            <w:tcBorders>
              <w:tl2br w:val="nil"/>
              <w:tr2bl w:val="nil"/>
            </w:tcBorders>
            <w:shd w:val="clear" w:color="auto" w:fill="auto"/>
            <w:noWrap/>
            <w:tcMar>
              <w:top w:w="15" w:type="dxa"/>
              <w:left w:w="15" w:type="dxa"/>
              <w:right w:w="15" w:type="dxa"/>
            </w:tcMar>
            <w:vAlign w:val="center"/>
          </w:tcPr>
          <w:p w14:paraId="1CA0E54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7B69D60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76270C3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0246D4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A0E4ED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92E721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E89548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7495F8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0AAF9F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0D8F194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3FEC225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64E954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C5FB43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30F596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574560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33F28C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92E83D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219E5EE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2730E5D">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306CF6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2B63A2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00984A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EB6351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69E9B4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DC4E4F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56C2101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1处（次）未按照规定采取评价、监测、卸压等措施的。</w:t>
            </w:r>
          </w:p>
        </w:tc>
        <w:tc>
          <w:tcPr>
            <w:tcW w:w="2655" w:type="dxa"/>
            <w:tcBorders>
              <w:tl2br w:val="nil"/>
              <w:tr2bl w:val="nil"/>
            </w:tcBorders>
            <w:shd w:val="clear" w:color="auto" w:fill="auto"/>
            <w:tcMar>
              <w:top w:w="15" w:type="dxa"/>
              <w:left w:w="15" w:type="dxa"/>
              <w:right w:w="15" w:type="dxa"/>
            </w:tcMar>
            <w:vAlign w:val="center"/>
          </w:tcPr>
          <w:p w14:paraId="0BDD2C1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处以5万元以上7万元以下的罚款，对其直接负责的主管人员或者其他直接责任人员处以5000元以上1万元以下的罚款。</w:t>
            </w:r>
          </w:p>
        </w:tc>
      </w:tr>
      <w:tr w14:paraId="6E0867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B98A68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A18B5A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88DD4C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625ADD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3D036D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7F105C1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2处（次）未按照规定采取评价、监测、卸压等措施的。</w:t>
            </w:r>
          </w:p>
        </w:tc>
        <w:tc>
          <w:tcPr>
            <w:tcW w:w="2655" w:type="dxa"/>
            <w:tcBorders>
              <w:tl2br w:val="nil"/>
              <w:tr2bl w:val="nil"/>
            </w:tcBorders>
            <w:shd w:val="clear" w:color="auto" w:fill="auto"/>
            <w:tcMar>
              <w:top w:w="15" w:type="dxa"/>
              <w:left w:w="15" w:type="dxa"/>
              <w:right w:w="15" w:type="dxa"/>
            </w:tcMar>
            <w:vAlign w:val="center"/>
          </w:tcPr>
          <w:p w14:paraId="54205E3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处以7万元以上9万元以下的罚款，对其直接负责的主管人员或者其他直接责任人员处以1万元以上1</w:t>
            </w:r>
            <w:r>
              <w:rPr>
                <w:rFonts w:ascii="仿宋_GB2312" w:hAnsi="宋体" w:eastAsia="仿宋_GB2312" w:cs="仿宋_GB2312"/>
                <w:color w:val="auto"/>
                <w:kern w:val="0"/>
                <w:sz w:val="18"/>
                <w:szCs w:val="18"/>
                <w:lang w:val="is-IS" w:bidi="ar"/>
              </w:rPr>
              <w:t>.</w:t>
            </w:r>
            <w:r>
              <w:rPr>
                <w:rFonts w:hint="eastAsia" w:ascii="仿宋_GB2312" w:hAnsi="宋体" w:eastAsia="仿宋_GB2312" w:cs="仿宋_GB2312"/>
                <w:color w:val="auto"/>
                <w:kern w:val="0"/>
                <w:sz w:val="18"/>
                <w:szCs w:val="18"/>
                <w:lang w:bidi="ar"/>
              </w:rPr>
              <w:t>5万元以下的罚款。</w:t>
            </w:r>
          </w:p>
        </w:tc>
      </w:tr>
      <w:tr w14:paraId="451349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415474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C807AF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C68D95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079A78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F37929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191F5CB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3处（次）未按照规定采取评价、监测、卸压等措施的。</w:t>
            </w:r>
          </w:p>
        </w:tc>
        <w:tc>
          <w:tcPr>
            <w:tcW w:w="2655" w:type="dxa"/>
            <w:tcBorders>
              <w:tl2br w:val="nil"/>
              <w:tr2bl w:val="nil"/>
            </w:tcBorders>
            <w:shd w:val="clear" w:color="auto" w:fill="auto"/>
            <w:tcMar>
              <w:top w:w="15" w:type="dxa"/>
              <w:left w:w="15" w:type="dxa"/>
              <w:right w:w="15" w:type="dxa"/>
            </w:tcMar>
            <w:vAlign w:val="center"/>
          </w:tcPr>
          <w:p w14:paraId="536B2CC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处以9万元以上10万元以下的罚款，对其直接负责的主管人员或者其他直接责任人员处以1.5万元以上2万元以下的罚款。</w:t>
            </w:r>
          </w:p>
        </w:tc>
      </w:tr>
      <w:tr w14:paraId="033648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2"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28CF252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val="en-US" w:eastAsia="zh-CN" w:bidi="ar"/>
              </w:rPr>
              <w:t>2</w:t>
            </w:r>
            <w:del w:id="1345" w:author="LV" w:date="2026-07-14T16:16:41Z">
              <w:r>
                <w:rPr>
                  <w:rFonts w:hint="default" w:ascii="仿宋_GB2312" w:hAnsi="宋体" w:eastAsia="仿宋_GB2312" w:cs="仿宋_GB2312"/>
                  <w:kern w:val="0"/>
                  <w:sz w:val="18"/>
                  <w:szCs w:val="18"/>
                  <w:lang w:val="en-US" w:eastAsia="zh-CN" w:bidi="ar"/>
                </w:rPr>
                <w:delText>2</w:delText>
              </w:r>
            </w:del>
            <w:ins w:id="1346" w:author="LV" w:date="2026-07-14T16:16:41Z">
              <w:r>
                <w:rPr>
                  <w:rFonts w:hint="eastAsia" w:ascii="仿宋_GB2312" w:hAnsi="宋体" w:eastAsia="仿宋_GB2312" w:cs="仿宋_GB2312"/>
                  <w:kern w:val="0"/>
                  <w:sz w:val="18"/>
                  <w:szCs w:val="18"/>
                  <w:lang w:val="en-US" w:eastAsia="zh-CN" w:bidi="ar"/>
                </w:rPr>
                <w:t>4</w:t>
              </w:r>
            </w:ins>
          </w:p>
        </w:tc>
        <w:tc>
          <w:tcPr>
            <w:tcW w:w="1005" w:type="dxa"/>
            <w:vMerge w:val="restart"/>
            <w:tcBorders>
              <w:tl2br w:val="nil"/>
              <w:tr2bl w:val="nil"/>
            </w:tcBorders>
            <w:shd w:val="clear" w:color="auto" w:fill="auto"/>
            <w:tcMar>
              <w:top w:w="15" w:type="dxa"/>
              <w:left w:w="15" w:type="dxa"/>
              <w:right w:w="15" w:type="dxa"/>
            </w:tcMar>
            <w:vAlign w:val="center"/>
          </w:tcPr>
          <w:p w14:paraId="4C13D5F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冲击地压矿井未按照《山东省煤矿冲击地压防治办法》进行冲击地压治理的</w:t>
            </w:r>
          </w:p>
        </w:tc>
        <w:tc>
          <w:tcPr>
            <w:tcW w:w="3667" w:type="dxa"/>
            <w:vMerge w:val="restart"/>
            <w:tcBorders>
              <w:tl2br w:val="nil"/>
              <w:tr2bl w:val="nil"/>
            </w:tcBorders>
            <w:shd w:val="clear" w:color="auto" w:fill="auto"/>
            <w:tcMar>
              <w:top w:w="15" w:type="dxa"/>
              <w:left w:w="15" w:type="dxa"/>
              <w:right w:w="15" w:type="dxa"/>
            </w:tcMar>
            <w:vAlign w:val="center"/>
          </w:tcPr>
          <w:p w14:paraId="23CC1F36">
            <w:pPr>
              <w:keepNext w:val="0"/>
              <w:keepLines w:val="0"/>
              <w:pageBreakBefore w:val="0"/>
              <w:widowControl w:val="0"/>
              <w:kinsoku/>
              <w:wordWrap/>
              <w:overflowPunct w:val="0"/>
              <w:topLinePunct w:val="0"/>
              <w:autoSpaceDE/>
              <w:autoSpaceDN/>
              <w:bidi w:val="0"/>
              <w:adjustRightInd/>
              <w:snapToGrid/>
              <w:spacing w:line="240" w:lineRule="exact"/>
              <w:textAlignment w:val="center"/>
              <w:rPr>
                <w:ins w:id="1347" w:author="LV" w:date="2026-07-14T16:16:22Z"/>
                <w:rFonts w:hint="eastAsia" w:ascii="仿宋_GB2312" w:hAnsi="宋体" w:eastAsia="仿宋_GB2312" w:cs="仿宋_GB2312"/>
                <w:kern w:val="0"/>
                <w:sz w:val="18"/>
                <w:szCs w:val="18"/>
                <w:lang w:bidi="ar"/>
              </w:rPr>
            </w:pPr>
          </w:p>
          <w:p w14:paraId="233628FD">
            <w:pPr>
              <w:keepNext w:val="0"/>
              <w:keepLines w:val="0"/>
              <w:pageBreakBefore w:val="0"/>
              <w:widowControl w:val="0"/>
              <w:kinsoku/>
              <w:wordWrap/>
              <w:overflowPunct w:val="0"/>
              <w:topLinePunct w:val="0"/>
              <w:autoSpaceDE/>
              <w:autoSpaceDN/>
              <w:bidi w:val="0"/>
              <w:adjustRightInd/>
              <w:snapToGrid/>
              <w:spacing w:line="240" w:lineRule="exact"/>
              <w:textAlignment w:val="center"/>
              <w:rPr>
                <w:ins w:id="1348" w:author="LV" w:date="2026-07-14T16:16:23Z"/>
                <w:rFonts w:hint="eastAsia" w:ascii="仿宋_GB2312" w:hAnsi="宋体" w:eastAsia="仿宋_GB2312" w:cs="仿宋_GB2312"/>
                <w:kern w:val="0"/>
                <w:sz w:val="18"/>
                <w:szCs w:val="18"/>
                <w:lang w:bidi="ar"/>
              </w:rPr>
            </w:pPr>
          </w:p>
          <w:p w14:paraId="29DF7B4F">
            <w:pPr>
              <w:keepNext w:val="0"/>
              <w:keepLines w:val="0"/>
              <w:pageBreakBefore w:val="0"/>
              <w:widowControl w:val="0"/>
              <w:kinsoku/>
              <w:wordWrap/>
              <w:overflowPunct w:val="0"/>
              <w:topLinePunct w:val="0"/>
              <w:autoSpaceDE/>
              <w:autoSpaceDN/>
              <w:bidi w:val="0"/>
              <w:adjustRightInd/>
              <w:snapToGrid/>
              <w:spacing w:line="240" w:lineRule="exact"/>
              <w:textAlignment w:val="center"/>
              <w:rPr>
                <w:ins w:id="1349" w:author="LV" w:date="2026-07-14T16:16:23Z"/>
                <w:rFonts w:hint="eastAsia" w:ascii="仿宋_GB2312" w:hAnsi="宋体" w:eastAsia="仿宋_GB2312" w:cs="仿宋_GB2312"/>
                <w:kern w:val="0"/>
                <w:sz w:val="18"/>
                <w:szCs w:val="18"/>
                <w:lang w:bidi="ar"/>
              </w:rPr>
            </w:pPr>
          </w:p>
          <w:p w14:paraId="400F78CB">
            <w:pPr>
              <w:keepNext w:val="0"/>
              <w:keepLines w:val="0"/>
              <w:pageBreakBefore w:val="0"/>
              <w:widowControl w:val="0"/>
              <w:kinsoku/>
              <w:wordWrap/>
              <w:overflowPunct w:val="0"/>
              <w:topLinePunct w:val="0"/>
              <w:autoSpaceDE/>
              <w:autoSpaceDN/>
              <w:bidi w:val="0"/>
              <w:adjustRightInd/>
              <w:snapToGrid/>
              <w:spacing w:line="240" w:lineRule="exact"/>
              <w:textAlignment w:val="center"/>
              <w:rPr>
                <w:ins w:id="1350" w:author="LV" w:date="2026-07-14T16:16:23Z"/>
                <w:rFonts w:hint="eastAsia" w:ascii="仿宋_GB2312" w:hAnsi="宋体" w:eastAsia="仿宋_GB2312" w:cs="仿宋_GB2312"/>
                <w:kern w:val="0"/>
                <w:sz w:val="18"/>
                <w:szCs w:val="18"/>
                <w:lang w:bidi="ar"/>
              </w:rPr>
            </w:pPr>
          </w:p>
          <w:p w14:paraId="3612A78D">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《山东省煤矿冲击地压防治办法》</w:t>
            </w:r>
          </w:p>
          <w:p w14:paraId="7CFF854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第二十五条</w:t>
            </w:r>
            <w:r>
              <w:rPr>
                <w:rFonts w:hint="eastAsia" w:ascii="仿宋_GB2312" w:hAnsi="宋体" w:eastAsia="仿宋_GB2312" w:cs="仿宋_GB2312"/>
                <w:kern w:val="0"/>
                <w:sz w:val="18"/>
                <w:szCs w:val="18"/>
                <w:lang w:val="en-US" w:eastAsia="zh-CN" w:bidi="ar"/>
              </w:rPr>
              <w:t xml:space="preserve"> </w:t>
            </w:r>
            <w:r>
              <w:rPr>
                <w:rFonts w:hint="eastAsia" w:ascii="仿宋_GB2312" w:hAnsi="宋体" w:eastAsia="仿宋_GB2312" w:cs="仿宋_GB2312"/>
                <w:kern w:val="0"/>
                <w:sz w:val="18"/>
                <w:szCs w:val="18"/>
                <w:lang w:bidi="ar"/>
              </w:rPr>
              <w:t>具有冲击地压危险的采掘工作面有下列情形之一的，矿井应当编制冲击地压防治专项安全技术措施：（一）采掘工作面临近大型地质构造、采空区、煤柱等应力集中区的；（二）在采掘工作面进行卸压爆破作业的；（三）巷道贯通或者错层交叉施工的；（四）煤与瓦斯突出或者瓦斯涌出异常的；（五）进行解危施工或者巷道扩修作业的；（六）巷道、硐室留有底煤的。</w:t>
            </w:r>
          </w:p>
          <w:p w14:paraId="055CB4E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第三十五条 取卸压措施的，应当按照冲击地压危险性预警指标进行效果检验，检验方法不得少于两种，其检验范围和频度由煤矿总工程师批准；具有中等以上冲击地压危险的，其检验方法应当包括应力在线监测法。</w:t>
            </w:r>
          </w:p>
          <w:p w14:paraId="5F1A8DFB">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1351" w:author="LV" w:date="2026-07-14T16:16:30Z"/>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第三十九条　巷道贯通和错层交叉位置应当选择在低应力区；具有冲击地压危险的巷道临近贯通或者错层交叉50米前，应当采取加强巷道支护、预防性卸压和防冲监测等措施。</w:t>
            </w:r>
          </w:p>
          <w:p w14:paraId="0D157F36">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1352" w:author="LV" w:date="2026-07-14T16:16:31Z"/>
                <w:rFonts w:hint="eastAsia" w:ascii="仿宋_GB2312" w:hAnsi="宋体" w:eastAsia="仿宋_GB2312" w:cs="仿宋_GB2312"/>
                <w:kern w:val="0"/>
                <w:sz w:val="18"/>
                <w:szCs w:val="18"/>
                <w:lang w:bidi="ar"/>
              </w:rPr>
            </w:pPr>
          </w:p>
          <w:p w14:paraId="3B1C20AA">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1353" w:author="LV" w:date="2026-07-14T16:16:31Z"/>
                <w:rFonts w:hint="eastAsia" w:ascii="仿宋_GB2312" w:hAnsi="宋体" w:eastAsia="仿宋_GB2312" w:cs="仿宋_GB2312"/>
                <w:kern w:val="0"/>
                <w:sz w:val="18"/>
                <w:szCs w:val="18"/>
                <w:lang w:bidi="ar"/>
              </w:rPr>
            </w:pPr>
          </w:p>
          <w:p w14:paraId="3D0954E0">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1354" w:author="LV" w:date="2026-07-14T16:16:33Z"/>
                <w:rFonts w:hint="eastAsia" w:ascii="仿宋_GB2312" w:hAnsi="宋体" w:eastAsia="仿宋_GB2312" w:cs="仿宋_GB2312"/>
                <w:kern w:val="0"/>
                <w:sz w:val="18"/>
                <w:szCs w:val="18"/>
                <w:lang w:bidi="ar"/>
              </w:rPr>
            </w:pPr>
          </w:p>
          <w:p w14:paraId="6BCD45E1">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1355" w:author="LV" w:date="2026-07-14T16:16:34Z"/>
                <w:rFonts w:hint="eastAsia" w:ascii="仿宋_GB2312" w:hAnsi="宋体" w:eastAsia="仿宋_GB2312" w:cs="仿宋_GB2312"/>
                <w:kern w:val="0"/>
                <w:sz w:val="18"/>
                <w:szCs w:val="18"/>
                <w:lang w:bidi="ar"/>
              </w:rPr>
            </w:pPr>
          </w:p>
          <w:p w14:paraId="33C77C09">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1356" w:author="LV" w:date="2026-07-14T16:16:34Z"/>
                <w:rFonts w:hint="eastAsia" w:ascii="仿宋_GB2312" w:hAnsi="宋体" w:eastAsia="仿宋_GB2312" w:cs="仿宋_GB2312"/>
                <w:kern w:val="0"/>
                <w:sz w:val="18"/>
                <w:szCs w:val="18"/>
                <w:lang w:bidi="ar"/>
              </w:rPr>
            </w:pPr>
          </w:p>
          <w:p w14:paraId="162109E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tc>
        <w:tc>
          <w:tcPr>
            <w:tcW w:w="4082" w:type="dxa"/>
            <w:vMerge w:val="restart"/>
            <w:tcBorders>
              <w:tl2br w:val="nil"/>
              <w:tr2bl w:val="nil"/>
            </w:tcBorders>
            <w:shd w:val="clear" w:color="auto" w:fill="auto"/>
            <w:tcMar>
              <w:top w:w="15" w:type="dxa"/>
              <w:left w:w="15" w:type="dxa"/>
              <w:right w:w="15" w:type="dxa"/>
            </w:tcMar>
            <w:vAlign w:val="center"/>
          </w:tcPr>
          <w:p w14:paraId="5BE74D77">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《山东省煤矿冲击地压防治办法》第五十二条 违反本办法规定，冲击地压矿井有下列行为之一的，由煤矿安全生产监督管理部门或者煤矿安全监察机构责令限期改正，处以1万元以上5万元以下的罚款：（一）具有冲击地压危险的采掘工作面未编制冲击地压防治专项安全技术措施的；（二）采取卸压措施，未按照规定进行效果检验的；（三）巷道临近贯通或者错层交叉50米前，未按照规定采取措施的。</w:t>
            </w:r>
          </w:p>
        </w:tc>
        <w:tc>
          <w:tcPr>
            <w:tcW w:w="459" w:type="dxa"/>
            <w:tcBorders>
              <w:tl2br w:val="nil"/>
              <w:tr2bl w:val="nil"/>
            </w:tcBorders>
            <w:shd w:val="clear" w:color="auto" w:fill="auto"/>
            <w:noWrap/>
            <w:tcMar>
              <w:top w:w="15" w:type="dxa"/>
              <w:left w:w="15" w:type="dxa"/>
              <w:right w:w="15" w:type="dxa"/>
            </w:tcMar>
            <w:vAlign w:val="center"/>
          </w:tcPr>
          <w:p w14:paraId="74B1DF2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423EC8C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B61C08F">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1ED4D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2"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852603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AC9B78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25D420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A3BC9C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A56DE9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408B10F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25CBCE3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A9644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2"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C50AD3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579005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68AB62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CC9CD8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4D1BF5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0F5E6AD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2C53BF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A9866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9"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6ABD91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F36AF2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76BAA8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3EA3B5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B4D667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58353F5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1处（次）未按照规定进行冲击地压治理的。</w:t>
            </w:r>
          </w:p>
        </w:tc>
        <w:tc>
          <w:tcPr>
            <w:tcW w:w="2655" w:type="dxa"/>
            <w:tcBorders>
              <w:tl2br w:val="nil"/>
              <w:tr2bl w:val="nil"/>
            </w:tcBorders>
            <w:shd w:val="clear" w:color="auto" w:fill="auto"/>
            <w:tcMar>
              <w:top w:w="15" w:type="dxa"/>
              <w:left w:w="15" w:type="dxa"/>
              <w:right w:w="15" w:type="dxa"/>
            </w:tcMar>
            <w:vAlign w:val="center"/>
          </w:tcPr>
          <w:p w14:paraId="01BD62A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处以1万元以上2万元以下的罚款。</w:t>
            </w:r>
          </w:p>
        </w:tc>
      </w:tr>
      <w:tr w14:paraId="31B55D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8"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468BA9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B0B39B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001E9C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567AC5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33AD12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1F9BD97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2处（次）未按照规定进行冲击地压治理的。</w:t>
            </w:r>
          </w:p>
        </w:tc>
        <w:tc>
          <w:tcPr>
            <w:tcW w:w="2655" w:type="dxa"/>
            <w:tcBorders>
              <w:tl2br w:val="nil"/>
              <w:tr2bl w:val="nil"/>
            </w:tcBorders>
            <w:shd w:val="clear" w:color="auto" w:fill="auto"/>
            <w:tcMar>
              <w:top w:w="15" w:type="dxa"/>
              <w:left w:w="15" w:type="dxa"/>
              <w:right w:w="15" w:type="dxa"/>
            </w:tcMar>
            <w:vAlign w:val="center"/>
          </w:tcPr>
          <w:p w14:paraId="1BBCA37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处以2万元以上4万元以下的罚款。</w:t>
            </w:r>
          </w:p>
        </w:tc>
      </w:tr>
      <w:tr w14:paraId="59EE58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3"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11272F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8FA91B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5D58BE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227417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8E5A06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6FEAE69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3处（次）未按照规定进行冲击地压治理的。</w:t>
            </w:r>
          </w:p>
        </w:tc>
        <w:tc>
          <w:tcPr>
            <w:tcW w:w="2655" w:type="dxa"/>
            <w:tcBorders>
              <w:tl2br w:val="nil"/>
              <w:tr2bl w:val="nil"/>
            </w:tcBorders>
            <w:shd w:val="clear" w:color="auto" w:fill="auto"/>
            <w:tcMar>
              <w:top w:w="15" w:type="dxa"/>
              <w:left w:w="15" w:type="dxa"/>
              <w:right w:w="15" w:type="dxa"/>
            </w:tcMar>
            <w:vAlign w:val="center"/>
          </w:tcPr>
          <w:p w14:paraId="123ABD5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处以4万元以上5万元以下的罚款。</w:t>
            </w:r>
          </w:p>
        </w:tc>
      </w:tr>
      <w:tr w14:paraId="3DDD46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2"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1BE164E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val="en-US" w:eastAsia="zh-CN" w:bidi="ar"/>
              </w:rPr>
              <w:t>2</w:t>
            </w:r>
            <w:del w:id="1357" w:author="LV" w:date="2026-07-14T16:16:44Z">
              <w:r>
                <w:rPr>
                  <w:rFonts w:hint="default" w:ascii="仿宋_GB2312" w:hAnsi="宋体" w:eastAsia="仿宋_GB2312" w:cs="仿宋_GB2312"/>
                  <w:kern w:val="0"/>
                  <w:sz w:val="18"/>
                  <w:szCs w:val="18"/>
                  <w:lang w:val="en-US" w:eastAsia="zh-CN" w:bidi="ar"/>
                </w:rPr>
                <w:delText>3</w:delText>
              </w:r>
            </w:del>
            <w:ins w:id="1358" w:author="LV" w:date="2026-07-14T16:16:44Z">
              <w:r>
                <w:rPr>
                  <w:rFonts w:hint="eastAsia" w:ascii="仿宋_GB2312" w:hAnsi="宋体" w:eastAsia="仿宋_GB2312" w:cs="仿宋_GB2312"/>
                  <w:kern w:val="0"/>
                  <w:sz w:val="18"/>
                  <w:szCs w:val="18"/>
                  <w:lang w:val="en-US" w:eastAsia="zh-CN" w:bidi="ar"/>
                </w:rPr>
                <w:t>5</w:t>
              </w:r>
            </w:ins>
          </w:p>
        </w:tc>
        <w:tc>
          <w:tcPr>
            <w:tcW w:w="1005" w:type="dxa"/>
            <w:vMerge w:val="restart"/>
            <w:tcBorders>
              <w:tl2br w:val="nil"/>
              <w:tr2bl w:val="nil"/>
            </w:tcBorders>
            <w:shd w:val="clear" w:color="auto" w:fill="auto"/>
            <w:tcMar>
              <w:top w:w="15" w:type="dxa"/>
              <w:left w:w="15" w:type="dxa"/>
              <w:right w:w="15" w:type="dxa"/>
            </w:tcMar>
            <w:vAlign w:val="center"/>
          </w:tcPr>
          <w:p w14:paraId="462258F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煤矿未建立安全风险分级管控制度的</w:t>
            </w:r>
          </w:p>
        </w:tc>
        <w:tc>
          <w:tcPr>
            <w:tcW w:w="3667" w:type="dxa"/>
            <w:vMerge w:val="restart"/>
            <w:tcBorders>
              <w:tl2br w:val="nil"/>
              <w:tr2bl w:val="nil"/>
            </w:tcBorders>
            <w:shd w:val="clear" w:color="auto" w:fill="auto"/>
            <w:tcMar>
              <w:top w:w="15" w:type="dxa"/>
              <w:left w:w="15" w:type="dxa"/>
              <w:right w:w="15" w:type="dxa"/>
            </w:tcMar>
            <w:vAlign w:val="center"/>
          </w:tcPr>
          <w:p w14:paraId="2F8592B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《安全生产法》第四十一条第一款 生产经营单位应当建立安全风险分级管控制度，按照安全风险分级采取相应的管控措施。</w:t>
            </w:r>
          </w:p>
          <w:p w14:paraId="3F64C6A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《煤矿安全生产条例》第三十五条第一款  煤矿企业应当建立安全风险分级管控制度，开展安全风险辨识评估，按照安全风险分级采取相应的管控措施。</w:t>
            </w:r>
          </w:p>
          <w:p w14:paraId="10556F7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eastAsia="zh-CN" w:bidi="ar"/>
              </w:rPr>
            </w:pPr>
            <w:r>
              <w:rPr>
                <w:rFonts w:hint="eastAsia" w:ascii="仿宋_GB2312" w:hAnsi="宋体" w:eastAsia="仿宋_GB2312" w:cs="仿宋_GB2312"/>
                <w:i w:val="0"/>
                <w:caps w:val="0"/>
                <w:color w:val="auto"/>
                <w:spacing w:val="0"/>
                <w:kern w:val="0"/>
                <w:sz w:val="18"/>
                <w:szCs w:val="18"/>
                <w:u w:val="none"/>
                <w:shd w:val="clear" w:color="auto" w:fill="auto"/>
                <w:lang w:bidi="ar"/>
              </w:rPr>
              <w:t>《山东省安全生产风险管控办法》</w:t>
            </w:r>
            <w:r>
              <w:rPr>
                <w:rFonts w:hint="eastAsia" w:ascii="仿宋_GB2312" w:hAnsi="宋体" w:eastAsia="仿宋_GB2312" w:cs="仿宋_GB2312"/>
                <w:i w:val="0"/>
                <w:caps w:val="0"/>
                <w:spacing w:val="0"/>
                <w:kern w:val="0"/>
                <w:sz w:val="18"/>
                <w:szCs w:val="18"/>
                <w:u w:val="none"/>
                <w:shd w:val="clear"/>
                <w:lang w:eastAsia="zh-CN" w:bidi="ar"/>
              </w:rPr>
              <w:t>（</w:t>
            </w:r>
            <w:r>
              <w:rPr>
                <w:rFonts w:hint="eastAsia" w:ascii="仿宋_GB2312" w:hAnsi="宋体" w:eastAsia="仿宋_GB2312" w:cs="仿宋_GB2312"/>
                <w:i w:val="0"/>
                <w:caps w:val="0"/>
                <w:spacing w:val="0"/>
                <w:kern w:val="0"/>
                <w:sz w:val="18"/>
                <w:szCs w:val="18"/>
                <w:u w:val="none"/>
                <w:shd w:val="clear"/>
                <w:lang w:val="en-US" w:eastAsia="zh-CN" w:bidi="ar"/>
              </w:rPr>
              <w:t>省政府令331号</w:t>
            </w:r>
            <w:r>
              <w:rPr>
                <w:rFonts w:hint="eastAsia" w:ascii="仿宋_GB2312" w:hAnsi="宋体" w:eastAsia="仿宋_GB2312" w:cs="仿宋_GB2312"/>
                <w:i w:val="0"/>
                <w:caps w:val="0"/>
                <w:spacing w:val="0"/>
                <w:kern w:val="0"/>
                <w:sz w:val="18"/>
                <w:szCs w:val="18"/>
                <w:u w:val="none"/>
                <w:shd w:val="clear"/>
                <w:lang w:eastAsia="zh-CN" w:bidi="ar"/>
              </w:rPr>
              <w:t>）</w:t>
            </w:r>
            <w:r>
              <w:rPr>
                <w:rFonts w:hint="eastAsia" w:ascii="仿宋_GB2312" w:hAnsi="宋体" w:eastAsia="仿宋_GB2312" w:cs="仿宋_GB2312"/>
                <w:kern w:val="0"/>
                <w:sz w:val="18"/>
                <w:szCs w:val="18"/>
                <w:lang w:bidi="ar"/>
              </w:rPr>
              <w:t>第八条　生产经营单位应当将风险管控纳入全员安全生产责任制，建立健全安全生产风险分级管控制度，明确风险点排查、风险评价、风险等级和确定风险管控措施的程序、方法和标准等内容。</w:t>
            </w:r>
          </w:p>
        </w:tc>
        <w:tc>
          <w:tcPr>
            <w:tcW w:w="4082" w:type="dxa"/>
            <w:vMerge w:val="restart"/>
            <w:tcBorders>
              <w:tl2br w:val="nil"/>
              <w:tr2bl w:val="nil"/>
            </w:tcBorders>
            <w:shd w:val="clear" w:color="auto" w:fill="auto"/>
            <w:tcMar>
              <w:top w:w="15" w:type="dxa"/>
              <w:left w:w="15" w:type="dxa"/>
              <w:right w:w="15" w:type="dxa"/>
            </w:tcMar>
            <w:vAlign w:val="center"/>
          </w:tcPr>
          <w:p w14:paraId="1E4956E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《安全生产法》第一百零一条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四）未建立安全风险分级管控制度或者未按照安全风险分级采取相应管控措施的。</w:t>
            </w:r>
          </w:p>
          <w:p w14:paraId="4FB807C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i w:val="0"/>
                <w:caps w:val="0"/>
                <w:spacing w:val="0"/>
                <w:kern w:val="0"/>
                <w:sz w:val="18"/>
                <w:szCs w:val="18"/>
                <w:u w:val="none"/>
                <w:shd w:val="clear"/>
                <w:lang w:bidi="ar"/>
              </w:rPr>
            </w:pPr>
            <w:r>
              <w:rPr>
                <w:rFonts w:hint="eastAsia" w:ascii="仿宋_GB2312" w:hAnsi="宋体" w:eastAsia="仿宋_GB2312" w:cs="仿宋_GB2312"/>
                <w:kern w:val="0"/>
                <w:sz w:val="18"/>
                <w:szCs w:val="18"/>
                <w:lang w:bidi="ar"/>
              </w:rPr>
              <w:t>《煤矿安全生产条例》第</w:t>
            </w:r>
            <w:r>
              <w:rPr>
                <w:rFonts w:hint="eastAsia" w:ascii="仿宋_GB2312" w:hAnsi="宋体" w:eastAsia="仿宋_GB2312" w:cs="仿宋_GB2312"/>
                <w:kern w:val="0"/>
                <w:sz w:val="18"/>
                <w:szCs w:val="18"/>
                <w:lang w:val="en-US" w:eastAsia="zh-CN" w:bidi="ar"/>
              </w:rPr>
              <w:t>六十二条第六项</w:t>
            </w:r>
            <w:r>
              <w:rPr>
                <w:rFonts w:hint="eastAsia" w:ascii="仿宋_GB2312" w:hAnsi="宋体" w:eastAsia="仿宋_GB2312" w:cs="仿宋_GB2312"/>
                <w:kern w:val="0"/>
                <w:sz w:val="18"/>
                <w:szCs w:val="18"/>
                <w:lang w:bidi="ar"/>
              </w:rPr>
              <w:t>煤矿企业有下列行为之一的，依照《中华人民共和国安全生产法》有关规定予以处罚：（六）未按照规定建立并落实安全风险分级管控制度和事故隐患排查治理制度的，或者重大事故隐患排查治理情况未按照规定报告的；</w:t>
            </w:r>
          </w:p>
          <w:p w14:paraId="79B4075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i w:val="0"/>
                <w:caps w:val="0"/>
                <w:spacing w:val="0"/>
                <w:kern w:val="0"/>
                <w:sz w:val="18"/>
                <w:szCs w:val="18"/>
                <w:u w:val="none"/>
                <w:shd w:val="clear"/>
                <w:lang w:bidi="ar"/>
              </w:rPr>
              <w:t>《山东省安全生产风险管控办法》</w:t>
            </w:r>
            <w:r>
              <w:rPr>
                <w:rFonts w:hint="eastAsia" w:ascii="仿宋_GB2312" w:hAnsi="宋体" w:eastAsia="仿宋_GB2312" w:cs="仿宋_GB2312"/>
                <w:i w:val="0"/>
                <w:caps w:val="0"/>
                <w:spacing w:val="0"/>
                <w:kern w:val="0"/>
                <w:sz w:val="18"/>
                <w:szCs w:val="18"/>
                <w:u w:val="none"/>
                <w:shd w:val="clear"/>
                <w:lang w:eastAsia="zh-CN" w:bidi="ar"/>
              </w:rPr>
              <w:t>（</w:t>
            </w:r>
            <w:r>
              <w:rPr>
                <w:rFonts w:hint="eastAsia" w:ascii="仿宋_GB2312" w:hAnsi="宋体" w:eastAsia="仿宋_GB2312" w:cs="仿宋_GB2312"/>
                <w:i w:val="0"/>
                <w:caps w:val="0"/>
                <w:spacing w:val="0"/>
                <w:kern w:val="0"/>
                <w:sz w:val="18"/>
                <w:szCs w:val="18"/>
                <w:u w:val="none"/>
                <w:shd w:val="clear"/>
                <w:lang w:val="en-US" w:eastAsia="zh-CN" w:bidi="ar"/>
              </w:rPr>
              <w:t>省政府令331号</w:t>
            </w:r>
            <w:r>
              <w:rPr>
                <w:rFonts w:hint="eastAsia" w:ascii="仿宋_GB2312" w:hAnsi="宋体" w:eastAsia="仿宋_GB2312" w:cs="仿宋_GB2312"/>
                <w:i w:val="0"/>
                <w:caps w:val="0"/>
                <w:spacing w:val="0"/>
                <w:kern w:val="0"/>
                <w:sz w:val="18"/>
                <w:szCs w:val="18"/>
                <w:u w:val="none"/>
                <w:shd w:val="clear"/>
                <w:lang w:eastAsia="zh-CN" w:bidi="ar"/>
              </w:rPr>
              <w:t>）</w:t>
            </w:r>
            <w:r>
              <w:rPr>
                <w:rFonts w:hint="eastAsia" w:ascii="仿宋_GB2312" w:hAnsi="宋体" w:eastAsia="仿宋_GB2312" w:cs="仿宋_GB2312"/>
                <w:kern w:val="0"/>
                <w:sz w:val="18"/>
                <w:szCs w:val="18"/>
                <w:lang w:bidi="ar"/>
              </w:rPr>
              <w:t>第二十六条　违反本办法规定，生产经营单位有下列情形之一的，由负有安全生产监督管理职责的部门责令限期改正，可以处1万元以上5万元以下的罚款；逾期未改正的，责令停产停业整顿，并处5万元以上10万元以下的罚款，对其主要负责人、直接负责的主管人员和其他直接责任人员处1万元以上2万元以下的罚款:</w:t>
            </w:r>
          </w:p>
          <w:p w14:paraId="7AC2B8F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（一）未建立健全安全生产风险分级管控制度的；</w:t>
            </w:r>
          </w:p>
        </w:tc>
        <w:tc>
          <w:tcPr>
            <w:tcW w:w="459" w:type="dxa"/>
            <w:tcBorders>
              <w:tl2br w:val="nil"/>
              <w:tr2bl w:val="nil"/>
            </w:tcBorders>
            <w:shd w:val="clear" w:color="auto" w:fill="auto"/>
            <w:noWrap/>
            <w:tcMar>
              <w:top w:w="15" w:type="dxa"/>
              <w:left w:w="15" w:type="dxa"/>
              <w:right w:w="15" w:type="dxa"/>
            </w:tcMar>
            <w:vAlign w:val="center"/>
          </w:tcPr>
          <w:p w14:paraId="753462D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6C621F4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12115CEE">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6DF41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2"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A58ABB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FCD8C2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5AB32E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EEC63A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0D5CA6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2B816AF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290F795D">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9E06C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2"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EC654C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2DD48E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F590B0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E299EF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BB6F41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57D9EDD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7D5EF23">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8A71F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2"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957056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B5729B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DBBF95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DCD091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51EDF5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58C06C5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安全风险管控制度内容有风险辨识、风险评估，但无风险管控的。</w:t>
            </w:r>
          </w:p>
        </w:tc>
        <w:tc>
          <w:tcPr>
            <w:tcW w:w="2655" w:type="dxa"/>
            <w:tcBorders>
              <w:tl2br w:val="nil"/>
              <w:tr2bl w:val="nil"/>
            </w:tcBorders>
            <w:shd w:val="clear" w:color="auto" w:fill="auto"/>
            <w:tcMar>
              <w:top w:w="15" w:type="dxa"/>
              <w:left w:w="15" w:type="dxa"/>
              <w:right w:w="15" w:type="dxa"/>
            </w:tcMar>
            <w:vAlign w:val="center"/>
          </w:tcPr>
          <w:p w14:paraId="46382D5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处3万元以下的罚款。</w:t>
            </w:r>
          </w:p>
        </w:tc>
      </w:tr>
      <w:tr w14:paraId="14673A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2"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FED8A9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9F549D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F18218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4BF98B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6010E9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679A5A5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安全风险管控制度内容有风险辨识，但无风险评估、风险管控的。</w:t>
            </w:r>
          </w:p>
        </w:tc>
        <w:tc>
          <w:tcPr>
            <w:tcW w:w="2655" w:type="dxa"/>
            <w:tcBorders>
              <w:tl2br w:val="nil"/>
              <w:tr2bl w:val="nil"/>
            </w:tcBorders>
            <w:shd w:val="clear" w:color="auto" w:fill="auto"/>
            <w:tcMar>
              <w:top w:w="15" w:type="dxa"/>
              <w:left w:w="15" w:type="dxa"/>
              <w:right w:w="15" w:type="dxa"/>
            </w:tcMar>
            <w:vAlign w:val="center"/>
          </w:tcPr>
          <w:p w14:paraId="6C2E8C5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处3万元以上7万元以下的罚款。</w:t>
            </w:r>
          </w:p>
        </w:tc>
      </w:tr>
      <w:tr w14:paraId="690866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4A654D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EEFF58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96E6F6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0840CD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79E4C9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35D41B6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未建立安全风险管控制度的。</w:t>
            </w:r>
          </w:p>
        </w:tc>
        <w:tc>
          <w:tcPr>
            <w:tcW w:w="2655" w:type="dxa"/>
            <w:tcBorders>
              <w:tl2br w:val="nil"/>
              <w:tr2bl w:val="nil"/>
            </w:tcBorders>
            <w:shd w:val="clear" w:color="auto" w:fill="auto"/>
            <w:tcMar>
              <w:top w:w="15" w:type="dxa"/>
              <w:left w:w="15" w:type="dxa"/>
              <w:right w:w="15" w:type="dxa"/>
            </w:tcMar>
            <w:vAlign w:val="center"/>
          </w:tcPr>
          <w:p w14:paraId="47F60A6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处7万元以上10万元以下的罚款。</w:t>
            </w:r>
          </w:p>
        </w:tc>
      </w:tr>
      <w:tr w14:paraId="1D1FC8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79FBA08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val="en-US" w:eastAsia="zh-CN" w:bidi="ar"/>
              </w:rPr>
              <w:t>2</w:t>
            </w:r>
            <w:del w:id="1359" w:author="LV" w:date="2026-07-14T16:16:51Z">
              <w:r>
                <w:rPr>
                  <w:rFonts w:hint="default" w:ascii="仿宋_GB2312" w:hAnsi="宋体" w:eastAsia="仿宋_GB2312" w:cs="仿宋_GB2312"/>
                  <w:kern w:val="0"/>
                  <w:sz w:val="18"/>
                  <w:szCs w:val="18"/>
                  <w:lang w:val="en-US" w:eastAsia="zh-CN" w:bidi="ar"/>
                </w:rPr>
                <w:delText>4</w:delText>
              </w:r>
            </w:del>
            <w:ins w:id="1360" w:author="LV" w:date="2026-07-14T16:16:51Z">
              <w:r>
                <w:rPr>
                  <w:rFonts w:hint="eastAsia" w:ascii="仿宋_GB2312" w:hAnsi="宋体" w:eastAsia="仿宋_GB2312" w:cs="仿宋_GB2312"/>
                  <w:kern w:val="0"/>
                  <w:sz w:val="18"/>
                  <w:szCs w:val="18"/>
                  <w:lang w:val="en-US" w:eastAsia="zh-CN" w:bidi="ar"/>
                </w:rPr>
                <w:t>6</w:t>
              </w:r>
            </w:ins>
          </w:p>
        </w:tc>
        <w:tc>
          <w:tcPr>
            <w:tcW w:w="1005" w:type="dxa"/>
            <w:vMerge w:val="restart"/>
            <w:tcBorders>
              <w:tl2br w:val="nil"/>
              <w:tr2bl w:val="nil"/>
            </w:tcBorders>
            <w:shd w:val="clear" w:color="auto" w:fill="auto"/>
            <w:tcMar>
              <w:top w:w="15" w:type="dxa"/>
              <w:left w:w="15" w:type="dxa"/>
              <w:right w:w="15" w:type="dxa"/>
            </w:tcMar>
            <w:vAlign w:val="center"/>
          </w:tcPr>
          <w:p w14:paraId="57AFFC8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煤矿未建立安全风险分级管控制度，逾期未改正的</w:t>
            </w:r>
          </w:p>
        </w:tc>
        <w:tc>
          <w:tcPr>
            <w:tcW w:w="3667" w:type="dxa"/>
            <w:vMerge w:val="restart"/>
            <w:tcBorders>
              <w:tl2br w:val="nil"/>
              <w:tr2bl w:val="nil"/>
            </w:tcBorders>
            <w:shd w:val="clear" w:color="auto" w:fill="auto"/>
            <w:tcMar>
              <w:top w:w="15" w:type="dxa"/>
              <w:left w:w="15" w:type="dxa"/>
              <w:right w:w="15" w:type="dxa"/>
            </w:tcMar>
            <w:vAlign w:val="center"/>
          </w:tcPr>
          <w:p w14:paraId="0FAA1E0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《安全生产法》第四十一条第一款 生产经营单位应当建立安全风险分级管控制度，按照安全风险分级采取相应的管控措施。</w:t>
            </w:r>
          </w:p>
          <w:p w14:paraId="2BC6C03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《煤矿安全生产条例》第三十五条第一款  煤矿企业应当建立安全风险分级管控制度，开展安全风险辨识评估，按照安全风险分级采取相应的管控措施。</w:t>
            </w:r>
          </w:p>
          <w:p w14:paraId="7B9BCD1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i w:val="0"/>
                <w:caps w:val="0"/>
                <w:spacing w:val="0"/>
                <w:kern w:val="0"/>
                <w:sz w:val="18"/>
                <w:szCs w:val="18"/>
                <w:u w:val="none"/>
                <w:shd w:val="clear"/>
                <w:lang w:bidi="ar"/>
              </w:rPr>
              <w:t>《山东省安全生产风险管控办法》</w:t>
            </w:r>
            <w:r>
              <w:rPr>
                <w:rFonts w:hint="eastAsia" w:ascii="仿宋_GB2312" w:hAnsi="宋体" w:eastAsia="仿宋_GB2312" w:cs="仿宋_GB2312"/>
                <w:i w:val="0"/>
                <w:caps w:val="0"/>
                <w:spacing w:val="0"/>
                <w:kern w:val="0"/>
                <w:sz w:val="18"/>
                <w:szCs w:val="18"/>
                <w:u w:val="none"/>
                <w:shd w:val="clear"/>
                <w:lang w:eastAsia="zh-CN" w:bidi="ar"/>
              </w:rPr>
              <w:t>（</w:t>
            </w:r>
            <w:r>
              <w:rPr>
                <w:rFonts w:hint="eastAsia" w:ascii="仿宋_GB2312" w:hAnsi="宋体" w:eastAsia="仿宋_GB2312" w:cs="仿宋_GB2312"/>
                <w:i w:val="0"/>
                <w:caps w:val="0"/>
                <w:spacing w:val="0"/>
                <w:kern w:val="0"/>
                <w:sz w:val="18"/>
                <w:szCs w:val="18"/>
                <w:u w:val="none"/>
                <w:shd w:val="clear"/>
                <w:lang w:val="en-US" w:eastAsia="zh-CN" w:bidi="ar"/>
              </w:rPr>
              <w:t>省政府令331号</w:t>
            </w:r>
            <w:r>
              <w:rPr>
                <w:rFonts w:hint="eastAsia" w:ascii="仿宋_GB2312" w:hAnsi="宋体" w:eastAsia="仿宋_GB2312" w:cs="仿宋_GB2312"/>
                <w:i w:val="0"/>
                <w:caps w:val="0"/>
                <w:spacing w:val="0"/>
                <w:kern w:val="0"/>
                <w:sz w:val="18"/>
                <w:szCs w:val="18"/>
                <w:u w:val="none"/>
                <w:shd w:val="clear"/>
                <w:lang w:eastAsia="zh-CN" w:bidi="ar"/>
              </w:rPr>
              <w:t>）</w:t>
            </w:r>
            <w:r>
              <w:rPr>
                <w:rFonts w:hint="eastAsia" w:ascii="仿宋_GB2312" w:hAnsi="宋体" w:eastAsia="仿宋_GB2312" w:cs="仿宋_GB2312"/>
                <w:kern w:val="0"/>
                <w:sz w:val="18"/>
                <w:szCs w:val="18"/>
                <w:lang w:bidi="ar"/>
              </w:rPr>
              <w:t>第八条　生产经营单位应当将风险管控纳入全员安全生产责任制，建立健全安全生产风险分级管控制度，明确风险点排查、风险评价、风险等级和确定风险管控措施的程序、方法和标准等内容。</w:t>
            </w:r>
          </w:p>
        </w:tc>
        <w:tc>
          <w:tcPr>
            <w:tcW w:w="4082" w:type="dxa"/>
            <w:vMerge w:val="restart"/>
            <w:tcBorders>
              <w:tl2br w:val="nil"/>
              <w:tr2bl w:val="nil"/>
            </w:tcBorders>
            <w:shd w:val="clear" w:color="auto" w:fill="auto"/>
            <w:tcMar>
              <w:top w:w="15" w:type="dxa"/>
              <w:left w:w="15" w:type="dxa"/>
              <w:right w:w="15" w:type="dxa"/>
            </w:tcMar>
            <w:vAlign w:val="center"/>
          </w:tcPr>
          <w:p w14:paraId="2BE9F90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《安全生产法》第一百零一条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四）未建立安全风险分级管控制度或者未按照安全风险分级采取相应管控措施的。</w:t>
            </w:r>
          </w:p>
          <w:p w14:paraId="1A80BCF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default" w:ascii="仿宋_GB2312" w:hAnsi="宋体" w:eastAsia="仿宋_GB2312" w:cs="仿宋_GB2312"/>
                <w:i w:val="0"/>
                <w:caps w:val="0"/>
                <w:spacing w:val="0"/>
                <w:kern w:val="0"/>
                <w:sz w:val="18"/>
                <w:szCs w:val="18"/>
                <w:u w:val="none"/>
                <w:shd w:val="clear"/>
                <w:lang w:val="en-US" w:eastAsia="zh-CN" w:bidi="ar"/>
              </w:rPr>
            </w:pPr>
            <w:r>
              <w:rPr>
                <w:rFonts w:hint="eastAsia" w:ascii="仿宋_GB2312" w:hAnsi="宋体" w:eastAsia="仿宋_GB2312" w:cs="仿宋_GB2312"/>
                <w:kern w:val="0"/>
                <w:sz w:val="18"/>
                <w:szCs w:val="18"/>
                <w:lang w:bidi="ar"/>
              </w:rPr>
              <w:t>《煤矿安全生产条例》第</w:t>
            </w:r>
            <w:r>
              <w:rPr>
                <w:rFonts w:hint="eastAsia" w:ascii="仿宋_GB2312" w:hAnsi="宋体" w:eastAsia="仿宋_GB2312" w:cs="仿宋_GB2312"/>
                <w:kern w:val="0"/>
                <w:sz w:val="18"/>
                <w:szCs w:val="18"/>
                <w:lang w:val="en-US" w:eastAsia="zh-CN" w:bidi="ar"/>
              </w:rPr>
              <w:t>六十二条第六项</w:t>
            </w:r>
            <w:r>
              <w:rPr>
                <w:rFonts w:hint="eastAsia" w:ascii="仿宋_GB2312" w:hAnsi="宋体" w:eastAsia="仿宋_GB2312" w:cs="仿宋_GB2312"/>
                <w:kern w:val="0"/>
                <w:sz w:val="18"/>
                <w:szCs w:val="18"/>
                <w:lang w:bidi="ar"/>
              </w:rPr>
              <w:t>煤矿企业有下列行为之一的，依照《中华人民共和国安全生产法》有关规定予以处罚：（六）未按照规定建立并落实安全风险分级管控制度和事故隐患排查治理制度的，或者重大事故隐患排查治理情况未按照规定报告的；</w:t>
            </w:r>
            <w:r>
              <w:rPr>
                <w:rFonts w:hint="eastAsia" w:ascii="仿宋_GB2312" w:hAnsi="宋体" w:eastAsia="仿宋_GB2312" w:cs="仿宋_GB2312"/>
                <w:kern w:val="0"/>
                <w:sz w:val="18"/>
                <w:szCs w:val="18"/>
                <w:lang w:val="en-US" w:eastAsia="zh-CN" w:bidi="ar"/>
              </w:rPr>
              <w:t xml:space="preserve"> </w:t>
            </w:r>
          </w:p>
          <w:p w14:paraId="305F116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i w:val="0"/>
                <w:caps w:val="0"/>
                <w:spacing w:val="0"/>
                <w:kern w:val="0"/>
                <w:sz w:val="18"/>
                <w:szCs w:val="18"/>
                <w:u w:val="none"/>
                <w:shd w:val="clear"/>
                <w:lang w:bidi="ar"/>
              </w:rPr>
              <w:t>《山东省安全生产风险管控办法》</w:t>
            </w:r>
            <w:r>
              <w:rPr>
                <w:rFonts w:hint="eastAsia" w:ascii="仿宋_GB2312" w:hAnsi="宋体" w:eastAsia="仿宋_GB2312" w:cs="仿宋_GB2312"/>
                <w:i w:val="0"/>
                <w:caps w:val="0"/>
                <w:spacing w:val="0"/>
                <w:kern w:val="0"/>
                <w:sz w:val="18"/>
                <w:szCs w:val="18"/>
                <w:u w:val="none"/>
                <w:shd w:val="clear"/>
                <w:lang w:eastAsia="zh-CN" w:bidi="ar"/>
              </w:rPr>
              <w:t>（</w:t>
            </w:r>
            <w:r>
              <w:rPr>
                <w:rFonts w:hint="eastAsia" w:ascii="仿宋_GB2312" w:hAnsi="宋体" w:eastAsia="仿宋_GB2312" w:cs="仿宋_GB2312"/>
                <w:i w:val="0"/>
                <w:caps w:val="0"/>
                <w:spacing w:val="0"/>
                <w:kern w:val="0"/>
                <w:sz w:val="18"/>
                <w:szCs w:val="18"/>
                <w:u w:val="none"/>
                <w:shd w:val="clear"/>
                <w:lang w:val="en-US" w:eastAsia="zh-CN" w:bidi="ar"/>
              </w:rPr>
              <w:t>省政府令331号</w:t>
            </w:r>
            <w:r>
              <w:rPr>
                <w:rFonts w:hint="eastAsia" w:ascii="仿宋_GB2312" w:hAnsi="宋体" w:eastAsia="仿宋_GB2312" w:cs="仿宋_GB2312"/>
                <w:i w:val="0"/>
                <w:caps w:val="0"/>
                <w:spacing w:val="0"/>
                <w:kern w:val="0"/>
                <w:sz w:val="18"/>
                <w:szCs w:val="18"/>
                <w:u w:val="none"/>
                <w:shd w:val="clear"/>
                <w:lang w:eastAsia="zh-CN" w:bidi="ar"/>
              </w:rPr>
              <w:t>）</w:t>
            </w:r>
            <w:r>
              <w:rPr>
                <w:rFonts w:hint="eastAsia" w:ascii="仿宋_GB2312" w:hAnsi="宋体" w:eastAsia="仿宋_GB2312" w:cs="仿宋_GB2312"/>
                <w:kern w:val="0"/>
                <w:sz w:val="18"/>
                <w:szCs w:val="18"/>
                <w:lang w:bidi="ar"/>
              </w:rPr>
              <w:t>第二十六条　违反本办法规定，生产经营单位有下列情形之一的，由负有安全生产监督管理职责的部门责令限期改正，可以处1万元以上5万元以下的罚款；逾期未改正的，责令停产停业整顿，并处5万元以上10万元以下的罚款，对其主要负责人、直接负责的主管人员和其他直接责任人员处1万元以上2万元以下的罚款:</w:t>
            </w:r>
          </w:p>
          <w:p w14:paraId="1EB14CB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（一）未建立健全安全生产风险分级管控制度的；</w:t>
            </w:r>
          </w:p>
          <w:p w14:paraId="759576F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tc>
        <w:tc>
          <w:tcPr>
            <w:tcW w:w="459" w:type="dxa"/>
            <w:tcBorders>
              <w:tl2br w:val="nil"/>
              <w:tr2bl w:val="nil"/>
            </w:tcBorders>
            <w:shd w:val="clear" w:color="auto" w:fill="auto"/>
            <w:noWrap/>
            <w:tcMar>
              <w:top w:w="15" w:type="dxa"/>
              <w:left w:w="15" w:type="dxa"/>
              <w:right w:w="15" w:type="dxa"/>
            </w:tcMar>
            <w:vAlign w:val="center"/>
          </w:tcPr>
          <w:p w14:paraId="4DC2714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6621A72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3E7613C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C7EF4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5E6440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97D094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5F7BEE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047D48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515AD7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3320A18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270F2AD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4F664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0A93D6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92FDD9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778683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552BCE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7CD79E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5AB212A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BB4FB1E">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AAA8C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941278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7DA81B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B1FB78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0A2B6D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E2E1B1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4E42E06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安全风险管控制度内容有风险辨识、风险评估，但无风险管控的，逾期未改正的。</w:t>
            </w:r>
          </w:p>
        </w:tc>
        <w:tc>
          <w:tcPr>
            <w:tcW w:w="2655" w:type="dxa"/>
            <w:tcBorders>
              <w:tl2br w:val="nil"/>
              <w:tr2bl w:val="nil"/>
            </w:tcBorders>
            <w:shd w:val="clear" w:color="auto" w:fill="auto"/>
            <w:tcMar>
              <w:top w:w="15" w:type="dxa"/>
              <w:left w:w="15" w:type="dxa"/>
              <w:right w:w="15" w:type="dxa"/>
            </w:tcMar>
            <w:vAlign w:val="center"/>
          </w:tcPr>
          <w:p w14:paraId="2C72228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责令停产停业整顿，对煤矿处10万元以上13万元以下的罚款，对其直接负责的主管人员和其他直接责任人员处2万元以上3万元以下的罚款。</w:t>
            </w:r>
          </w:p>
        </w:tc>
      </w:tr>
      <w:tr w14:paraId="0CE67F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0CF4F0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311ED2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F0691F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5C7D75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B77E33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44AA3D7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安全风险管控制度内容有风险辨识，但无风险评估、风险管控的，逾期未改正的。</w:t>
            </w:r>
          </w:p>
        </w:tc>
        <w:tc>
          <w:tcPr>
            <w:tcW w:w="2655" w:type="dxa"/>
            <w:tcBorders>
              <w:tl2br w:val="nil"/>
              <w:tr2bl w:val="nil"/>
            </w:tcBorders>
            <w:shd w:val="clear" w:color="auto" w:fill="auto"/>
            <w:tcMar>
              <w:top w:w="15" w:type="dxa"/>
              <w:left w:w="15" w:type="dxa"/>
              <w:right w:w="15" w:type="dxa"/>
            </w:tcMar>
            <w:vAlign w:val="center"/>
          </w:tcPr>
          <w:p w14:paraId="55FBE8D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责令停产停业整顿，对煤矿处13万元以上17万元以下的罚款，对其直接负责的主管人员和其他直接责任人员处3万元以上4万元以下的罚款。</w:t>
            </w:r>
          </w:p>
        </w:tc>
      </w:tr>
      <w:tr w14:paraId="37959D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9"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92A468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891F9A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373AD1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0C62A0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4C505B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141F768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未建立安全风险管控制度的，逾期未改正的。</w:t>
            </w:r>
          </w:p>
        </w:tc>
        <w:tc>
          <w:tcPr>
            <w:tcW w:w="2655" w:type="dxa"/>
            <w:tcBorders>
              <w:tl2br w:val="nil"/>
              <w:tr2bl w:val="nil"/>
            </w:tcBorders>
            <w:shd w:val="clear" w:color="auto" w:fill="auto"/>
            <w:tcMar>
              <w:top w:w="15" w:type="dxa"/>
              <w:left w:w="15" w:type="dxa"/>
              <w:right w:w="15" w:type="dxa"/>
            </w:tcMar>
            <w:vAlign w:val="center"/>
          </w:tcPr>
          <w:p w14:paraId="0AC6582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责令停产停业整顿，对煤矿处17万元以上20万元以下的罚款，对其直接负责的主管人员和其他直接责任人员处4万元以上5万元以下的罚款。</w:t>
            </w:r>
          </w:p>
        </w:tc>
      </w:tr>
      <w:tr w14:paraId="1ACB7C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75B5B1E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val="en-US" w:eastAsia="zh-CN" w:bidi="ar"/>
              </w:rPr>
              <w:t>2</w:t>
            </w:r>
            <w:del w:id="1361" w:author="LV" w:date="2026-07-14T16:16:55Z">
              <w:r>
                <w:rPr>
                  <w:rFonts w:hint="default" w:ascii="仿宋_GB2312" w:hAnsi="宋体" w:eastAsia="仿宋_GB2312" w:cs="仿宋_GB2312"/>
                  <w:kern w:val="0"/>
                  <w:sz w:val="18"/>
                  <w:szCs w:val="18"/>
                  <w:lang w:val="en-US" w:eastAsia="zh-CN" w:bidi="ar"/>
                </w:rPr>
                <w:delText>5</w:delText>
              </w:r>
            </w:del>
            <w:ins w:id="1362" w:author="LV" w:date="2026-07-14T16:16:55Z">
              <w:r>
                <w:rPr>
                  <w:rFonts w:hint="eastAsia" w:ascii="仿宋_GB2312" w:hAnsi="宋体" w:eastAsia="仿宋_GB2312" w:cs="仿宋_GB2312"/>
                  <w:kern w:val="0"/>
                  <w:sz w:val="18"/>
                  <w:szCs w:val="18"/>
                  <w:lang w:val="en-US" w:eastAsia="zh-CN" w:bidi="ar"/>
                </w:rPr>
                <w:t>7</w:t>
              </w:r>
            </w:ins>
          </w:p>
        </w:tc>
        <w:tc>
          <w:tcPr>
            <w:tcW w:w="1005" w:type="dxa"/>
            <w:vMerge w:val="restart"/>
            <w:tcBorders>
              <w:tl2br w:val="nil"/>
              <w:tr2bl w:val="nil"/>
            </w:tcBorders>
            <w:shd w:val="clear" w:color="auto" w:fill="auto"/>
            <w:tcMar>
              <w:top w:w="15" w:type="dxa"/>
              <w:left w:w="15" w:type="dxa"/>
              <w:right w:w="15" w:type="dxa"/>
            </w:tcMar>
            <w:vAlign w:val="center"/>
          </w:tcPr>
          <w:p w14:paraId="1B46305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煤矿未按照安全风险分级采取相应管控措施的</w:t>
            </w:r>
          </w:p>
        </w:tc>
        <w:tc>
          <w:tcPr>
            <w:tcW w:w="3667" w:type="dxa"/>
            <w:vMerge w:val="restart"/>
            <w:tcBorders>
              <w:tl2br w:val="nil"/>
              <w:tr2bl w:val="nil"/>
            </w:tcBorders>
            <w:shd w:val="clear" w:color="auto" w:fill="auto"/>
            <w:tcMar>
              <w:top w:w="15" w:type="dxa"/>
              <w:left w:w="15" w:type="dxa"/>
              <w:right w:w="15" w:type="dxa"/>
            </w:tcMar>
            <w:vAlign w:val="center"/>
          </w:tcPr>
          <w:p w14:paraId="4D4AF60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《安全生产法》第四十一条第一款 生产经营单位应当建立安全风险分级管控制度，按照安全风险分级采取相应的管控措施。</w:t>
            </w:r>
          </w:p>
          <w:p w14:paraId="55F7309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《煤矿安全生产条例》第三十五条第一款  煤矿企业应当建立安全风险分级管控制度，开展安全风险辨识评估，按照安全风险分级采取相应的管控措施。</w:t>
            </w:r>
          </w:p>
          <w:p w14:paraId="284EB56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i w:val="0"/>
                <w:caps w:val="0"/>
                <w:spacing w:val="0"/>
                <w:kern w:val="0"/>
                <w:sz w:val="18"/>
                <w:szCs w:val="18"/>
                <w:u w:val="none"/>
                <w:shd w:val="clear"/>
                <w:lang w:bidi="ar"/>
              </w:rPr>
              <w:t>《山东省安全生产风险管控办法》</w:t>
            </w:r>
            <w:r>
              <w:rPr>
                <w:rFonts w:hint="eastAsia" w:ascii="仿宋_GB2312" w:hAnsi="宋体" w:eastAsia="仿宋_GB2312" w:cs="仿宋_GB2312"/>
                <w:i w:val="0"/>
                <w:caps w:val="0"/>
                <w:spacing w:val="0"/>
                <w:kern w:val="0"/>
                <w:sz w:val="18"/>
                <w:szCs w:val="18"/>
                <w:u w:val="none"/>
                <w:shd w:val="clear"/>
                <w:lang w:eastAsia="zh-CN" w:bidi="ar"/>
              </w:rPr>
              <w:t>（</w:t>
            </w:r>
            <w:r>
              <w:rPr>
                <w:rFonts w:hint="eastAsia" w:ascii="仿宋_GB2312" w:hAnsi="宋体" w:eastAsia="仿宋_GB2312" w:cs="仿宋_GB2312"/>
                <w:i w:val="0"/>
                <w:caps w:val="0"/>
                <w:spacing w:val="0"/>
                <w:kern w:val="0"/>
                <w:sz w:val="18"/>
                <w:szCs w:val="18"/>
                <w:u w:val="none"/>
                <w:shd w:val="clear"/>
                <w:lang w:val="en-US" w:eastAsia="zh-CN" w:bidi="ar"/>
              </w:rPr>
              <w:t>省政府令331号</w:t>
            </w:r>
            <w:r>
              <w:rPr>
                <w:rFonts w:hint="eastAsia" w:ascii="仿宋_GB2312" w:hAnsi="宋体" w:eastAsia="仿宋_GB2312" w:cs="仿宋_GB2312"/>
                <w:i w:val="0"/>
                <w:caps w:val="0"/>
                <w:spacing w:val="0"/>
                <w:kern w:val="0"/>
                <w:sz w:val="18"/>
                <w:szCs w:val="18"/>
                <w:u w:val="none"/>
                <w:shd w:val="clear"/>
                <w:lang w:eastAsia="zh-CN" w:bidi="ar"/>
              </w:rPr>
              <w:t>）</w:t>
            </w:r>
            <w:r>
              <w:rPr>
                <w:rFonts w:hint="eastAsia" w:ascii="仿宋_GB2312" w:hAnsi="宋体" w:eastAsia="仿宋_GB2312" w:cs="仿宋_GB2312"/>
                <w:kern w:val="0"/>
                <w:sz w:val="18"/>
                <w:szCs w:val="18"/>
                <w:lang w:bidi="ar"/>
              </w:rPr>
              <w:t>第十五条　生产经营单位应当根据风险评价和风险因素辨识结果，编制风险分级管控清单，列明管控重点、管控机构、责任人员和技术改造、经营管理、培训教育、安全防护和应急处置等管控措施。</w:t>
            </w:r>
          </w:p>
          <w:p w14:paraId="3E86D89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生产经营单位主要负责人应当每季度至少组织检查1次风险管控措施和管控方案的落实情况。</w:t>
            </w:r>
          </w:p>
          <w:p w14:paraId="1442D87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i w:val="0"/>
                <w:caps w:val="0"/>
                <w:spacing w:val="0"/>
                <w:kern w:val="0"/>
                <w:sz w:val="18"/>
                <w:szCs w:val="18"/>
                <w:u w:val="none"/>
                <w:shd w:val="clear"/>
                <w:lang w:bidi="ar"/>
              </w:rPr>
              <w:t>《山东省安全生产风险管控办法》</w:t>
            </w:r>
            <w:r>
              <w:rPr>
                <w:rFonts w:hint="eastAsia" w:ascii="仿宋_GB2312" w:hAnsi="宋体" w:eastAsia="仿宋_GB2312" w:cs="仿宋_GB2312"/>
                <w:i w:val="0"/>
                <w:caps w:val="0"/>
                <w:spacing w:val="0"/>
                <w:kern w:val="0"/>
                <w:sz w:val="18"/>
                <w:szCs w:val="18"/>
                <w:u w:val="none"/>
                <w:shd w:val="clear"/>
                <w:lang w:eastAsia="zh-CN" w:bidi="ar"/>
              </w:rPr>
              <w:t>（</w:t>
            </w:r>
            <w:r>
              <w:rPr>
                <w:rFonts w:hint="eastAsia" w:ascii="仿宋_GB2312" w:hAnsi="宋体" w:eastAsia="仿宋_GB2312" w:cs="仿宋_GB2312"/>
                <w:i w:val="0"/>
                <w:caps w:val="0"/>
                <w:spacing w:val="0"/>
                <w:kern w:val="0"/>
                <w:sz w:val="18"/>
                <w:szCs w:val="18"/>
                <w:u w:val="none"/>
                <w:shd w:val="clear"/>
                <w:lang w:val="en-US" w:eastAsia="zh-CN" w:bidi="ar"/>
              </w:rPr>
              <w:t>省政府令331号</w:t>
            </w:r>
            <w:r>
              <w:rPr>
                <w:rFonts w:hint="eastAsia" w:ascii="仿宋_GB2312" w:hAnsi="宋体" w:eastAsia="仿宋_GB2312" w:cs="仿宋_GB2312"/>
                <w:i w:val="0"/>
                <w:caps w:val="0"/>
                <w:spacing w:val="0"/>
                <w:kern w:val="0"/>
                <w:sz w:val="18"/>
                <w:szCs w:val="18"/>
                <w:u w:val="none"/>
                <w:shd w:val="clear"/>
                <w:lang w:eastAsia="zh-CN" w:bidi="ar"/>
              </w:rPr>
              <w:t>）</w:t>
            </w:r>
            <w:r>
              <w:rPr>
                <w:rFonts w:hint="eastAsia" w:ascii="仿宋_GB2312" w:hAnsi="宋体" w:eastAsia="仿宋_GB2312" w:cs="仿宋_GB2312"/>
                <w:kern w:val="0"/>
                <w:sz w:val="18"/>
                <w:szCs w:val="18"/>
                <w:lang w:bidi="ar"/>
              </w:rPr>
              <w:t>第十六条　对重大风险的管控，除按照本办法第十五条规定采取管控措施外，还应当采取下列措施：</w:t>
            </w:r>
          </w:p>
          <w:p w14:paraId="6AB1398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（一）制定专项管控方案；</w:t>
            </w:r>
          </w:p>
          <w:p w14:paraId="69590C8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（二）实时进行监控或者实行24小时值班制度；</w:t>
            </w:r>
          </w:p>
          <w:p w14:paraId="5D41B0E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（三）禁止无关人员进入并严格限制作业人员数量；</w:t>
            </w:r>
          </w:p>
          <w:p w14:paraId="062C01E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（四）由生产经营单位主要负责人负责管控；</w:t>
            </w:r>
          </w:p>
          <w:p w14:paraId="694EB85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（五）定期进行巡查、排查；</w:t>
            </w:r>
          </w:p>
          <w:p w14:paraId="22EEEA7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（六）其他的必要措施。</w:t>
            </w:r>
          </w:p>
        </w:tc>
        <w:tc>
          <w:tcPr>
            <w:tcW w:w="4082" w:type="dxa"/>
            <w:vMerge w:val="restart"/>
            <w:tcBorders>
              <w:tl2br w:val="nil"/>
              <w:tr2bl w:val="nil"/>
            </w:tcBorders>
            <w:shd w:val="clear" w:color="auto" w:fill="auto"/>
            <w:tcMar>
              <w:top w:w="15" w:type="dxa"/>
              <w:left w:w="15" w:type="dxa"/>
              <w:right w:w="15" w:type="dxa"/>
            </w:tcMar>
            <w:vAlign w:val="center"/>
          </w:tcPr>
          <w:p w14:paraId="46AAB29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bidi="ar"/>
              </w:rPr>
              <w:t>《安全生产法》第一百零一条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四）未建立安全风险分级管控制度或者未按照安全风险分级采取相应管控措施的。</w:t>
            </w:r>
          </w:p>
          <w:p w14:paraId="6AC7A7D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i w:val="0"/>
                <w:caps w:val="0"/>
                <w:spacing w:val="0"/>
                <w:kern w:val="0"/>
                <w:sz w:val="18"/>
                <w:szCs w:val="18"/>
                <w:u w:val="none"/>
                <w:shd w:val="clear"/>
                <w:lang w:bidi="ar"/>
              </w:rPr>
              <w:t>《山东省安全生产风险管控办法》</w:t>
            </w:r>
            <w:r>
              <w:rPr>
                <w:rFonts w:hint="eastAsia" w:ascii="仿宋_GB2312" w:hAnsi="宋体" w:eastAsia="仿宋_GB2312" w:cs="仿宋_GB2312"/>
                <w:i w:val="0"/>
                <w:caps w:val="0"/>
                <w:spacing w:val="0"/>
                <w:kern w:val="0"/>
                <w:sz w:val="18"/>
                <w:szCs w:val="18"/>
                <w:u w:val="none"/>
                <w:shd w:val="clear"/>
                <w:lang w:eastAsia="zh-CN" w:bidi="ar"/>
              </w:rPr>
              <w:t>（</w:t>
            </w:r>
            <w:r>
              <w:rPr>
                <w:rFonts w:hint="eastAsia" w:ascii="仿宋_GB2312" w:hAnsi="宋体" w:eastAsia="仿宋_GB2312" w:cs="仿宋_GB2312"/>
                <w:i w:val="0"/>
                <w:caps w:val="0"/>
                <w:spacing w:val="0"/>
                <w:kern w:val="0"/>
                <w:sz w:val="18"/>
                <w:szCs w:val="18"/>
                <w:u w:val="none"/>
                <w:shd w:val="clear"/>
                <w:lang w:val="en-US" w:eastAsia="zh-CN" w:bidi="ar"/>
              </w:rPr>
              <w:t>省政府令331号</w:t>
            </w:r>
            <w:r>
              <w:rPr>
                <w:rFonts w:hint="eastAsia" w:ascii="仿宋_GB2312" w:hAnsi="宋体" w:eastAsia="仿宋_GB2312" w:cs="仿宋_GB2312"/>
                <w:i w:val="0"/>
                <w:caps w:val="0"/>
                <w:spacing w:val="0"/>
                <w:kern w:val="0"/>
                <w:sz w:val="18"/>
                <w:szCs w:val="18"/>
                <w:u w:val="none"/>
                <w:shd w:val="clear"/>
                <w:lang w:eastAsia="zh-CN" w:bidi="ar"/>
              </w:rPr>
              <w:t>）</w:t>
            </w:r>
            <w:r>
              <w:rPr>
                <w:rFonts w:hint="eastAsia" w:ascii="仿宋_GB2312" w:hAnsi="宋体" w:eastAsia="仿宋_GB2312" w:cs="仿宋_GB2312"/>
                <w:color w:val="auto"/>
                <w:kern w:val="0"/>
                <w:sz w:val="18"/>
                <w:szCs w:val="18"/>
                <w:lang w:bidi="ar"/>
              </w:rPr>
              <w:t>第二十七条　违反本办法规定，生产经营单位未采取安全生产风险管控措施的，由负有安全生产监督管理职责的部门责令限期改正；逾期未改正的，处1万元以上10万元以下的罚款；情节严重的，处10万元以上20万元以下的罚款，对其主要负责人、直接负责的主管人员和其他直接责任人员处1万元以上2万元以下的罚款。</w:t>
            </w:r>
          </w:p>
        </w:tc>
        <w:tc>
          <w:tcPr>
            <w:tcW w:w="459" w:type="dxa"/>
            <w:tcBorders>
              <w:tl2br w:val="nil"/>
              <w:tr2bl w:val="nil"/>
            </w:tcBorders>
            <w:shd w:val="clear" w:color="auto" w:fill="auto"/>
            <w:noWrap/>
            <w:tcMar>
              <w:top w:w="15" w:type="dxa"/>
              <w:left w:w="15" w:type="dxa"/>
              <w:right w:w="15" w:type="dxa"/>
            </w:tcMar>
            <w:vAlign w:val="center"/>
          </w:tcPr>
          <w:p w14:paraId="0314A44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55C7FF0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56AFEA23">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4A4F9A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E30786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989236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2E27D7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F97FE9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9B3854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33F84A0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2CF074C4">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79D633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A5D1D9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09AA94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272A32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BAAD88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3E266F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3DE4C26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A248F8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14991C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61F823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63D49B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0BE25C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39F34E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7EDE67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716DF78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1处一般风险没有采取相应管控措施的。</w:t>
            </w:r>
          </w:p>
        </w:tc>
        <w:tc>
          <w:tcPr>
            <w:tcW w:w="2655" w:type="dxa"/>
            <w:tcBorders>
              <w:tl2br w:val="nil"/>
              <w:tr2bl w:val="nil"/>
            </w:tcBorders>
            <w:shd w:val="clear" w:color="auto" w:fill="auto"/>
            <w:tcMar>
              <w:top w:w="15" w:type="dxa"/>
              <w:left w:w="15" w:type="dxa"/>
              <w:right w:w="15" w:type="dxa"/>
            </w:tcMar>
            <w:vAlign w:val="center"/>
          </w:tcPr>
          <w:p w14:paraId="76FE424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处3万元以下的罚款。</w:t>
            </w:r>
          </w:p>
        </w:tc>
      </w:tr>
      <w:tr w14:paraId="5AA795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FB7C97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872786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3B1B89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E14307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DA42F6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2AD8FEA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2处一般风险没有采取相应管控措施的，或者1处较大风险没有采取相应管控措施的。</w:t>
            </w:r>
          </w:p>
        </w:tc>
        <w:tc>
          <w:tcPr>
            <w:tcW w:w="2655" w:type="dxa"/>
            <w:tcBorders>
              <w:tl2br w:val="nil"/>
              <w:tr2bl w:val="nil"/>
            </w:tcBorders>
            <w:shd w:val="clear" w:color="auto" w:fill="auto"/>
            <w:tcMar>
              <w:top w:w="15" w:type="dxa"/>
              <w:left w:w="15" w:type="dxa"/>
              <w:right w:w="15" w:type="dxa"/>
            </w:tcMar>
            <w:vAlign w:val="center"/>
          </w:tcPr>
          <w:p w14:paraId="7FB826C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处3万元以上7万元以下的罚款。</w:t>
            </w:r>
          </w:p>
        </w:tc>
      </w:tr>
      <w:tr w14:paraId="54DDCB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9150CE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0625CB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29168F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73368F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CB59F5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4259C82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3处以上一般风险没有采取相应管控措施，或者2处以上较大风险没有采取相应管控措施，或者1处以上重大风险没有采取相应管控措施的。</w:t>
            </w:r>
          </w:p>
        </w:tc>
        <w:tc>
          <w:tcPr>
            <w:tcW w:w="2655" w:type="dxa"/>
            <w:tcBorders>
              <w:tl2br w:val="nil"/>
              <w:tr2bl w:val="nil"/>
            </w:tcBorders>
            <w:shd w:val="clear" w:color="auto" w:fill="auto"/>
            <w:tcMar>
              <w:top w:w="15" w:type="dxa"/>
              <w:left w:w="15" w:type="dxa"/>
              <w:right w:w="15" w:type="dxa"/>
            </w:tcMar>
            <w:vAlign w:val="center"/>
          </w:tcPr>
          <w:p w14:paraId="0F16D78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处7万元以上10万元以下的罚款。</w:t>
            </w:r>
          </w:p>
        </w:tc>
      </w:tr>
      <w:tr w14:paraId="407B6C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5AEC42F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z w:val="18"/>
                <w:szCs w:val="18"/>
                <w:lang w:eastAsia="zh-CN"/>
              </w:rPr>
            </w:pPr>
            <w:r>
              <w:rPr>
                <w:rFonts w:hint="eastAsia" w:ascii="仿宋_GB2312" w:hAnsi="宋体" w:eastAsia="仿宋_GB2312" w:cs="仿宋_GB2312"/>
                <w:kern w:val="0"/>
                <w:sz w:val="18"/>
                <w:szCs w:val="18"/>
                <w:lang w:bidi="ar"/>
              </w:rPr>
              <w:t>2</w:t>
            </w:r>
            <w:del w:id="1363" w:author="LV" w:date="2026-07-14T16:16:59Z">
              <w:r>
                <w:rPr>
                  <w:rFonts w:hint="default" w:ascii="仿宋_GB2312" w:hAnsi="宋体" w:eastAsia="仿宋_GB2312" w:cs="仿宋_GB2312"/>
                  <w:kern w:val="0"/>
                  <w:sz w:val="18"/>
                  <w:szCs w:val="18"/>
                  <w:lang w:val="en-US" w:eastAsia="zh-CN" w:bidi="ar"/>
                </w:rPr>
                <w:delText>6</w:delText>
              </w:r>
            </w:del>
            <w:ins w:id="1364" w:author="LV" w:date="2026-07-14T16:16:59Z">
              <w:r>
                <w:rPr>
                  <w:rFonts w:hint="eastAsia" w:ascii="仿宋_GB2312" w:hAnsi="宋体" w:eastAsia="仿宋_GB2312" w:cs="仿宋_GB2312"/>
                  <w:kern w:val="0"/>
                  <w:sz w:val="18"/>
                  <w:szCs w:val="18"/>
                  <w:lang w:val="en-US" w:eastAsia="zh-CN" w:bidi="ar"/>
                </w:rPr>
                <w:t>8</w:t>
              </w:r>
            </w:ins>
          </w:p>
        </w:tc>
        <w:tc>
          <w:tcPr>
            <w:tcW w:w="1005" w:type="dxa"/>
            <w:vMerge w:val="restart"/>
            <w:tcBorders>
              <w:tl2br w:val="nil"/>
              <w:tr2bl w:val="nil"/>
            </w:tcBorders>
            <w:shd w:val="clear" w:color="auto" w:fill="auto"/>
            <w:tcMar>
              <w:top w:w="15" w:type="dxa"/>
              <w:left w:w="15" w:type="dxa"/>
              <w:right w:w="15" w:type="dxa"/>
            </w:tcMar>
            <w:vAlign w:val="center"/>
          </w:tcPr>
          <w:p w14:paraId="18B62CB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煤矿未按照安全风险分级采取相应管控措施，逾期未改正的</w:t>
            </w:r>
          </w:p>
        </w:tc>
        <w:tc>
          <w:tcPr>
            <w:tcW w:w="3667" w:type="dxa"/>
            <w:vMerge w:val="restart"/>
            <w:tcBorders>
              <w:tl2br w:val="nil"/>
              <w:tr2bl w:val="nil"/>
            </w:tcBorders>
            <w:shd w:val="clear" w:color="auto" w:fill="auto"/>
            <w:tcMar>
              <w:top w:w="15" w:type="dxa"/>
              <w:left w:w="15" w:type="dxa"/>
              <w:right w:w="15" w:type="dxa"/>
            </w:tcMar>
            <w:vAlign w:val="center"/>
          </w:tcPr>
          <w:p w14:paraId="4773181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《《安全生产法》第四十一条第一款 生产经营单位应当建立安全风险分级管控制度，按照安全风险分级采取相应的管控措施。</w:t>
            </w:r>
          </w:p>
          <w:p w14:paraId="283288F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《煤矿安全生产条例》第三十五条第一款  煤矿企业应当建立安全风险分级管控制度，开展安全风险辨识评估，按照安全风险分级采取相应的管控措施。</w:t>
            </w:r>
          </w:p>
          <w:p w14:paraId="4C81D66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i w:val="0"/>
                <w:caps w:val="0"/>
                <w:spacing w:val="0"/>
                <w:kern w:val="0"/>
                <w:sz w:val="18"/>
                <w:szCs w:val="18"/>
                <w:u w:val="none"/>
                <w:shd w:val="clear"/>
                <w:lang w:bidi="ar"/>
              </w:rPr>
              <w:t>《山东省安全生产风险管控办法》</w:t>
            </w:r>
            <w:r>
              <w:rPr>
                <w:rFonts w:hint="eastAsia" w:ascii="仿宋_GB2312" w:hAnsi="宋体" w:eastAsia="仿宋_GB2312" w:cs="仿宋_GB2312"/>
                <w:i w:val="0"/>
                <w:caps w:val="0"/>
                <w:spacing w:val="0"/>
                <w:kern w:val="0"/>
                <w:sz w:val="18"/>
                <w:szCs w:val="18"/>
                <w:u w:val="none"/>
                <w:shd w:val="clear"/>
                <w:lang w:eastAsia="zh-CN" w:bidi="ar"/>
              </w:rPr>
              <w:t>（</w:t>
            </w:r>
            <w:r>
              <w:rPr>
                <w:rFonts w:hint="eastAsia" w:ascii="仿宋_GB2312" w:hAnsi="宋体" w:eastAsia="仿宋_GB2312" w:cs="仿宋_GB2312"/>
                <w:i w:val="0"/>
                <w:caps w:val="0"/>
                <w:spacing w:val="0"/>
                <w:kern w:val="0"/>
                <w:sz w:val="18"/>
                <w:szCs w:val="18"/>
                <w:u w:val="none"/>
                <w:shd w:val="clear"/>
                <w:lang w:val="en-US" w:eastAsia="zh-CN" w:bidi="ar"/>
              </w:rPr>
              <w:t>省政府令331号</w:t>
            </w:r>
            <w:r>
              <w:rPr>
                <w:rFonts w:hint="eastAsia" w:ascii="仿宋_GB2312" w:hAnsi="宋体" w:eastAsia="仿宋_GB2312" w:cs="仿宋_GB2312"/>
                <w:i w:val="0"/>
                <w:caps w:val="0"/>
                <w:spacing w:val="0"/>
                <w:kern w:val="0"/>
                <w:sz w:val="18"/>
                <w:szCs w:val="18"/>
                <w:u w:val="none"/>
                <w:shd w:val="clear"/>
                <w:lang w:eastAsia="zh-CN" w:bidi="ar"/>
              </w:rPr>
              <w:t>）</w:t>
            </w:r>
            <w:r>
              <w:rPr>
                <w:rFonts w:hint="eastAsia" w:ascii="仿宋_GB2312" w:hAnsi="宋体" w:eastAsia="仿宋_GB2312" w:cs="仿宋_GB2312"/>
                <w:kern w:val="0"/>
                <w:sz w:val="18"/>
                <w:szCs w:val="18"/>
                <w:lang w:bidi="ar"/>
              </w:rPr>
              <w:t>第十五条　生产经营单位应当根据风险评价和风险因素辨识结果，编制风险分级管控清单，列明管控重点、管控机构、责任人员和技术改造、经营管理、培训教育、安全防护和应急处置等管控措施。</w:t>
            </w:r>
          </w:p>
          <w:p w14:paraId="7CC99E4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生产经营单位主要负责人应当每季度至少组织检查1次风险管控措施和管控方案的落实情况。</w:t>
            </w:r>
          </w:p>
          <w:p w14:paraId="66DF02D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i w:val="0"/>
                <w:caps w:val="0"/>
                <w:spacing w:val="0"/>
                <w:kern w:val="0"/>
                <w:sz w:val="18"/>
                <w:szCs w:val="18"/>
                <w:u w:val="none"/>
                <w:shd w:val="clear"/>
                <w:lang w:bidi="ar"/>
              </w:rPr>
              <w:t>《山东省安全生产风险管控办法》</w:t>
            </w:r>
            <w:r>
              <w:rPr>
                <w:rFonts w:hint="eastAsia" w:ascii="仿宋_GB2312" w:hAnsi="宋体" w:eastAsia="仿宋_GB2312" w:cs="仿宋_GB2312"/>
                <w:i w:val="0"/>
                <w:caps w:val="0"/>
                <w:spacing w:val="0"/>
                <w:kern w:val="0"/>
                <w:sz w:val="18"/>
                <w:szCs w:val="18"/>
                <w:u w:val="none"/>
                <w:shd w:val="clear"/>
                <w:lang w:eastAsia="zh-CN" w:bidi="ar"/>
              </w:rPr>
              <w:t>（</w:t>
            </w:r>
            <w:r>
              <w:rPr>
                <w:rFonts w:hint="eastAsia" w:ascii="仿宋_GB2312" w:hAnsi="宋体" w:eastAsia="仿宋_GB2312" w:cs="仿宋_GB2312"/>
                <w:i w:val="0"/>
                <w:caps w:val="0"/>
                <w:spacing w:val="0"/>
                <w:kern w:val="0"/>
                <w:sz w:val="18"/>
                <w:szCs w:val="18"/>
                <w:u w:val="none"/>
                <w:shd w:val="clear"/>
                <w:lang w:val="en-US" w:eastAsia="zh-CN" w:bidi="ar"/>
              </w:rPr>
              <w:t>省政府令331号</w:t>
            </w:r>
            <w:r>
              <w:rPr>
                <w:rFonts w:hint="eastAsia" w:ascii="仿宋_GB2312" w:hAnsi="宋体" w:eastAsia="仿宋_GB2312" w:cs="仿宋_GB2312"/>
                <w:i w:val="0"/>
                <w:caps w:val="0"/>
                <w:spacing w:val="0"/>
                <w:kern w:val="0"/>
                <w:sz w:val="18"/>
                <w:szCs w:val="18"/>
                <w:u w:val="none"/>
                <w:shd w:val="clear"/>
                <w:lang w:eastAsia="zh-CN" w:bidi="ar"/>
              </w:rPr>
              <w:t>）</w:t>
            </w:r>
            <w:r>
              <w:rPr>
                <w:rFonts w:hint="eastAsia" w:ascii="仿宋_GB2312" w:hAnsi="宋体" w:eastAsia="仿宋_GB2312" w:cs="仿宋_GB2312"/>
                <w:kern w:val="0"/>
                <w:sz w:val="18"/>
                <w:szCs w:val="18"/>
                <w:lang w:bidi="ar"/>
              </w:rPr>
              <w:t>第十六条　对重大风险的管控，除按照本办法第十五条规定采取管控措施外，还应当采取下列措施：</w:t>
            </w:r>
          </w:p>
          <w:p w14:paraId="718E2BC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（一）制定专项管控方案；</w:t>
            </w:r>
          </w:p>
          <w:p w14:paraId="39D5BF3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（二）实时进行监控或者实行24小时值班制度；</w:t>
            </w:r>
          </w:p>
          <w:p w14:paraId="384481D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（三）禁止无关人员进入并严格限制作业人员数量；</w:t>
            </w:r>
          </w:p>
          <w:p w14:paraId="3C43731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（四）由生产经营单位主要负责人负责管控；</w:t>
            </w:r>
          </w:p>
          <w:p w14:paraId="2CAF113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（五）定期进行巡查、排查；</w:t>
            </w:r>
          </w:p>
          <w:p w14:paraId="38581BA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（六）其他的必要措施。</w:t>
            </w:r>
          </w:p>
        </w:tc>
        <w:tc>
          <w:tcPr>
            <w:tcW w:w="4082" w:type="dxa"/>
            <w:vMerge w:val="restart"/>
            <w:tcBorders>
              <w:tl2br w:val="nil"/>
              <w:tr2bl w:val="nil"/>
            </w:tcBorders>
            <w:shd w:val="clear" w:color="auto" w:fill="auto"/>
            <w:tcMar>
              <w:top w:w="15" w:type="dxa"/>
              <w:left w:w="15" w:type="dxa"/>
              <w:right w:w="15" w:type="dxa"/>
            </w:tcMar>
            <w:vAlign w:val="center"/>
          </w:tcPr>
          <w:p w14:paraId="7A40273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《安全生产法》第一百零一条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四）未建立安全风险分级管控制度或者未按照安全风险分级采取相应管控措施的。</w:t>
            </w:r>
          </w:p>
          <w:p w14:paraId="46847DC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i w:val="0"/>
                <w:caps w:val="0"/>
                <w:spacing w:val="0"/>
                <w:kern w:val="0"/>
                <w:sz w:val="18"/>
                <w:szCs w:val="18"/>
                <w:u w:val="none"/>
                <w:shd w:val="clear"/>
                <w:lang w:bidi="ar"/>
              </w:rPr>
              <w:t>《山东省安全生产风险管控办法》</w:t>
            </w:r>
            <w:r>
              <w:rPr>
                <w:rFonts w:hint="eastAsia" w:ascii="仿宋_GB2312" w:hAnsi="宋体" w:eastAsia="仿宋_GB2312" w:cs="仿宋_GB2312"/>
                <w:i w:val="0"/>
                <w:caps w:val="0"/>
                <w:spacing w:val="0"/>
                <w:kern w:val="0"/>
                <w:sz w:val="18"/>
                <w:szCs w:val="18"/>
                <w:u w:val="none"/>
                <w:shd w:val="clear"/>
                <w:lang w:eastAsia="zh-CN" w:bidi="ar"/>
              </w:rPr>
              <w:t>（</w:t>
            </w:r>
            <w:r>
              <w:rPr>
                <w:rFonts w:hint="eastAsia" w:ascii="仿宋_GB2312" w:hAnsi="宋体" w:eastAsia="仿宋_GB2312" w:cs="仿宋_GB2312"/>
                <w:i w:val="0"/>
                <w:caps w:val="0"/>
                <w:spacing w:val="0"/>
                <w:kern w:val="0"/>
                <w:sz w:val="18"/>
                <w:szCs w:val="18"/>
                <w:u w:val="none"/>
                <w:shd w:val="clear"/>
                <w:lang w:val="en-US" w:eastAsia="zh-CN" w:bidi="ar"/>
              </w:rPr>
              <w:t>省政府令331号</w:t>
            </w:r>
            <w:r>
              <w:rPr>
                <w:rFonts w:hint="eastAsia" w:ascii="仿宋_GB2312" w:hAnsi="宋体" w:eastAsia="仿宋_GB2312" w:cs="仿宋_GB2312"/>
                <w:i w:val="0"/>
                <w:caps w:val="0"/>
                <w:spacing w:val="0"/>
                <w:kern w:val="0"/>
                <w:sz w:val="18"/>
                <w:szCs w:val="18"/>
                <w:u w:val="none"/>
                <w:shd w:val="clear"/>
                <w:lang w:eastAsia="zh-CN" w:bidi="ar"/>
              </w:rPr>
              <w:t>）</w:t>
            </w:r>
            <w:r>
              <w:rPr>
                <w:rFonts w:hint="eastAsia" w:ascii="仿宋_GB2312" w:hAnsi="宋体" w:eastAsia="仿宋_GB2312" w:cs="仿宋_GB2312"/>
                <w:color w:val="auto"/>
                <w:kern w:val="0"/>
                <w:sz w:val="18"/>
                <w:szCs w:val="18"/>
                <w:lang w:bidi="ar"/>
              </w:rPr>
              <w:t>第二十七条　违反本办法规定，生产经营单位未采取安全生产风险管控措施的，由负有安全生产监督管理职责的部门责令限期改正；逾期未改正的，处1万元以上10万元以下的罚款；情节严重的，处10万元以上20万元以下的罚款，对其主要负责人、直接负责的主管人员和其他直接责任人员处1万元以上2万元以下的罚款。</w:t>
            </w:r>
          </w:p>
        </w:tc>
        <w:tc>
          <w:tcPr>
            <w:tcW w:w="459" w:type="dxa"/>
            <w:tcBorders>
              <w:tl2br w:val="nil"/>
              <w:tr2bl w:val="nil"/>
            </w:tcBorders>
            <w:shd w:val="clear" w:color="auto" w:fill="auto"/>
            <w:noWrap/>
            <w:tcMar>
              <w:top w:w="15" w:type="dxa"/>
              <w:left w:w="15" w:type="dxa"/>
              <w:right w:w="15" w:type="dxa"/>
            </w:tcMar>
            <w:vAlign w:val="center"/>
          </w:tcPr>
          <w:p w14:paraId="4A92434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284B0ED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13F601E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BA75B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BDCF95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9F46CA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DBD0EE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B08583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381D41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168677B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2B010A4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0DD9F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26F618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E0BE39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4892CF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34E496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481EE6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1FE9156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61F0A4B6">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0EC1F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AE9023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F8DB56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27ED3F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D4243F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122566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34C295B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1处一般风险没有采取相应管控措施，逾期未改正的。或者超过责令改正期限10日以下的；</w:t>
            </w:r>
          </w:p>
        </w:tc>
        <w:tc>
          <w:tcPr>
            <w:tcW w:w="2655" w:type="dxa"/>
            <w:tcBorders>
              <w:tl2br w:val="nil"/>
              <w:tr2bl w:val="nil"/>
            </w:tcBorders>
            <w:shd w:val="clear" w:color="auto" w:fill="auto"/>
            <w:tcMar>
              <w:top w:w="15" w:type="dxa"/>
              <w:left w:w="15" w:type="dxa"/>
              <w:right w:w="15" w:type="dxa"/>
            </w:tcMar>
            <w:vAlign w:val="center"/>
          </w:tcPr>
          <w:p w14:paraId="3437933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责令停产停业整顿，对煤矿处10万元以上13万元以下的罚款，对其直接负责的主管人员和其他直接责任人员处2万元以上3万元以下的罚款。</w:t>
            </w:r>
          </w:p>
        </w:tc>
      </w:tr>
      <w:tr w14:paraId="029E56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43"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D6E50D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778690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82559F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452EF6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2CF95D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597FF84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pacing w:val="-6"/>
                <w:sz w:val="18"/>
                <w:szCs w:val="18"/>
              </w:rPr>
            </w:pPr>
            <w:r>
              <w:rPr>
                <w:rFonts w:hint="eastAsia" w:ascii="仿宋_GB2312" w:hAnsi="宋体" w:eastAsia="仿宋_GB2312" w:cs="仿宋_GB2312"/>
                <w:color w:val="auto"/>
                <w:spacing w:val="-6"/>
                <w:kern w:val="0"/>
                <w:sz w:val="18"/>
                <w:szCs w:val="18"/>
                <w:lang w:bidi="ar"/>
              </w:rPr>
              <w:t>2处一般风险没有采取相应管控措施的，逾期未改正1处以上；或者1处较大风险没有采取相应管控措施，逾期未改正的。或者超过责令改正期限10日以上20日以下的；</w:t>
            </w:r>
          </w:p>
        </w:tc>
        <w:tc>
          <w:tcPr>
            <w:tcW w:w="2655" w:type="dxa"/>
            <w:tcBorders>
              <w:tl2br w:val="nil"/>
              <w:tr2bl w:val="nil"/>
            </w:tcBorders>
            <w:shd w:val="clear" w:color="auto" w:fill="auto"/>
            <w:tcMar>
              <w:top w:w="15" w:type="dxa"/>
              <w:left w:w="15" w:type="dxa"/>
              <w:right w:w="15" w:type="dxa"/>
            </w:tcMar>
            <w:vAlign w:val="center"/>
          </w:tcPr>
          <w:p w14:paraId="04D55CB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责令停产停业整顿，对煤矿处13万元以上17万元以下的罚款，对其直接负责的主管人员和其他直接责任人员处3万元以上4万元以下的罚款。</w:t>
            </w:r>
          </w:p>
        </w:tc>
      </w:tr>
      <w:tr w14:paraId="5C1407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5"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F60D96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0BD7A7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E47945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4E126F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9FAEEA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07A08B4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pacing w:val="-6"/>
                <w:sz w:val="18"/>
                <w:szCs w:val="18"/>
              </w:rPr>
            </w:pPr>
            <w:r>
              <w:rPr>
                <w:rFonts w:hint="eastAsia" w:ascii="仿宋_GB2312" w:hAnsi="宋体" w:eastAsia="仿宋_GB2312" w:cs="仿宋_GB2312"/>
                <w:color w:val="auto"/>
                <w:spacing w:val="-6"/>
                <w:kern w:val="0"/>
                <w:sz w:val="18"/>
                <w:szCs w:val="18"/>
                <w:lang w:bidi="ar"/>
              </w:rPr>
              <w:t>3处以上一般风险没有采取相应管控措施，逾期未改正1处以上；或者2处较大风险没有采取相应管控措施，逾期未改正1处以上</w:t>
            </w:r>
            <w:r>
              <w:rPr>
                <w:rFonts w:hint="eastAsia" w:ascii="仿宋_GB2312" w:hAnsi="宋体" w:eastAsia="仿宋_GB2312" w:cs="仿宋_GB2312"/>
                <w:color w:val="auto"/>
                <w:spacing w:val="-11"/>
                <w:kern w:val="0"/>
                <w:sz w:val="18"/>
                <w:szCs w:val="18"/>
                <w:lang w:bidi="ar"/>
              </w:rPr>
              <w:t>的；或者1处以上重大风险没有</w:t>
            </w:r>
            <w:r>
              <w:rPr>
                <w:rFonts w:hint="eastAsia" w:ascii="仿宋_GB2312" w:hAnsi="宋体" w:eastAsia="仿宋_GB2312" w:cs="仿宋_GB2312"/>
                <w:color w:val="auto"/>
                <w:spacing w:val="-6"/>
                <w:kern w:val="0"/>
                <w:sz w:val="18"/>
                <w:szCs w:val="18"/>
                <w:lang w:bidi="ar"/>
              </w:rPr>
              <w:t>采取相应管控措施，逾期未改正的。或者超过责令改正期限20日以上的。</w:t>
            </w:r>
          </w:p>
        </w:tc>
        <w:tc>
          <w:tcPr>
            <w:tcW w:w="2655" w:type="dxa"/>
            <w:tcBorders>
              <w:tl2br w:val="nil"/>
              <w:tr2bl w:val="nil"/>
            </w:tcBorders>
            <w:shd w:val="clear" w:color="auto" w:fill="auto"/>
            <w:tcMar>
              <w:top w:w="15" w:type="dxa"/>
              <w:left w:w="15" w:type="dxa"/>
              <w:right w:w="15" w:type="dxa"/>
            </w:tcMar>
            <w:vAlign w:val="center"/>
          </w:tcPr>
          <w:p w14:paraId="0EA674A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责令停产停业整顿，对煤矿处17万元以上20万元以下的罚款，对其直接负责的主管人员和其他直接责任人员处4万元以上5万元以下的罚款。</w:t>
            </w:r>
          </w:p>
        </w:tc>
      </w:tr>
      <w:tr w14:paraId="3A8144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6BFB8CA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z w:val="18"/>
                <w:szCs w:val="18"/>
                <w:lang w:eastAsia="zh-CN"/>
              </w:rPr>
            </w:pPr>
            <w:r>
              <w:rPr>
                <w:rFonts w:hint="eastAsia" w:ascii="仿宋_GB2312" w:hAnsi="宋体" w:eastAsia="仿宋_GB2312" w:cs="仿宋_GB2312"/>
                <w:kern w:val="0"/>
                <w:sz w:val="18"/>
                <w:szCs w:val="18"/>
                <w:lang w:bidi="ar"/>
              </w:rPr>
              <w:t>2</w:t>
            </w:r>
            <w:del w:id="1365" w:author="LV" w:date="2026-07-14T16:17:04Z">
              <w:r>
                <w:rPr>
                  <w:rFonts w:hint="default" w:ascii="仿宋_GB2312" w:hAnsi="宋体" w:eastAsia="仿宋_GB2312" w:cs="仿宋_GB2312"/>
                  <w:kern w:val="0"/>
                  <w:sz w:val="18"/>
                  <w:szCs w:val="18"/>
                  <w:lang w:val="en-US" w:eastAsia="zh-CN" w:bidi="ar"/>
                </w:rPr>
                <w:delText>7</w:delText>
              </w:r>
            </w:del>
            <w:ins w:id="1366" w:author="LV" w:date="2026-07-14T16:17:04Z">
              <w:r>
                <w:rPr>
                  <w:rFonts w:hint="eastAsia" w:ascii="仿宋_GB2312" w:hAnsi="宋体" w:eastAsia="仿宋_GB2312" w:cs="仿宋_GB2312"/>
                  <w:kern w:val="0"/>
                  <w:sz w:val="18"/>
                  <w:szCs w:val="18"/>
                  <w:lang w:val="en-US" w:eastAsia="zh-CN" w:bidi="ar"/>
                </w:rPr>
                <w:t>9</w:t>
              </w:r>
            </w:ins>
          </w:p>
        </w:tc>
        <w:tc>
          <w:tcPr>
            <w:tcW w:w="1005" w:type="dxa"/>
            <w:vMerge w:val="restart"/>
            <w:tcBorders>
              <w:tl2br w:val="nil"/>
              <w:tr2bl w:val="nil"/>
            </w:tcBorders>
            <w:shd w:val="clear" w:color="auto" w:fill="auto"/>
            <w:tcMar>
              <w:top w:w="15" w:type="dxa"/>
              <w:left w:w="15" w:type="dxa"/>
              <w:right w:w="15" w:type="dxa"/>
            </w:tcMar>
            <w:vAlign w:val="center"/>
          </w:tcPr>
          <w:p w14:paraId="5153171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煤矿未建立事故隐患排查治理制度的</w:t>
            </w:r>
          </w:p>
        </w:tc>
        <w:tc>
          <w:tcPr>
            <w:tcW w:w="3667" w:type="dxa"/>
            <w:vMerge w:val="restart"/>
            <w:tcBorders>
              <w:tl2br w:val="nil"/>
              <w:tr2bl w:val="nil"/>
            </w:tcBorders>
            <w:shd w:val="clear" w:color="auto" w:fill="auto"/>
            <w:tcMar>
              <w:top w:w="15" w:type="dxa"/>
              <w:left w:w="15" w:type="dxa"/>
              <w:right w:w="15" w:type="dxa"/>
            </w:tcMar>
            <w:vAlign w:val="center"/>
          </w:tcPr>
          <w:p w14:paraId="59D1F91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pacing w:val="-6"/>
                <w:kern w:val="0"/>
                <w:sz w:val="18"/>
                <w:szCs w:val="18"/>
                <w:lang w:bidi="ar"/>
              </w:rPr>
            </w:pPr>
            <w:r>
              <w:rPr>
                <w:rFonts w:hint="eastAsia" w:ascii="仿宋_GB2312" w:hAnsi="宋体" w:eastAsia="仿宋_GB2312" w:cs="仿宋_GB2312"/>
                <w:spacing w:val="-6"/>
                <w:kern w:val="0"/>
                <w:sz w:val="18"/>
                <w:szCs w:val="18"/>
                <w:lang w:bidi="ar"/>
              </w:rPr>
              <w:t>《安全生产法》第四十一条第二款 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w:t>
            </w:r>
          </w:p>
          <w:p w14:paraId="0EBAB77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6"/>
                <w:kern w:val="0"/>
                <w:sz w:val="18"/>
                <w:szCs w:val="18"/>
                <w:lang w:bidi="ar"/>
              </w:rPr>
            </w:pPr>
            <w:r>
              <w:rPr>
                <w:rFonts w:hint="eastAsia" w:ascii="仿宋_GB2312" w:hAnsi="宋体" w:eastAsia="仿宋_GB2312" w:cs="仿宋_GB2312"/>
                <w:spacing w:val="-6"/>
                <w:kern w:val="0"/>
                <w:sz w:val="18"/>
                <w:szCs w:val="18"/>
                <w:lang w:bidi="ar"/>
              </w:rPr>
              <w:t>《煤矿安全生产条例》第三十五条第二款  煤矿企业应当建立健全事故隐患排查治理制度，采取技术、管理措施，及时发现并消除事故隐患。事故隐患排查治理情况应当如实记录，并定期向从业人员通报。重大事故隐患排查治理情况的书面报告经煤矿企业负责人签字后，每季度报县级以上地方人民政府负有煤矿安全生产监督管理职责的部门和所在地矿山安全监察机构。</w:t>
            </w:r>
          </w:p>
          <w:p w14:paraId="5844641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6"/>
                <w:kern w:val="0"/>
                <w:sz w:val="18"/>
                <w:szCs w:val="18"/>
                <w:lang w:bidi="ar"/>
              </w:rPr>
            </w:pPr>
            <w:r>
              <w:rPr>
                <w:rFonts w:hint="eastAsia" w:ascii="仿宋_GB2312" w:hAnsi="宋体" w:eastAsia="仿宋_GB2312" w:cs="仿宋_GB2312"/>
                <w:spacing w:val="-6"/>
                <w:kern w:val="0"/>
                <w:sz w:val="18"/>
                <w:szCs w:val="18"/>
                <w:lang w:bidi="ar"/>
              </w:rPr>
              <w:t>《安全生产事故隐患排查治理暂行规定》</w:t>
            </w:r>
          </w:p>
          <w:p w14:paraId="65D42B8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6"/>
                <w:kern w:val="0"/>
                <w:sz w:val="18"/>
                <w:szCs w:val="18"/>
                <w:lang w:bidi="ar"/>
              </w:rPr>
            </w:pPr>
            <w:r>
              <w:rPr>
                <w:rFonts w:hint="eastAsia" w:ascii="仿宋_GB2312" w:hAnsi="宋体" w:eastAsia="仿宋_GB2312" w:cs="仿宋_GB2312"/>
                <w:spacing w:val="-6"/>
                <w:kern w:val="0"/>
                <w:sz w:val="18"/>
                <w:szCs w:val="18"/>
                <w:lang w:bidi="ar"/>
              </w:rPr>
              <w:t>第八条第二款 生产经营单位应当建立健全事故隐患排查治理和建档监控等制度，逐级建立并落实从主要负责人到每个从业人员的隐患排查治理和监控责任制。</w:t>
            </w:r>
          </w:p>
          <w:p w14:paraId="52198101">
            <w:pPr>
              <w:keepNext w:val="0"/>
              <w:keepLines w:val="0"/>
              <w:pageBreakBefore w:val="0"/>
              <w:widowControl w:val="0"/>
              <w:numPr>
                <w:ilvl w:val="0"/>
                <w:numId w:val="2"/>
              </w:numPr>
              <w:kinsoku/>
              <w:wordWrap/>
              <w:overflowPunct w:val="0"/>
              <w:topLinePunct w:val="0"/>
              <w:autoSpaceDE/>
              <w:autoSpaceDN/>
              <w:bidi w:val="0"/>
              <w:adjustRightInd/>
              <w:snapToGrid/>
              <w:spacing w:line="280" w:lineRule="exact"/>
              <w:textAlignment w:val="center"/>
              <w:rPr>
                <w:rFonts w:ascii="仿宋_GB2312" w:hAnsi="宋体" w:eastAsia="仿宋_GB2312" w:cs="仿宋_GB2312"/>
                <w:spacing w:val="-6"/>
                <w:sz w:val="18"/>
                <w:szCs w:val="18"/>
              </w:rPr>
            </w:pPr>
            <w:r>
              <w:rPr>
                <w:rFonts w:hint="eastAsia" w:ascii="仿宋_GB2312" w:hAnsi="宋体" w:eastAsia="仿宋_GB2312" w:cs="仿宋_GB2312"/>
                <w:spacing w:val="-6"/>
                <w:kern w:val="0"/>
                <w:sz w:val="18"/>
                <w:szCs w:val="18"/>
                <w:lang w:bidi="ar"/>
              </w:rPr>
              <w:t xml:space="preserve"> 生产经营单位应当保证事故隐患排查治理所需的资金，建立资金使用专项制度。</w:t>
            </w:r>
          </w:p>
          <w:p w14:paraId="757F77CA">
            <w:pPr>
              <w:keepNext w:val="0"/>
              <w:keepLines w:val="0"/>
              <w:pageBreakBefore w:val="0"/>
              <w:widowControl w:val="0"/>
              <w:numPr>
                <w:ilvl w:val="0"/>
                <w:numId w:val="0"/>
              </w:numPr>
              <w:kinsoku/>
              <w:wordWrap/>
              <w:overflowPunct w:val="0"/>
              <w:topLinePunct w:val="0"/>
              <w:autoSpaceDE/>
              <w:autoSpaceDN/>
              <w:bidi w:val="0"/>
              <w:adjustRightInd/>
              <w:snapToGrid/>
              <w:spacing w:line="280" w:lineRule="exact"/>
              <w:jc w:val="both"/>
              <w:textAlignment w:val="center"/>
              <w:rPr>
                <w:rFonts w:hint="eastAsia" w:ascii="仿宋_GB2312" w:hAnsi="宋体" w:eastAsia="仿宋_GB2312" w:cs="仿宋_GB2312"/>
                <w:spacing w:val="-6"/>
                <w:kern w:val="0"/>
                <w:sz w:val="18"/>
                <w:szCs w:val="18"/>
                <w:lang w:bidi="ar"/>
              </w:rPr>
            </w:pPr>
            <w:r>
              <w:rPr>
                <w:rFonts w:hint="eastAsia" w:ascii="仿宋_GB2312" w:hAnsi="宋体" w:eastAsia="仿宋_GB2312" w:cs="仿宋_GB2312"/>
                <w:spacing w:val="-6"/>
                <w:kern w:val="0"/>
                <w:sz w:val="18"/>
                <w:szCs w:val="18"/>
                <w:lang w:bidi="ar"/>
              </w:rPr>
              <w:t>生产经营单位应当定期组织安全生产管理人员、工程技术人员和其他相关人员排查本单位的事故隐患。对排查出的事故隐患，应当按照事故隐患的等级进行登记，建立事故隐患信息档案，并按照职责分工实施监控治理。</w:t>
            </w:r>
          </w:p>
          <w:p w14:paraId="1CE88E82">
            <w:pPr>
              <w:keepNext w:val="0"/>
              <w:keepLines w:val="0"/>
              <w:pageBreakBefore w:val="0"/>
              <w:widowControl w:val="0"/>
              <w:numPr>
                <w:ilvl w:val="0"/>
                <w:numId w:val="0"/>
              </w:numPr>
              <w:kinsoku/>
              <w:wordWrap/>
              <w:overflowPunct w:val="0"/>
              <w:topLinePunct w:val="0"/>
              <w:autoSpaceDE/>
              <w:autoSpaceDN/>
              <w:bidi w:val="0"/>
              <w:adjustRightInd/>
              <w:snapToGrid/>
              <w:spacing w:line="280" w:lineRule="exact"/>
              <w:jc w:val="both"/>
              <w:textAlignment w:val="center"/>
              <w:rPr>
                <w:rFonts w:hint="eastAsia" w:ascii="仿宋_GB2312" w:hAnsi="宋体" w:eastAsia="仿宋_GB2312" w:cs="仿宋_GB2312"/>
                <w:spacing w:val="-6"/>
                <w:kern w:val="0"/>
                <w:sz w:val="18"/>
                <w:szCs w:val="18"/>
                <w:lang w:bidi="ar"/>
              </w:rPr>
            </w:pPr>
          </w:p>
        </w:tc>
        <w:tc>
          <w:tcPr>
            <w:tcW w:w="4082" w:type="dxa"/>
            <w:vMerge w:val="restart"/>
            <w:tcBorders>
              <w:tl2br w:val="nil"/>
              <w:tr2bl w:val="nil"/>
            </w:tcBorders>
            <w:shd w:val="clear" w:color="auto" w:fill="auto"/>
            <w:tcMar>
              <w:top w:w="15" w:type="dxa"/>
              <w:left w:w="15" w:type="dxa"/>
              <w:right w:w="15" w:type="dxa"/>
            </w:tcMar>
            <w:vAlign w:val="center"/>
          </w:tcPr>
          <w:p w14:paraId="2EEBEC6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《安全生产法》第一百零一条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五）未建立事故隐患排查治理制度，或者重大事故隐患排查治理情况未按照规定报告的。</w:t>
            </w:r>
          </w:p>
        </w:tc>
        <w:tc>
          <w:tcPr>
            <w:tcW w:w="459" w:type="dxa"/>
            <w:tcBorders>
              <w:tl2br w:val="nil"/>
              <w:tr2bl w:val="nil"/>
            </w:tcBorders>
            <w:shd w:val="clear" w:color="auto" w:fill="auto"/>
            <w:noWrap/>
            <w:tcMar>
              <w:top w:w="15" w:type="dxa"/>
              <w:left w:w="15" w:type="dxa"/>
              <w:right w:w="15" w:type="dxa"/>
            </w:tcMar>
            <w:vAlign w:val="center"/>
          </w:tcPr>
          <w:p w14:paraId="57B87C3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19A8FA0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439090E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4B116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7731D1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6EEC13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52B28A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FCA9F0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F59C90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01273C3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1A27531F">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4E39E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F9BB21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06FC4F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F371D0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8B7D1E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bottom w:val="single" w:color="auto" w:sz="4" w:space="0"/>
              <w:tl2br w:val="nil"/>
              <w:tr2bl w:val="nil"/>
            </w:tcBorders>
            <w:shd w:val="clear" w:color="auto" w:fill="auto"/>
            <w:noWrap/>
            <w:tcMar>
              <w:top w:w="15" w:type="dxa"/>
              <w:left w:w="15" w:type="dxa"/>
              <w:right w:w="15" w:type="dxa"/>
            </w:tcMar>
            <w:vAlign w:val="center"/>
          </w:tcPr>
          <w:p w14:paraId="68C89B8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bottom w:val="single" w:color="auto" w:sz="4" w:space="0"/>
              <w:tl2br w:val="nil"/>
              <w:tr2bl w:val="nil"/>
            </w:tcBorders>
            <w:shd w:val="clear" w:color="auto" w:fill="auto"/>
            <w:tcMar>
              <w:top w:w="15" w:type="dxa"/>
              <w:left w:w="15" w:type="dxa"/>
              <w:right w:w="15" w:type="dxa"/>
            </w:tcMar>
            <w:vAlign w:val="center"/>
          </w:tcPr>
          <w:p w14:paraId="348A0B4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bottom w:val="single" w:color="auto" w:sz="4" w:space="0"/>
              <w:tl2br w:val="nil"/>
              <w:tr2bl w:val="nil"/>
            </w:tcBorders>
            <w:shd w:val="clear" w:color="auto" w:fill="auto"/>
            <w:tcMar>
              <w:top w:w="15" w:type="dxa"/>
              <w:left w:w="15" w:type="dxa"/>
              <w:right w:w="15" w:type="dxa"/>
            </w:tcMar>
            <w:vAlign w:val="center"/>
          </w:tcPr>
          <w:p w14:paraId="4DA5149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1DC24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E70DEF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ACDB36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11A7A0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5D85F5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7815222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从轻处罚</w:t>
            </w:r>
          </w:p>
        </w:tc>
        <w:tc>
          <w:tcPr>
            <w:tcW w:w="1829"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7E7E3EC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事故隐患排查治理制度中缺少1项内容或制度的。</w:t>
            </w:r>
          </w:p>
        </w:tc>
        <w:tc>
          <w:tcPr>
            <w:tcW w:w="2655"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0CCB0CE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处3万元以下的罚款。</w:t>
            </w:r>
          </w:p>
        </w:tc>
      </w:tr>
      <w:tr w14:paraId="0C6E1B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FBEC26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A6C7FF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9C24CE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F61120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544E77B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一般处罚</w:t>
            </w:r>
          </w:p>
        </w:tc>
        <w:tc>
          <w:tcPr>
            <w:tcW w:w="1829"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6650E9B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事故隐患排查治理制度中缺少2项内容或制度的。</w:t>
            </w:r>
          </w:p>
        </w:tc>
        <w:tc>
          <w:tcPr>
            <w:tcW w:w="2655"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7E48918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处3万元以上7万元以下的罚款。</w:t>
            </w:r>
          </w:p>
        </w:tc>
      </w:tr>
      <w:tr w14:paraId="380EFB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CB0CB1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8084E3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8F0D9F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87BB77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0DFFBCC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从重处罚</w:t>
            </w:r>
          </w:p>
        </w:tc>
        <w:tc>
          <w:tcPr>
            <w:tcW w:w="1829"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6D356F6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事故隐患排查治理制度中缺少3项及以上内容或制度的。</w:t>
            </w:r>
          </w:p>
        </w:tc>
        <w:tc>
          <w:tcPr>
            <w:tcW w:w="2655"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6C503A4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处7万元以上10万元以下的罚款。</w:t>
            </w:r>
          </w:p>
        </w:tc>
      </w:tr>
      <w:tr w14:paraId="23B681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0D2ADEF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del w:id="1367" w:author="LV" w:date="2026-07-14T16:17:26Z">
              <w:r>
                <w:rPr>
                  <w:rFonts w:hint="default" w:ascii="仿宋_GB2312" w:hAnsi="宋体" w:eastAsia="仿宋_GB2312" w:cs="仿宋_GB2312"/>
                  <w:kern w:val="0"/>
                  <w:sz w:val="18"/>
                  <w:szCs w:val="18"/>
                  <w:lang w:val="en-US" w:bidi="ar"/>
                </w:rPr>
                <w:delText>2</w:delText>
              </w:r>
            </w:del>
            <w:del w:id="1368" w:author="LV" w:date="2026-07-14T16:17:26Z">
              <w:r>
                <w:rPr>
                  <w:rFonts w:hint="default" w:ascii="仿宋_GB2312" w:hAnsi="宋体" w:eastAsia="仿宋_GB2312" w:cs="仿宋_GB2312"/>
                  <w:kern w:val="0"/>
                  <w:sz w:val="18"/>
                  <w:szCs w:val="18"/>
                  <w:lang w:val="en-US" w:eastAsia="zh-CN" w:bidi="ar"/>
                </w:rPr>
                <w:delText>8</w:delText>
              </w:r>
            </w:del>
            <w:ins w:id="1369" w:author="LV" w:date="2026-07-14T16:17:26Z">
              <w:r>
                <w:rPr>
                  <w:rFonts w:hint="eastAsia" w:ascii="仿宋_GB2312" w:hAnsi="宋体" w:eastAsia="仿宋_GB2312" w:cs="仿宋_GB2312"/>
                  <w:kern w:val="0"/>
                  <w:sz w:val="18"/>
                  <w:szCs w:val="18"/>
                  <w:lang w:val="en-US" w:eastAsia="zh-CN" w:bidi="ar"/>
                </w:rPr>
                <w:t>3</w:t>
              </w:r>
            </w:ins>
            <w:ins w:id="1370" w:author="LV" w:date="2026-07-14T16:17:27Z">
              <w:r>
                <w:rPr>
                  <w:rFonts w:hint="eastAsia" w:ascii="仿宋_GB2312" w:hAnsi="宋体" w:eastAsia="仿宋_GB2312" w:cs="仿宋_GB2312"/>
                  <w:kern w:val="0"/>
                  <w:sz w:val="18"/>
                  <w:szCs w:val="18"/>
                  <w:lang w:val="en-US" w:eastAsia="zh-CN" w:bidi="ar"/>
                </w:rPr>
                <w:t>0</w:t>
              </w:r>
            </w:ins>
          </w:p>
        </w:tc>
        <w:tc>
          <w:tcPr>
            <w:tcW w:w="1005" w:type="dxa"/>
            <w:vMerge w:val="restart"/>
            <w:tcBorders>
              <w:tl2br w:val="nil"/>
              <w:tr2bl w:val="nil"/>
            </w:tcBorders>
            <w:shd w:val="clear" w:color="auto" w:fill="auto"/>
            <w:tcMar>
              <w:top w:w="15" w:type="dxa"/>
              <w:left w:w="15" w:type="dxa"/>
              <w:right w:w="15" w:type="dxa"/>
            </w:tcMar>
            <w:vAlign w:val="center"/>
          </w:tcPr>
          <w:p w14:paraId="011422C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煤矿未建立事故隐患排查治理制度，逾期未改正的</w:t>
            </w:r>
          </w:p>
        </w:tc>
        <w:tc>
          <w:tcPr>
            <w:tcW w:w="3667" w:type="dxa"/>
            <w:vMerge w:val="restart"/>
            <w:tcBorders>
              <w:tl2br w:val="nil"/>
              <w:tr2bl w:val="nil"/>
            </w:tcBorders>
            <w:shd w:val="clear" w:color="auto" w:fill="auto"/>
            <w:tcMar>
              <w:top w:w="15" w:type="dxa"/>
              <w:left w:w="15" w:type="dxa"/>
              <w:right w:w="15" w:type="dxa"/>
            </w:tcMar>
            <w:vAlign w:val="center"/>
          </w:tcPr>
          <w:p w14:paraId="696D9E5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pacing w:val="-6"/>
                <w:kern w:val="0"/>
                <w:sz w:val="18"/>
                <w:szCs w:val="18"/>
                <w:lang w:bidi="ar"/>
              </w:rPr>
            </w:pPr>
            <w:r>
              <w:rPr>
                <w:rFonts w:hint="eastAsia" w:ascii="仿宋_GB2312" w:hAnsi="宋体" w:eastAsia="仿宋_GB2312" w:cs="仿宋_GB2312"/>
                <w:spacing w:val="-6"/>
                <w:kern w:val="0"/>
                <w:sz w:val="18"/>
                <w:szCs w:val="18"/>
                <w:lang w:bidi="ar"/>
              </w:rPr>
              <w:t>《安全生产法》第四十一条第二款 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w:t>
            </w:r>
          </w:p>
          <w:p w14:paraId="3A1B008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6"/>
                <w:kern w:val="0"/>
                <w:sz w:val="18"/>
                <w:szCs w:val="18"/>
                <w:lang w:bidi="ar"/>
              </w:rPr>
            </w:pPr>
            <w:r>
              <w:rPr>
                <w:rFonts w:hint="eastAsia" w:ascii="仿宋_GB2312" w:hAnsi="宋体" w:eastAsia="仿宋_GB2312" w:cs="仿宋_GB2312"/>
                <w:spacing w:val="-6"/>
                <w:kern w:val="0"/>
                <w:sz w:val="18"/>
                <w:szCs w:val="18"/>
                <w:lang w:bidi="ar"/>
              </w:rPr>
              <w:t>《安全生产事故隐患排查治理暂行规定》</w:t>
            </w:r>
          </w:p>
          <w:p w14:paraId="5F54CA9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6"/>
                <w:kern w:val="0"/>
                <w:sz w:val="18"/>
                <w:szCs w:val="18"/>
                <w:lang w:bidi="ar"/>
              </w:rPr>
            </w:pPr>
            <w:r>
              <w:rPr>
                <w:rFonts w:hint="eastAsia" w:ascii="仿宋_GB2312" w:hAnsi="宋体" w:eastAsia="仿宋_GB2312" w:cs="仿宋_GB2312"/>
                <w:spacing w:val="-6"/>
                <w:kern w:val="0"/>
                <w:sz w:val="18"/>
                <w:szCs w:val="18"/>
                <w:lang w:bidi="ar"/>
              </w:rPr>
              <w:t>第八条第二款 生产经营单位应当建立健全事故隐患排查治理和建档监控等制度，逐级建立并落实从主要负责人到每个从业人员的隐患排查治理和监控责任制。</w:t>
            </w:r>
          </w:p>
          <w:p w14:paraId="3F35892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6"/>
                <w:kern w:val="0"/>
                <w:sz w:val="18"/>
                <w:szCs w:val="18"/>
                <w:lang w:bidi="ar"/>
              </w:rPr>
            </w:pPr>
            <w:r>
              <w:rPr>
                <w:rFonts w:hint="eastAsia" w:ascii="仿宋_GB2312" w:hAnsi="宋体" w:eastAsia="仿宋_GB2312" w:cs="仿宋_GB2312"/>
                <w:spacing w:val="-6"/>
                <w:kern w:val="0"/>
                <w:sz w:val="18"/>
                <w:szCs w:val="18"/>
                <w:lang w:bidi="ar"/>
              </w:rPr>
              <w:t>第九条</w:t>
            </w:r>
            <w:r>
              <w:rPr>
                <w:rFonts w:hint="eastAsia" w:ascii="仿宋_GB2312" w:hAnsi="宋体" w:eastAsia="仿宋_GB2312" w:cs="仿宋_GB2312"/>
                <w:spacing w:val="-6"/>
                <w:kern w:val="0"/>
                <w:sz w:val="18"/>
                <w:szCs w:val="18"/>
                <w:lang w:eastAsia="zh-CN" w:bidi="ar"/>
              </w:rPr>
              <w:t xml:space="preserve"> </w:t>
            </w:r>
            <w:r>
              <w:rPr>
                <w:rFonts w:hint="eastAsia" w:ascii="仿宋_GB2312" w:hAnsi="宋体" w:eastAsia="仿宋_GB2312" w:cs="仿宋_GB2312"/>
                <w:spacing w:val="-6"/>
                <w:kern w:val="0"/>
                <w:sz w:val="18"/>
                <w:szCs w:val="18"/>
                <w:lang w:bidi="ar"/>
              </w:rPr>
              <w:t>生产经营单位应当保证事故隐患排查治理所需的资金，建立资金使用专项制度。</w:t>
            </w:r>
          </w:p>
          <w:p w14:paraId="2CD8194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pacing w:val="-6"/>
                <w:kern w:val="0"/>
                <w:sz w:val="18"/>
                <w:szCs w:val="18"/>
                <w:lang w:bidi="ar"/>
              </w:rPr>
              <w:t>第十一条 生产经营单位应当建立事故隐患报告和举报奖励制度，鼓励、发动职工发现和排除事故隐患，鼓励社会公众举报。对发现、排除和举报事故隐患的有功人员，应当给予物质奖励和表彰。</w:t>
            </w:r>
          </w:p>
        </w:tc>
        <w:tc>
          <w:tcPr>
            <w:tcW w:w="4082" w:type="dxa"/>
            <w:vMerge w:val="restart"/>
            <w:tcBorders>
              <w:tl2br w:val="nil"/>
              <w:tr2bl w:val="nil"/>
            </w:tcBorders>
            <w:shd w:val="clear" w:color="auto" w:fill="auto"/>
            <w:tcMar>
              <w:top w:w="15" w:type="dxa"/>
              <w:left w:w="15" w:type="dxa"/>
              <w:right w:w="15" w:type="dxa"/>
            </w:tcMar>
            <w:vAlign w:val="center"/>
          </w:tcPr>
          <w:p w14:paraId="5CF36C7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《安全生产法》第一百零一条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五）未建立事故隐患排查治理制度，或者重大事故隐患排查治理情况未按照规定报告的。</w:t>
            </w:r>
          </w:p>
        </w:tc>
        <w:tc>
          <w:tcPr>
            <w:tcW w:w="459" w:type="dxa"/>
            <w:tcBorders>
              <w:tl2br w:val="nil"/>
              <w:tr2bl w:val="nil"/>
            </w:tcBorders>
            <w:shd w:val="clear" w:color="auto" w:fill="auto"/>
            <w:noWrap/>
            <w:tcMar>
              <w:top w:w="15" w:type="dxa"/>
              <w:left w:w="15" w:type="dxa"/>
              <w:right w:w="15" w:type="dxa"/>
            </w:tcMar>
            <w:vAlign w:val="center"/>
          </w:tcPr>
          <w:p w14:paraId="2181E76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0008A7E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458D838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B2C1A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695F6A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17775D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51CB13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48ADF6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3FEC48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14709BA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601B3A9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E4521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D163B3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07F7AC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07E691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5A2C36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C0AB9C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7130887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189BEE1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4C398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31BC73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F084E7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13A7C3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A13939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70D0FA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40CCF3E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事故隐患排查治理制度中缺少1项内容或制度的，逾期未改正的。或者超过责令改正期限10日以下的。</w:t>
            </w:r>
          </w:p>
        </w:tc>
        <w:tc>
          <w:tcPr>
            <w:tcW w:w="2655" w:type="dxa"/>
            <w:tcBorders>
              <w:tl2br w:val="nil"/>
              <w:tr2bl w:val="nil"/>
            </w:tcBorders>
            <w:shd w:val="clear" w:color="auto" w:fill="auto"/>
            <w:tcMar>
              <w:top w:w="15" w:type="dxa"/>
              <w:left w:w="15" w:type="dxa"/>
              <w:right w:w="15" w:type="dxa"/>
            </w:tcMar>
            <w:vAlign w:val="center"/>
          </w:tcPr>
          <w:p w14:paraId="232E5D4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责令停产停业整顿，对煤矿处10万元以上13万元以下的罚款，对其直接负责的主管人员和其他直接责任人员处2万元以上3万元以下的罚款。</w:t>
            </w:r>
          </w:p>
        </w:tc>
      </w:tr>
      <w:tr w14:paraId="75D4E9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E3C15D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72B043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C83689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C400A6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FE154C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70A0649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事故隐患排查治理制度中缺少2项内容或制度的，逾期未改正1项以上。或者超过责令改正期限10日以上20日以下的。</w:t>
            </w:r>
          </w:p>
        </w:tc>
        <w:tc>
          <w:tcPr>
            <w:tcW w:w="2655" w:type="dxa"/>
            <w:tcBorders>
              <w:tl2br w:val="nil"/>
              <w:tr2bl w:val="nil"/>
            </w:tcBorders>
            <w:shd w:val="clear" w:color="auto" w:fill="auto"/>
            <w:tcMar>
              <w:top w:w="15" w:type="dxa"/>
              <w:left w:w="15" w:type="dxa"/>
              <w:right w:w="15" w:type="dxa"/>
            </w:tcMar>
            <w:vAlign w:val="center"/>
          </w:tcPr>
          <w:p w14:paraId="2C374B2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责令停产停业整顿，对煤矿处13万元以上17万元以下的罚款，对其直接负责的主管人员和其他直接责任人员处3万元以上4万元以下的罚款。</w:t>
            </w:r>
          </w:p>
        </w:tc>
      </w:tr>
      <w:tr w14:paraId="708685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82960F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3951A7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9621C7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614617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467E5E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3FAA3DB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事故隐患排查治理制度中缺少3项及以上内容或制度的，逾期未改正1项以上。或者超过责令改正期限20日以上的。</w:t>
            </w:r>
          </w:p>
        </w:tc>
        <w:tc>
          <w:tcPr>
            <w:tcW w:w="2655" w:type="dxa"/>
            <w:tcBorders>
              <w:tl2br w:val="nil"/>
              <w:tr2bl w:val="nil"/>
            </w:tcBorders>
            <w:shd w:val="clear" w:color="auto" w:fill="auto"/>
            <w:tcMar>
              <w:top w:w="15" w:type="dxa"/>
              <w:left w:w="15" w:type="dxa"/>
              <w:right w:w="15" w:type="dxa"/>
            </w:tcMar>
            <w:vAlign w:val="center"/>
          </w:tcPr>
          <w:p w14:paraId="25DE37B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责令停产停业整顿，对煤矿处17万元以上20万元以下的罚款，对其直接负责的主管人员和其他直接责任人员处4万元以上5万元以下的罚款。</w:t>
            </w:r>
          </w:p>
        </w:tc>
      </w:tr>
      <w:tr w14:paraId="571A2F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41C5E53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del w:id="1371" w:author="LV" w:date="2026-07-14T16:17:35Z">
              <w:r>
                <w:rPr>
                  <w:rFonts w:hint="default" w:ascii="仿宋_GB2312" w:hAnsi="宋体" w:eastAsia="仿宋_GB2312" w:cs="仿宋_GB2312"/>
                  <w:kern w:val="0"/>
                  <w:sz w:val="18"/>
                  <w:szCs w:val="18"/>
                  <w:lang w:val="en-US" w:bidi="ar"/>
                </w:rPr>
                <w:delText>2</w:delText>
              </w:r>
            </w:del>
            <w:del w:id="1372" w:author="LV" w:date="2026-07-14T16:17:35Z">
              <w:r>
                <w:rPr>
                  <w:rFonts w:hint="default" w:ascii="仿宋_GB2312" w:hAnsi="宋体" w:eastAsia="仿宋_GB2312" w:cs="仿宋_GB2312"/>
                  <w:kern w:val="0"/>
                  <w:sz w:val="18"/>
                  <w:szCs w:val="18"/>
                  <w:lang w:val="en-US" w:eastAsia="zh-CN" w:bidi="ar"/>
                </w:rPr>
                <w:delText>9</w:delText>
              </w:r>
            </w:del>
            <w:ins w:id="1373" w:author="LV" w:date="2026-07-14T16:17:35Z">
              <w:r>
                <w:rPr>
                  <w:rFonts w:hint="eastAsia" w:ascii="仿宋_GB2312" w:hAnsi="宋体" w:eastAsia="仿宋_GB2312" w:cs="仿宋_GB2312"/>
                  <w:kern w:val="0"/>
                  <w:sz w:val="18"/>
                  <w:szCs w:val="18"/>
                  <w:lang w:val="en-US" w:eastAsia="zh-CN" w:bidi="ar"/>
                </w:rPr>
                <w:t>3</w:t>
              </w:r>
            </w:ins>
            <w:ins w:id="1374" w:author="LV" w:date="2026-07-14T16:17:36Z">
              <w:r>
                <w:rPr>
                  <w:rFonts w:hint="eastAsia" w:ascii="仿宋_GB2312" w:hAnsi="宋体" w:eastAsia="仿宋_GB2312" w:cs="仿宋_GB2312"/>
                  <w:kern w:val="0"/>
                  <w:sz w:val="18"/>
                  <w:szCs w:val="18"/>
                  <w:lang w:val="en-US" w:eastAsia="zh-CN" w:bidi="ar"/>
                </w:rPr>
                <w:t>1</w:t>
              </w:r>
            </w:ins>
          </w:p>
        </w:tc>
        <w:tc>
          <w:tcPr>
            <w:tcW w:w="1005" w:type="dxa"/>
            <w:vMerge w:val="restart"/>
            <w:tcBorders>
              <w:tl2br w:val="nil"/>
              <w:tr2bl w:val="nil"/>
            </w:tcBorders>
            <w:shd w:val="clear" w:color="auto" w:fill="auto"/>
            <w:tcMar>
              <w:top w:w="15" w:type="dxa"/>
              <w:left w:w="15" w:type="dxa"/>
              <w:right w:w="15" w:type="dxa"/>
            </w:tcMar>
            <w:vAlign w:val="center"/>
          </w:tcPr>
          <w:p w14:paraId="1AA9522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煤矿重大事故隐患排查治理情况未按照规定报告的</w:t>
            </w:r>
          </w:p>
        </w:tc>
        <w:tc>
          <w:tcPr>
            <w:tcW w:w="3667" w:type="dxa"/>
            <w:vMerge w:val="restart"/>
            <w:tcBorders>
              <w:tl2br w:val="nil"/>
              <w:tr2bl w:val="nil"/>
            </w:tcBorders>
            <w:shd w:val="clear" w:color="auto" w:fill="auto"/>
            <w:tcMar>
              <w:top w:w="15" w:type="dxa"/>
              <w:left w:w="15" w:type="dxa"/>
              <w:right w:w="15" w:type="dxa"/>
            </w:tcMar>
            <w:vAlign w:val="center"/>
          </w:tcPr>
          <w:p w14:paraId="5C54E09E">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1375" w:author="LV" w:date="2026-07-14T16:17:49Z"/>
                <w:rFonts w:hint="eastAsia" w:ascii="仿宋_GB2312" w:hAnsi="宋体" w:eastAsia="仿宋_GB2312" w:cs="仿宋_GB2312"/>
                <w:kern w:val="0"/>
                <w:sz w:val="18"/>
                <w:szCs w:val="18"/>
                <w:lang w:bidi="ar"/>
              </w:rPr>
            </w:pPr>
          </w:p>
          <w:p w14:paraId="79866A74">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1376" w:author="LV" w:date="2026-07-14T16:17:49Z"/>
                <w:rFonts w:hint="eastAsia" w:ascii="仿宋_GB2312" w:hAnsi="宋体" w:eastAsia="仿宋_GB2312" w:cs="仿宋_GB2312"/>
                <w:kern w:val="0"/>
                <w:sz w:val="18"/>
                <w:szCs w:val="18"/>
                <w:lang w:bidi="ar"/>
              </w:rPr>
            </w:pPr>
          </w:p>
          <w:p w14:paraId="4C1D1BDB">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1377" w:author="LV" w:date="2026-07-14T16:17:50Z"/>
                <w:rFonts w:hint="eastAsia" w:ascii="仿宋_GB2312" w:hAnsi="宋体" w:eastAsia="仿宋_GB2312" w:cs="仿宋_GB2312"/>
                <w:kern w:val="0"/>
                <w:sz w:val="18"/>
                <w:szCs w:val="18"/>
                <w:lang w:bidi="ar"/>
              </w:rPr>
            </w:pPr>
          </w:p>
          <w:p w14:paraId="3C87B639">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1378" w:author="LV" w:date="2026-07-14T16:17:50Z"/>
                <w:rFonts w:hint="eastAsia" w:ascii="仿宋_GB2312" w:hAnsi="宋体" w:eastAsia="仿宋_GB2312" w:cs="仿宋_GB2312"/>
                <w:kern w:val="0"/>
                <w:sz w:val="18"/>
                <w:szCs w:val="18"/>
                <w:lang w:bidi="ar"/>
              </w:rPr>
            </w:pPr>
          </w:p>
          <w:p w14:paraId="12DDED4A">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1379" w:author="LV" w:date="2026-07-14T16:17:51Z"/>
                <w:rFonts w:hint="eastAsia" w:ascii="仿宋_GB2312" w:hAnsi="宋体" w:eastAsia="仿宋_GB2312" w:cs="仿宋_GB2312"/>
                <w:kern w:val="0"/>
                <w:sz w:val="18"/>
                <w:szCs w:val="18"/>
                <w:lang w:bidi="ar"/>
              </w:rPr>
            </w:pPr>
          </w:p>
          <w:p w14:paraId="4BC4362D">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1380" w:author="LV" w:date="2026-07-14T16:17:51Z"/>
                <w:rFonts w:hint="eastAsia" w:ascii="仿宋_GB2312" w:hAnsi="宋体" w:eastAsia="仿宋_GB2312" w:cs="仿宋_GB2312"/>
                <w:kern w:val="0"/>
                <w:sz w:val="18"/>
                <w:szCs w:val="18"/>
                <w:lang w:bidi="ar"/>
              </w:rPr>
            </w:pPr>
          </w:p>
          <w:p w14:paraId="685B417A">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1381" w:author="LV" w:date="2026-07-14T16:17:52Z"/>
                <w:rFonts w:hint="eastAsia" w:ascii="仿宋_GB2312" w:hAnsi="宋体" w:eastAsia="仿宋_GB2312" w:cs="仿宋_GB2312"/>
                <w:kern w:val="0"/>
                <w:sz w:val="18"/>
                <w:szCs w:val="18"/>
                <w:lang w:bidi="ar"/>
              </w:rPr>
            </w:pPr>
          </w:p>
          <w:p w14:paraId="6E1069C4">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1382" w:author="LV" w:date="2026-07-14T16:17:53Z"/>
                <w:rFonts w:hint="eastAsia" w:ascii="仿宋_GB2312" w:hAnsi="宋体" w:eastAsia="仿宋_GB2312" w:cs="仿宋_GB2312"/>
                <w:kern w:val="0"/>
                <w:sz w:val="18"/>
                <w:szCs w:val="18"/>
                <w:lang w:bidi="ar"/>
              </w:rPr>
            </w:pPr>
          </w:p>
          <w:p w14:paraId="7CFBE2C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《安全生产法》第四十一条第二款 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w:t>
            </w:r>
          </w:p>
          <w:p w14:paraId="7AEFA0BD">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1383" w:author="LV" w:date="2026-07-14T16:17:54Z"/>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《煤矿安全生产条例》第三十五条第二款  煤矿企业应当建立健全事故隐患排查治理制度，采取技术、管理措施，及时发现并消除事故隐患。事故隐患排查治理情况应当如实记录，并定期向从业人员通报。重大事故隐患排查治理情况的书面报告经煤矿企业负责人签字后，每季度报县级以上地方人民政府负有煤矿安全生产监督管理职责的部门和所在地矿山安全监察机构。</w:t>
            </w:r>
          </w:p>
          <w:p w14:paraId="48EAADC8">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1384" w:author="LV" w:date="2026-07-14T16:17:55Z"/>
                <w:rFonts w:hint="eastAsia" w:ascii="仿宋_GB2312" w:hAnsi="宋体" w:eastAsia="仿宋_GB2312" w:cs="仿宋_GB2312"/>
                <w:kern w:val="0"/>
                <w:sz w:val="18"/>
                <w:szCs w:val="18"/>
                <w:lang w:bidi="ar"/>
              </w:rPr>
            </w:pPr>
          </w:p>
          <w:p w14:paraId="479A3974">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1385" w:author="LV" w:date="2026-07-14T16:17:56Z"/>
                <w:rFonts w:hint="eastAsia" w:ascii="仿宋_GB2312" w:hAnsi="宋体" w:eastAsia="仿宋_GB2312" w:cs="仿宋_GB2312"/>
                <w:kern w:val="0"/>
                <w:sz w:val="18"/>
                <w:szCs w:val="18"/>
                <w:lang w:bidi="ar"/>
              </w:rPr>
            </w:pPr>
          </w:p>
          <w:p w14:paraId="17871FB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tc>
        <w:tc>
          <w:tcPr>
            <w:tcW w:w="4082" w:type="dxa"/>
            <w:vMerge w:val="restart"/>
            <w:tcBorders>
              <w:tl2br w:val="nil"/>
              <w:tr2bl w:val="nil"/>
            </w:tcBorders>
            <w:shd w:val="clear" w:color="auto" w:fill="auto"/>
            <w:tcMar>
              <w:top w:w="15" w:type="dxa"/>
              <w:left w:w="15" w:type="dxa"/>
              <w:right w:w="15" w:type="dxa"/>
            </w:tcMar>
            <w:vAlign w:val="center"/>
          </w:tcPr>
          <w:p w14:paraId="1398709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《安全生产法》第一百零一条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五）未建立事故隐患排查治理制度，或者重大事故隐患排查治理情况未按照规定报告的。</w:t>
            </w:r>
          </w:p>
        </w:tc>
        <w:tc>
          <w:tcPr>
            <w:tcW w:w="459" w:type="dxa"/>
            <w:tcBorders>
              <w:tl2br w:val="nil"/>
              <w:tr2bl w:val="nil"/>
            </w:tcBorders>
            <w:shd w:val="clear" w:color="auto" w:fill="auto"/>
            <w:noWrap/>
            <w:tcMar>
              <w:top w:w="15" w:type="dxa"/>
              <w:left w:w="15" w:type="dxa"/>
              <w:right w:w="15" w:type="dxa"/>
            </w:tcMar>
            <w:vAlign w:val="center"/>
          </w:tcPr>
          <w:p w14:paraId="11A5712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07EFE39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4C2B578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FFFAC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96A4BB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F928FB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21076F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9653B9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CD775B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3D3AA25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30A48CBF">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62A98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2C37D1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4DFA3A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452A20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80BB85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74E2C8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7526CE9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7B7EA2A3">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07274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1"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1CF0DE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3881EE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61271E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86B953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936E77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586D9D9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迟报重大事故隐患排查治理情况的。</w:t>
            </w:r>
          </w:p>
        </w:tc>
        <w:tc>
          <w:tcPr>
            <w:tcW w:w="2655" w:type="dxa"/>
            <w:tcBorders>
              <w:tl2br w:val="nil"/>
              <w:tr2bl w:val="nil"/>
            </w:tcBorders>
            <w:shd w:val="clear" w:color="auto" w:fill="auto"/>
            <w:tcMar>
              <w:top w:w="15" w:type="dxa"/>
              <w:left w:w="15" w:type="dxa"/>
              <w:right w:w="15" w:type="dxa"/>
            </w:tcMar>
            <w:vAlign w:val="center"/>
          </w:tcPr>
          <w:p w14:paraId="1D5CD37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处3万元以下的罚款。</w:t>
            </w:r>
          </w:p>
        </w:tc>
      </w:tr>
      <w:tr w14:paraId="5E47FD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5"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C39FCA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0BEB53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10BB57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399592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1F1219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485E936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漏报重大事故隐患排查治理情况的。</w:t>
            </w:r>
          </w:p>
        </w:tc>
        <w:tc>
          <w:tcPr>
            <w:tcW w:w="2655" w:type="dxa"/>
            <w:tcBorders>
              <w:tl2br w:val="nil"/>
              <w:tr2bl w:val="nil"/>
            </w:tcBorders>
            <w:shd w:val="clear" w:color="auto" w:fill="auto"/>
            <w:tcMar>
              <w:top w:w="15" w:type="dxa"/>
              <w:left w:w="15" w:type="dxa"/>
              <w:right w:w="15" w:type="dxa"/>
            </w:tcMar>
            <w:vAlign w:val="center"/>
          </w:tcPr>
          <w:p w14:paraId="0E107D1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处3万元以上7万元以下的罚款。</w:t>
            </w:r>
          </w:p>
        </w:tc>
      </w:tr>
      <w:tr w14:paraId="2047DE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E21BC0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7BE86B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E5AA35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46E3B7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12268B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7429C49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谎报或者不报重大事故隐患排查治理情况的。</w:t>
            </w:r>
          </w:p>
        </w:tc>
        <w:tc>
          <w:tcPr>
            <w:tcW w:w="2655" w:type="dxa"/>
            <w:tcBorders>
              <w:tl2br w:val="nil"/>
              <w:tr2bl w:val="nil"/>
            </w:tcBorders>
            <w:shd w:val="clear" w:color="auto" w:fill="auto"/>
            <w:tcMar>
              <w:top w:w="15" w:type="dxa"/>
              <w:left w:w="15" w:type="dxa"/>
              <w:right w:w="15" w:type="dxa"/>
            </w:tcMar>
            <w:vAlign w:val="center"/>
          </w:tcPr>
          <w:p w14:paraId="0892A2E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处7万元以上10万元以下的罚款。</w:t>
            </w:r>
          </w:p>
        </w:tc>
      </w:tr>
      <w:tr w14:paraId="4624CB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6A2034B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val="en-US" w:eastAsia="zh-CN" w:bidi="ar"/>
              </w:rPr>
              <w:t>3</w:t>
            </w:r>
            <w:del w:id="1386" w:author="LV" w:date="2026-07-14T16:18:05Z">
              <w:r>
                <w:rPr>
                  <w:rFonts w:hint="default" w:ascii="仿宋_GB2312" w:hAnsi="宋体" w:eastAsia="仿宋_GB2312" w:cs="仿宋_GB2312"/>
                  <w:kern w:val="0"/>
                  <w:sz w:val="18"/>
                  <w:szCs w:val="18"/>
                  <w:lang w:val="en-US" w:eastAsia="zh-CN" w:bidi="ar"/>
                </w:rPr>
                <w:delText>0</w:delText>
              </w:r>
            </w:del>
            <w:ins w:id="1387" w:author="LV" w:date="2026-07-14T16:18:05Z">
              <w:r>
                <w:rPr>
                  <w:rFonts w:hint="eastAsia" w:ascii="仿宋_GB2312" w:hAnsi="宋体" w:eastAsia="仿宋_GB2312" w:cs="仿宋_GB2312"/>
                  <w:kern w:val="0"/>
                  <w:sz w:val="18"/>
                  <w:szCs w:val="18"/>
                  <w:lang w:val="en-US" w:eastAsia="zh-CN" w:bidi="ar"/>
                </w:rPr>
                <w:t>2</w:t>
              </w:r>
            </w:ins>
          </w:p>
        </w:tc>
        <w:tc>
          <w:tcPr>
            <w:tcW w:w="1005" w:type="dxa"/>
            <w:vMerge w:val="restart"/>
            <w:tcBorders>
              <w:tl2br w:val="nil"/>
              <w:tr2bl w:val="nil"/>
            </w:tcBorders>
            <w:shd w:val="clear" w:color="auto" w:fill="auto"/>
            <w:tcMar>
              <w:top w:w="15" w:type="dxa"/>
              <w:left w:w="15" w:type="dxa"/>
              <w:right w:w="15" w:type="dxa"/>
            </w:tcMar>
            <w:vAlign w:val="center"/>
          </w:tcPr>
          <w:p w14:paraId="13FD75D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煤矿重大事故隐患排查治理情况未按照规定报告，逾期未改正的</w:t>
            </w:r>
          </w:p>
        </w:tc>
        <w:tc>
          <w:tcPr>
            <w:tcW w:w="3667" w:type="dxa"/>
            <w:vMerge w:val="restart"/>
            <w:tcBorders>
              <w:tl2br w:val="nil"/>
              <w:tr2bl w:val="nil"/>
            </w:tcBorders>
            <w:shd w:val="clear" w:color="auto" w:fill="auto"/>
            <w:tcMar>
              <w:top w:w="15" w:type="dxa"/>
              <w:left w:w="15" w:type="dxa"/>
              <w:right w:w="15" w:type="dxa"/>
            </w:tcMar>
            <w:vAlign w:val="center"/>
          </w:tcPr>
          <w:p w14:paraId="75D63DC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《安全生产法》第四十一条第二款 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w:t>
            </w:r>
          </w:p>
        </w:tc>
        <w:tc>
          <w:tcPr>
            <w:tcW w:w="4082" w:type="dxa"/>
            <w:vMerge w:val="restart"/>
            <w:tcBorders>
              <w:tl2br w:val="nil"/>
              <w:tr2bl w:val="nil"/>
            </w:tcBorders>
            <w:shd w:val="clear" w:color="auto" w:fill="auto"/>
            <w:tcMar>
              <w:top w:w="15" w:type="dxa"/>
              <w:left w:w="15" w:type="dxa"/>
              <w:right w:w="15" w:type="dxa"/>
            </w:tcMar>
            <w:vAlign w:val="center"/>
          </w:tcPr>
          <w:p w14:paraId="5CFD11B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《安全生产法》第一百零一条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五）未建立事故隐患排查治理制度，或者重大事故隐患排查治理情况未按照规定报告的。</w:t>
            </w:r>
          </w:p>
        </w:tc>
        <w:tc>
          <w:tcPr>
            <w:tcW w:w="459" w:type="dxa"/>
            <w:tcBorders>
              <w:tl2br w:val="nil"/>
              <w:tr2bl w:val="nil"/>
            </w:tcBorders>
            <w:shd w:val="clear" w:color="auto" w:fill="auto"/>
            <w:noWrap/>
            <w:tcMar>
              <w:top w:w="15" w:type="dxa"/>
              <w:left w:w="15" w:type="dxa"/>
              <w:right w:w="15" w:type="dxa"/>
            </w:tcMar>
            <w:vAlign w:val="center"/>
          </w:tcPr>
          <w:p w14:paraId="35CC9B9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0D9C71C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558BA79D">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8A9A5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91D80D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EF6168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A72897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405E15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645B06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0F35DCB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265252D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9FDFA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CFDED3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14F827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829B8A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18C017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2BA8F9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5A42E39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803DAD4">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0A7E5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241726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3DB55D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33D1FA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BA8EF9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082DB5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3D13A0B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迟报重大事故隐患排查治理情况的，逾期未改正。或者超过责令改正期限10日以下的</w:t>
            </w:r>
          </w:p>
        </w:tc>
        <w:tc>
          <w:tcPr>
            <w:tcW w:w="2655" w:type="dxa"/>
            <w:tcBorders>
              <w:tl2br w:val="nil"/>
              <w:tr2bl w:val="nil"/>
            </w:tcBorders>
            <w:shd w:val="clear" w:color="auto" w:fill="auto"/>
            <w:tcMar>
              <w:top w:w="15" w:type="dxa"/>
              <w:left w:w="15" w:type="dxa"/>
              <w:right w:w="15" w:type="dxa"/>
            </w:tcMar>
            <w:vAlign w:val="center"/>
          </w:tcPr>
          <w:p w14:paraId="7C23DC6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责令停产整顿；对煤矿处10万元以上13万元以下的罚款，对其直接负责的主管人员和其他直接责任人员处2万元以上3万元以下的罚款。</w:t>
            </w:r>
          </w:p>
        </w:tc>
      </w:tr>
      <w:tr w14:paraId="30D19E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128CBB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491A3D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A821C3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BC3F87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CE0B74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3E5F946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漏报重大事故隐患排查治理情况的，逾期未改正。或者超过责令改正期限10日以上20日以下的。</w:t>
            </w:r>
          </w:p>
        </w:tc>
        <w:tc>
          <w:tcPr>
            <w:tcW w:w="2655" w:type="dxa"/>
            <w:tcBorders>
              <w:tl2br w:val="nil"/>
              <w:tr2bl w:val="nil"/>
            </w:tcBorders>
            <w:shd w:val="clear" w:color="auto" w:fill="auto"/>
            <w:tcMar>
              <w:top w:w="15" w:type="dxa"/>
              <w:left w:w="15" w:type="dxa"/>
              <w:right w:w="15" w:type="dxa"/>
            </w:tcMar>
            <w:vAlign w:val="center"/>
          </w:tcPr>
          <w:p w14:paraId="13AACC3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责令停产整顿；对煤矿处13万元以上17万元以下的罚款，对其直接负责的主管人员和其他直接责任人员处3万元以上4万元以下的罚款。</w:t>
            </w:r>
          </w:p>
        </w:tc>
      </w:tr>
      <w:tr w14:paraId="261B5D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0CE89A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1905E9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B61484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78442F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8CD4C9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2059533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谎报或者不报重大事故隐患排查治理情况的，逾期未改正。或者超过责令改正期限20日以上的。</w:t>
            </w:r>
          </w:p>
        </w:tc>
        <w:tc>
          <w:tcPr>
            <w:tcW w:w="2655" w:type="dxa"/>
            <w:tcBorders>
              <w:tl2br w:val="nil"/>
              <w:tr2bl w:val="nil"/>
            </w:tcBorders>
            <w:shd w:val="clear" w:color="auto" w:fill="auto"/>
            <w:tcMar>
              <w:top w:w="15" w:type="dxa"/>
              <w:left w:w="15" w:type="dxa"/>
              <w:right w:w="15" w:type="dxa"/>
            </w:tcMar>
            <w:vAlign w:val="center"/>
          </w:tcPr>
          <w:p w14:paraId="36E63BC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责令停产整顿；对煤矿处17万元以上20万元以下的罚款，对其直接负责的主管人员和其他直接责任人员处4万元以上5万元以下的罚款。</w:t>
            </w:r>
          </w:p>
        </w:tc>
      </w:tr>
      <w:tr w14:paraId="101694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2"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1CD80CA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z w:val="18"/>
                <w:szCs w:val="18"/>
                <w:lang w:eastAsia="zh-CN"/>
              </w:rPr>
            </w:pPr>
            <w:r>
              <w:rPr>
                <w:rFonts w:hint="eastAsia" w:ascii="仿宋_GB2312" w:hAnsi="宋体" w:eastAsia="仿宋_GB2312" w:cs="仿宋_GB2312"/>
                <w:kern w:val="0"/>
                <w:sz w:val="18"/>
                <w:szCs w:val="18"/>
                <w:lang w:bidi="ar"/>
              </w:rPr>
              <w:t>3</w:t>
            </w:r>
            <w:del w:id="1388" w:author="LV" w:date="2026-07-14T16:18:13Z">
              <w:r>
                <w:rPr>
                  <w:rFonts w:hint="default" w:ascii="仿宋_GB2312" w:hAnsi="宋体" w:eastAsia="仿宋_GB2312" w:cs="仿宋_GB2312"/>
                  <w:kern w:val="0"/>
                  <w:sz w:val="18"/>
                  <w:szCs w:val="18"/>
                  <w:lang w:val="en-US" w:eastAsia="zh-CN" w:bidi="ar"/>
                </w:rPr>
                <w:delText>1</w:delText>
              </w:r>
            </w:del>
            <w:ins w:id="1389" w:author="LV" w:date="2026-07-14T16:18:13Z">
              <w:r>
                <w:rPr>
                  <w:rFonts w:hint="eastAsia" w:ascii="仿宋_GB2312" w:hAnsi="宋体" w:eastAsia="仿宋_GB2312" w:cs="仿宋_GB2312"/>
                  <w:kern w:val="0"/>
                  <w:sz w:val="18"/>
                  <w:szCs w:val="18"/>
                  <w:lang w:val="en-US" w:eastAsia="zh-CN" w:bidi="ar"/>
                </w:rPr>
                <w:t>3</w:t>
              </w:r>
            </w:ins>
          </w:p>
        </w:tc>
        <w:tc>
          <w:tcPr>
            <w:tcW w:w="1005" w:type="dxa"/>
            <w:vMerge w:val="restart"/>
            <w:tcBorders>
              <w:tl2br w:val="nil"/>
              <w:tr2bl w:val="nil"/>
            </w:tcBorders>
            <w:shd w:val="clear" w:color="auto" w:fill="auto"/>
            <w:tcMar>
              <w:top w:w="15" w:type="dxa"/>
              <w:left w:w="15" w:type="dxa"/>
              <w:right w:w="15" w:type="dxa"/>
            </w:tcMar>
            <w:vAlign w:val="center"/>
          </w:tcPr>
          <w:p w14:paraId="3A060C2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煤矿未采取措施消除事故隐患的</w:t>
            </w:r>
          </w:p>
        </w:tc>
        <w:tc>
          <w:tcPr>
            <w:tcW w:w="3667" w:type="dxa"/>
            <w:vMerge w:val="restart"/>
            <w:tcBorders>
              <w:tl2br w:val="nil"/>
              <w:tr2bl w:val="nil"/>
            </w:tcBorders>
            <w:shd w:val="clear" w:color="auto" w:fill="auto"/>
            <w:tcMar>
              <w:top w:w="15" w:type="dxa"/>
              <w:left w:w="15" w:type="dxa"/>
              <w:right w:w="15" w:type="dxa"/>
            </w:tcMar>
            <w:vAlign w:val="center"/>
          </w:tcPr>
          <w:p w14:paraId="6529D23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《安全生产法》第四十一条第二款 生产经营单位应当建立健全并落实生产安全事故隐患排查治理制度，采取技术、管理措施，及时发现并消除事故隐患。</w:t>
            </w:r>
          </w:p>
          <w:p w14:paraId="70B2462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《山东省生产安全事故隐患排查治理办法》</w:t>
            </w:r>
          </w:p>
          <w:p w14:paraId="3550B7D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第十六条 生产经营单位从业人员发现事故隐患的，应当立即报告现场负责人或者本单位负责人，接到报告的人员应当及时予以处理；发现直接危及人身安全的紧急情况时，从业人员有权停止作业或者采取可能的应急措施后撤离作业场所。</w:t>
            </w:r>
          </w:p>
          <w:p w14:paraId="7FECA85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第十七条 生产经营单位对发现的事故隐患，应当及时采取技术、管理措施予以消除。对不能及时消除的重大事故隐患，生产经营单位应当采取下列治理措施：（一）根据需要停止使用相关设施、设备，局部或者全部停产停业；（二）组织开展现状风险评估，并向从业人员公示重大事故隐患的危害程度、影响范围和应急措施；（三）根据风险评估情况制定治理方案；（四）组织落实治理方案，消除事故隐患；（五）组织复查验收。</w:t>
            </w:r>
          </w:p>
          <w:p w14:paraId="0D77FE5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第十八条 生产经营单位在事故隐患排查治理过程中，应当采取必要的安全防范措施，防止事故发生。事故隐患排除前或者排除过程中无法保证安全的，应当从危险区域内撤出作业人员，疏散可能危及的人员，设置安全警示标志。必要时，应当安排人员值守。</w:t>
            </w:r>
          </w:p>
          <w:p w14:paraId="0762DD0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第十九条 对于因自然灾害可能引发的事故隐患，生产经营单位应当按照有关法律、法规、规章、标准的要求进行排查治理，采取可靠的预防措施。生产经营单位在接到有关自然灾害预报时，应当及时发出预警通知；发生自然灾害可能危及生产经营单位和人员安全的情况时，应当采取停止作业、撤离人员、加强监测等安全措施，并及时向所在地人民政府及其有关部门报告。</w:t>
            </w:r>
          </w:p>
        </w:tc>
        <w:tc>
          <w:tcPr>
            <w:tcW w:w="4082" w:type="dxa"/>
            <w:vMerge w:val="restart"/>
            <w:tcBorders>
              <w:tl2br w:val="nil"/>
              <w:tr2bl w:val="nil"/>
            </w:tcBorders>
            <w:shd w:val="clear" w:color="auto" w:fill="auto"/>
            <w:tcMar>
              <w:top w:w="15" w:type="dxa"/>
              <w:left w:w="15" w:type="dxa"/>
              <w:right w:w="15" w:type="dxa"/>
            </w:tcMar>
            <w:vAlign w:val="center"/>
          </w:tcPr>
          <w:p w14:paraId="785295F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bidi="ar"/>
              </w:rPr>
              <w:t>《安全生产法》第一百零二条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p w14:paraId="79F08C5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kern w:val="0"/>
                <w:sz w:val="18"/>
                <w:szCs w:val="18"/>
                <w:lang w:bidi="ar"/>
              </w:rPr>
              <w:t>《山东省生产安全事故隐患排查治理办法》第三十七条 违反本办法，生产经营单位未采取措施消除事故隐患的，责令立即消除或者限期消除，处2万元以上5万元以下的罚款；生产经营单位拒不执行的，责令停产停业整顿，对其直接负责的主管人员和其他直接责任人员处5万元以上10万元以下的罚款；构成犯罪的，依法追究刑事责任。</w:t>
            </w:r>
          </w:p>
        </w:tc>
        <w:tc>
          <w:tcPr>
            <w:tcW w:w="459" w:type="dxa"/>
            <w:tcBorders>
              <w:tl2br w:val="nil"/>
              <w:tr2bl w:val="nil"/>
            </w:tcBorders>
            <w:shd w:val="clear" w:color="auto" w:fill="auto"/>
            <w:noWrap/>
            <w:tcMar>
              <w:top w:w="15" w:type="dxa"/>
              <w:left w:w="15" w:type="dxa"/>
              <w:right w:w="15" w:type="dxa"/>
            </w:tcMar>
            <w:vAlign w:val="center"/>
          </w:tcPr>
          <w:p w14:paraId="024725F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489FAF9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1487A88D">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608858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2"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2A6164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994759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625E8D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8122BD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5B278A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62AB41B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68D6684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5A2594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2"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BA47F3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CBA739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8B6C9F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27AEC7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94CD7D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3ADD6EC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8E6607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67F223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1"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F7D55D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28E2F8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084C2B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882115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CE3370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29BA6A7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sz w:val="18"/>
                <w:szCs w:val="18"/>
                <w:lang w:eastAsia="zh-CN"/>
              </w:rPr>
            </w:pPr>
            <w:r>
              <w:rPr>
                <w:rFonts w:hint="eastAsia" w:ascii="仿宋_GB2312" w:hAnsi="宋体" w:eastAsia="仿宋_GB2312" w:cs="仿宋_GB2312"/>
                <w:color w:val="auto"/>
                <w:kern w:val="0"/>
                <w:sz w:val="18"/>
                <w:szCs w:val="18"/>
                <w:lang w:bidi="ar"/>
              </w:rPr>
              <w:t>1处未采取措施消除事故隐患的</w:t>
            </w:r>
            <w:r>
              <w:rPr>
                <w:rFonts w:hint="eastAsia" w:ascii="仿宋_GB2312" w:hAnsi="宋体" w:eastAsia="仿宋_GB2312" w:cs="仿宋_GB2312"/>
                <w:color w:val="auto"/>
                <w:kern w:val="0"/>
                <w:sz w:val="18"/>
                <w:szCs w:val="18"/>
                <w:lang w:eastAsia="zh-CN" w:bidi="ar"/>
              </w:rPr>
              <w:t>。</w:t>
            </w:r>
          </w:p>
        </w:tc>
        <w:tc>
          <w:tcPr>
            <w:tcW w:w="2655" w:type="dxa"/>
            <w:tcBorders>
              <w:tl2br w:val="nil"/>
              <w:tr2bl w:val="nil"/>
            </w:tcBorders>
            <w:shd w:val="clear" w:color="auto" w:fill="auto"/>
            <w:tcMar>
              <w:top w:w="15" w:type="dxa"/>
              <w:left w:w="15" w:type="dxa"/>
              <w:right w:w="15" w:type="dxa"/>
            </w:tcMar>
            <w:vAlign w:val="center"/>
          </w:tcPr>
          <w:p w14:paraId="564B791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处2万元以下的罚款。</w:t>
            </w:r>
          </w:p>
        </w:tc>
      </w:tr>
      <w:tr w14:paraId="1104FF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1"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D6896F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1B3C11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F79181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A71F3D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ADE86F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448B0CA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sz w:val="18"/>
                <w:szCs w:val="18"/>
                <w:lang w:eastAsia="zh-CN"/>
              </w:rPr>
            </w:pPr>
            <w:r>
              <w:rPr>
                <w:rFonts w:hint="eastAsia" w:ascii="仿宋_GB2312" w:hAnsi="宋体" w:eastAsia="仿宋_GB2312" w:cs="仿宋_GB2312"/>
                <w:color w:val="auto"/>
                <w:kern w:val="0"/>
                <w:sz w:val="18"/>
                <w:szCs w:val="18"/>
                <w:lang w:bidi="ar"/>
              </w:rPr>
              <w:t>2处未采取措施消除事故隐患的</w:t>
            </w:r>
            <w:r>
              <w:rPr>
                <w:rFonts w:hint="eastAsia" w:ascii="仿宋_GB2312" w:hAnsi="宋体" w:eastAsia="仿宋_GB2312" w:cs="仿宋_GB2312"/>
                <w:color w:val="auto"/>
                <w:kern w:val="0"/>
                <w:sz w:val="18"/>
                <w:szCs w:val="18"/>
                <w:lang w:eastAsia="zh-CN" w:bidi="ar"/>
              </w:rPr>
              <w:t>。</w:t>
            </w:r>
          </w:p>
        </w:tc>
        <w:tc>
          <w:tcPr>
            <w:tcW w:w="2655" w:type="dxa"/>
            <w:tcBorders>
              <w:tl2br w:val="nil"/>
              <w:tr2bl w:val="nil"/>
            </w:tcBorders>
            <w:shd w:val="clear" w:color="auto" w:fill="auto"/>
            <w:tcMar>
              <w:top w:w="15" w:type="dxa"/>
              <w:left w:w="15" w:type="dxa"/>
              <w:right w:w="15" w:type="dxa"/>
            </w:tcMar>
            <w:vAlign w:val="center"/>
          </w:tcPr>
          <w:p w14:paraId="6B6D192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处2万元以上4万元以下的罚款。</w:t>
            </w:r>
          </w:p>
        </w:tc>
      </w:tr>
      <w:tr w14:paraId="1BA6B3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1"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B43C2C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F35C2A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F2335D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392B47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24D53E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3999EAD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sz w:val="18"/>
                <w:szCs w:val="18"/>
                <w:lang w:eastAsia="zh-CN"/>
              </w:rPr>
            </w:pPr>
            <w:r>
              <w:rPr>
                <w:rFonts w:hint="eastAsia" w:ascii="仿宋_GB2312" w:hAnsi="宋体" w:eastAsia="仿宋_GB2312" w:cs="仿宋_GB2312"/>
                <w:color w:val="auto"/>
                <w:kern w:val="0"/>
                <w:sz w:val="18"/>
                <w:szCs w:val="18"/>
                <w:lang w:bidi="ar"/>
              </w:rPr>
              <w:t>3处及以上未采取措施消除事故隐患的</w:t>
            </w:r>
            <w:r>
              <w:rPr>
                <w:rFonts w:hint="eastAsia" w:ascii="仿宋_GB2312" w:hAnsi="宋体" w:eastAsia="仿宋_GB2312" w:cs="仿宋_GB2312"/>
                <w:color w:val="auto"/>
                <w:kern w:val="0"/>
                <w:sz w:val="18"/>
                <w:szCs w:val="18"/>
                <w:lang w:eastAsia="zh-CN" w:bidi="ar"/>
              </w:rPr>
              <w:t>。</w:t>
            </w:r>
          </w:p>
        </w:tc>
        <w:tc>
          <w:tcPr>
            <w:tcW w:w="2655" w:type="dxa"/>
            <w:tcBorders>
              <w:tl2br w:val="nil"/>
              <w:tr2bl w:val="nil"/>
            </w:tcBorders>
            <w:shd w:val="clear" w:color="auto" w:fill="auto"/>
            <w:tcMar>
              <w:top w:w="15" w:type="dxa"/>
              <w:left w:w="15" w:type="dxa"/>
              <w:right w:w="15" w:type="dxa"/>
            </w:tcMar>
            <w:vAlign w:val="center"/>
          </w:tcPr>
          <w:p w14:paraId="7136F69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处4万元以上5万元以下的罚款。</w:t>
            </w:r>
          </w:p>
        </w:tc>
      </w:tr>
      <w:tr w14:paraId="4D299F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3974251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z w:val="18"/>
                <w:szCs w:val="18"/>
                <w:lang w:eastAsia="zh-CN"/>
              </w:rPr>
            </w:pPr>
            <w:r>
              <w:rPr>
                <w:rFonts w:hint="eastAsia" w:ascii="仿宋_GB2312" w:hAnsi="宋体" w:eastAsia="仿宋_GB2312" w:cs="仿宋_GB2312"/>
                <w:kern w:val="0"/>
                <w:sz w:val="18"/>
                <w:szCs w:val="18"/>
                <w:lang w:bidi="ar"/>
              </w:rPr>
              <w:t>3</w:t>
            </w:r>
            <w:del w:id="1390" w:author="LV" w:date="2026-07-14T16:18:27Z">
              <w:r>
                <w:rPr>
                  <w:rFonts w:hint="default" w:ascii="仿宋_GB2312" w:hAnsi="宋体" w:eastAsia="仿宋_GB2312" w:cs="仿宋_GB2312"/>
                  <w:kern w:val="0"/>
                  <w:sz w:val="18"/>
                  <w:szCs w:val="18"/>
                  <w:lang w:val="en-US" w:eastAsia="zh-CN" w:bidi="ar"/>
                </w:rPr>
                <w:delText>2</w:delText>
              </w:r>
            </w:del>
            <w:ins w:id="1391" w:author="LV" w:date="2026-07-14T16:18:27Z">
              <w:r>
                <w:rPr>
                  <w:rFonts w:hint="eastAsia" w:ascii="仿宋_GB2312" w:hAnsi="宋体" w:eastAsia="仿宋_GB2312" w:cs="仿宋_GB2312"/>
                  <w:kern w:val="0"/>
                  <w:sz w:val="18"/>
                  <w:szCs w:val="18"/>
                  <w:lang w:val="en-US" w:eastAsia="zh-CN" w:bidi="ar"/>
                </w:rPr>
                <w:t>4</w:t>
              </w:r>
            </w:ins>
          </w:p>
        </w:tc>
        <w:tc>
          <w:tcPr>
            <w:tcW w:w="1005" w:type="dxa"/>
            <w:vMerge w:val="restart"/>
            <w:tcBorders>
              <w:tl2br w:val="nil"/>
              <w:tr2bl w:val="nil"/>
            </w:tcBorders>
            <w:shd w:val="clear" w:color="auto" w:fill="auto"/>
            <w:tcMar>
              <w:top w:w="15" w:type="dxa"/>
              <w:left w:w="15" w:type="dxa"/>
              <w:right w:w="15" w:type="dxa"/>
            </w:tcMar>
            <w:vAlign w:val="center"/>
          </w:tcPr>
          <w:p w14:paraId="68B97BB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煤矿拒不执行立即消除或者限期消除事故隐患</w:t>
            </w:r>
            <w:r>
              <w:rPr>
                <w:rFonts w:hint="eastAsia" w:ascii="仿宋_GB2312" w:hAnsi="宋体" w:eastAsia="仿宋_GB2312" w:cs="仿宋_GB2312"/>
                <w:kern w:val="0"/>
                <w:sz w:val="18"/>
                <w:szCs w:val="18"/>
                <w:lang w:eastAsia="zh-CN" w:bidi="ar"/>
              </w:rPr>
              <w:t>的</w:t>
            </w:r>
            <w:r>
              <w:rPr>
                <w:rFonts w:hint="eastAsia" w:ascii="仿宋_GB2312" w:hAnsi="宋体" w:eastAsia="仿宋_GB2312" w:cs="仿宋_GB2312"/>
                <w:kern w:val="0"/>
                <w:sz w:val="18"/>
                <w:szCs w:val="18"/>
                <w:lang w:bidi="ar"/>
              </w:rPr>
              <w:t>指令的</w:t>
            </w:r>
          </w:p>
        </w:tc>
        <w:tc>
          <w:tcPr>
            <w:tcW w:w="3667" w:type="dxa"/>
            <w:vMerge w:val="restart"/>
            <w:tcBorders>
              <w:tl2br w:val="nil"/>
              <w:tr2bl w:val="nil"/>
            </w:tcBorders>
            <w:shd w:val="clear" w:color="auto" w:fill="auto"/>
            <w:tcMar>
              <w:top w:w="15" w:type="dxa"/>
              <w:left w:w="15" w:type="dxa"/>
              <w:right w:w="15" w:type="dxa"/>
            </w:tcMar>
            <w:vAlign w:val="center"/>
          </w:tcPr>
          <w:p w14:paraId="3CA0A68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《安全生产法》第六十五条 应急管理部门和其他负有安全生产监督管理职责的部门依法开展安全生产行政执法工作，对生产经营单位执行有关安全生产的法律、法规和国家标准或者行业标准的情况进行监督检查，行使以下职权：（三）对检查中发现的事故隐患，应当责令立即排除；重大事故隐患排除前或者排除过程中无法保证安全的，应当责令从危险区域内撤出作业人员，责令暂时停产停业或者停止使用相关设施、设备；重大事故隐患排除后，经审查同意，方可恢复生产经营和使用。</w:t>
            </w:r>
          </w:p>
          <w:p w14:paraId="161CC19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《山东省生产安全事故隐患排查治理办法》</w:t>
            </w:r>
          </w:p>
          <w:p w14:paraId="1E62D52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第十六条 生产经营单位从业人员发现事故隐患的，应当立即报告现场负责人或者本单位负责人，接到报告的人员应当及时予以处理；发现直接危及人身安全的紧急情况时，从业人员有权停止作业或者采取可能的应急措施后撤离作业场所。</w:t>
            </w:r>
          </w:p>
          <w:p w14:paraId="72D15A8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第十七条 生产经营单位对发现的事故隐患，应当及时采取技术、管理措施予以消除。对不能及时消除的重大事故隐患，生产经营单位应当采取下列治理措施：（一）根据需要停止使用相关设施、设备，局部或者全部停产停业；（二）组织开展现状风险评估，并向从业人员公示重大事故隐患的危害程度、影响范围和应急措施；（三）根据风险评估情况制定治理方案；（四）组织落实治理方案，消除事故隐患；（五）组织复查验收。</w:t>
            </w:r>
          </w:p>
          <w:p w14:paraId="10CCE70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第十八条 生产经营单位在事故隐患排查治理过程中，应当采取必要的安全防范措施，防止事故发生。事故隐患排除前或者排除过程中无法保证安全的，应当从危险区域内撤出作业人员，疏散可能危及的人员，设置安全警示标志。必要时，应当安排人员值守。</w:t>
            </w:r>
          </w:p>
          <w:p w14:paraId="3EE0EFF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第十九条 对于因自然灾害可能引发的事故隐患，生产经营单位应当按照有关法律、法规、规章、标准的要求进行排查治理，采取可靠的预防措施。生产经营单位在接到有关自然灾害预报时，应当及时发出预警通知；发生自然灾害可能危及生产经营单位和人员安全的情况时，应当采取停止作业、撤离人员、加强监测等安全措施，并及时向所在地人民政府及其有关部门报告。</w:t>
            </w:r>
          </w:p>
        </w:tc>
        <w:tc>
          <w:tcPr>
            <w:tcW w:w="4082" w:type="dxa"/>
            <w:vMerge w:val="restart"/>
            <w:tcBorders>
              <w:tl2br w:val="nil"/>
              <w:tr2bl w:val="nil"/>
            </w:tcBorders>
            <w:shd w:val="clear" w:color="auto" w:fill="auto"/>
            <w:tcMar>
              <w:top w:w="15" w:type="dxa"/>
              <w:left w:w="15" w:type="dxa"/>
              <w:right w:w="15" w:type="dxa"/>
            </w:tcMar>
            <w:vAlign w:val="center"/>
          </w:tcPr>
          <w:p w14:paraId="7DF89FB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宋体" w:eastAsia="仿宋_GB2312" w:cs="仿宋_GB2312"/>
                <w:kern w:val="0"/>
                <w:sz w:val="18"/>
                <w:szCs w:val="18"/>
                <w:highlight w:val="none"/>
                <w:lang w:bidi="ar"/>
              </w:rPr>
            </w:pPr>
            <w:r>
              <w:rPr>
                <w:rFonts w:hint="eastAsia" w:ascii="仿宋_GB2312" w:hAnsi="宋体" w:eastAsia="仿宋_GB2312" w:cs="仿宋_GB2312"/>
                <w:kern w:val="0"/>
                <w:sz w:val="18"/>
                <w:szCs w:val="18"/>
                <w:lang w:bidi="ar"/>
              </w:rPr>
              <w:t>《安全生产法》第一百零二条 生产经营单位未采取措施消除事故隐患的，责令立即</w:t>
            </w:r>
            <w:r>
              <w:rPr>
                <w:rFonts w:hint="eastAsia" w:ascii="仿宋_GB2312" w:hAnsi="宋体" w:eastAsia="仿宋_GB2312" w:cs="仿宋_GB2312"/>
                <w:kern w:val="0"/>
                <w:sz w:val="18"/>
                <w:szCs w:val="18"/>
                <w:highlight w:val="none"/>
                <w:lang w:bidi="ar"/>
              </w:rPr>
              <w:t>消除或者限期消除，处五万元以下的罚款；生产经营单位拒不执行的，责令停产停业整顿，对其直接负责的主管人员和其他直接责任人员处五万元以上十万元以下的罚款；构成犯罪的，依照刑法有关规定追究刑事责任。</w:t>
            </w:r>
          </w:p>
          <w:p w14:paraId="690EC7D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w:t>
            </w:r>
            <w:r>
              <w:rPr>
                <w:rFonts w:hint="eastAsia" w:ascii="仿宋_GB2312" w:hAnsi="宋体" w:eastAsia="仿宋_GB2312" w:cs="仿宋_GB2312"/>
                <w:kern w:val="0"/>
                <w:sz w:val="18"/>
                <w:szCs w:val="18"/>
                <w:highlight w:val="none"/>
                <w:lang w:bidi="ar"/>
              </w:rPr>
              <w:t>第一百一十二条 生产经营单位违反本法规定，被责令改正且受到罚款处罚，拒不改正的，负有安全生产监督管理职责的部门可以自作出责令改正之日的次日起，按照原处罚数额按日连续</w:t>
            </w:r>
            <w:r>
              <w:rPr>
                <w:rFonts w:hint="eastAsia" w:ascii="仿宋_GB2312" w:hAnsi="宋体" w:eastAsia="仿宋_GB2312" w:cs="仿宋_GB2312"/>
                <w:kern w:val="0"/>
                <w:sz w:val="18"/>
                <w:szCs w:val="18"/>
                <w:lang w:bidi="ar"/>
              </w:rPr>
              <w:t>处罚。</w:t>
            </w:r>
          </w:p>
          <w:p w14:paraId="42E70CD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《山东省生产安全事故隐患排查治理办法》第三十七条 违反本办法，生产经营单位未采取措施消除事故隐患的，责令立即消除或者限期消除，处2万元以上5万元以下的罚款；生产经营单位拒不执行的，责令停产停业整顿，对其直接负责的主管人员和其他直接责任人员处5万元以上10万元以下的罚款；构成犯罪的，依法追究刑事责任。</w:t>
            </w:r>
          </w:p>
        </w:tc>
        <w:tc>
          <w:tcPr>
            <w:tcW w:w="459" w:type="dxa"/>
            <w:tcBorders>
              <w:tl2br w:val="nil"/>
              <w:tr2bl w:val="nil"/>
            </w:tcBorders>
            <w:shd w:val="clear" w:color="auto" w:fill="auto"/>
            <w:noWrap/>
            <w:tcMar>
              <w:top w:w="15" w:type="dxa"/>
              <w:left w:w="15" w:type="dxa"/>
              <w:right w:w="15" w:type="dxa"/>
            </w:tcMar>
            <w:vAlign w:val="center"/>
          </w:tcPr>
          <w:p w14:paraId="059B87E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77CABC3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71B84A0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04AA9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5BB10E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302C57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FF2A5E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4F977C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F14134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1B53315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3B97F626">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F27BE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1BCAA9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F6CDDA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0929AB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55D695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F330FA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70A3D77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C9EB69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F1B2C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66E1E1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85F4B3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40FAF8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BB763A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1BF3AF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57E5C3A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拒不消除1条一般事故隐患。</w:t>
            </w:r>
          </w:p>
        </w:tc>
        <w:tc>
          <w:tcPr>
            <w:tcW w:w="2655" w:type="dxa"/>
            <w:tcBorders>
              <w:tl2br w:val="nil"/>
              <w:tr2bl w:val="nil"/>
            </w:tcBorders>
            <w:shd w:val="clear" w:color="auto" w:fill="auto"/>
            <w:tcMar>
              <w:top w:w="15" w:type="dxa"/>
              <w:left w:w="15" w:type="dxa"/>
              <w:right w:w="15" w:type="dxa"/>
            </w:tcMar>
            <w:vAlign w:val="center"/>
          </w:tcPr>
          <w:p w14:paraId="7FB3230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责令停产停业整顿，同时对煤矿自作出责令改正之日的次日起，按照原处罚数额按日连续处罚；对直接负责的主管人员和其他直接责任人员处5万元以上7万元以下的罚款。</w:t>
            </w:r>
          </w:p>
        </w:tc>
      </w:tr>
      <w:tr w14:paraId="31EA27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5F4901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FB7DC4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6A3614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EC4422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AFC703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0F5864C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拒不消除2条一般事故隐患。</w:t>
            </w:r>
          </w:p>
        </w:tc>
        <w:tc>
          <w:tcPr>
            <w:tcW w:w="2655" w:type="dxa"/>
            <w:tcBorders>
              <w:tl2br w:val="nil"/>
              <w:tr2bl w:val="nil"/>
            </w:tcBorders>
            <w:shd w:val="clear" w:color="auto" w:fill="auto"/>
            <w:tcMar>
              <w:top w:w="15" w:type="dxa"/>
              <w:left w:w="15" w:type="dxa"/>
              <w:right w:w="15" w:type="dxa"/>
            </w:tcMar>
            <w:vAlign w:val="center"/>
          </w:tcPr>
          <w:p w14:paraId="7C48FFD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责令停产停业整顿，同时对煤矿自作出责令改正之日的次日起，按照原处罚数额按日连续处罚；对直接负责的主管人员和其他直接责任人员处7万元以上9万元以下的罚款。</w:t>
            </w:r>
          </w:p>
        </w:tc>
      </w:tr>
      <w:tr w14:paraId="51F56B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BE53C1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A87FC2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EA20DA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1214BC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886F63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61A9B56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拒不消除3条及以上一般事故隐患。</w:t>
            </w:r>
          </w:p>
        </w:tc>
        <w:tc>
          <w:tcPr>
            <w:tcW w:w="2655" w:type="dxa"/>
            <w:tcBorders>
              <w:tl2br w:val="nil"/>
              <w:tr2bl w:val="nil"/>
            </w:tcBorders>
            <w:shd w:val="clear" w:color="auto" w:fill="auto"/>
            <w:tcMar>
              <w:top w:w="15" w:type="dxa"/>
              <w:left w:w="15" w:type="dxa"/>
              <w:right w:w="15" w:type="dxa"/>
            </w:tcMar>
            <w:vAlign w:val="center"/>
          </w:tcPr>
          <w:p w14:paraId="0DC1EA5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责令停产停业整顿，同时对煤矿自作出责令改正之日的次日起，按照原处罚数额按日连续处罚；对直接负责的主管人员和其他直接责任人员处9万元以上10万元以下的罚款。</w:t>
            </w:r>
          </w:p>
        </w:tc>
      </w:tr>
      <w:tr w14:paraId="49D62E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617101C4">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center"/>
              <w:rPr>
                <w:rFonts w:hint="eastAsia" w:ascii="仿宋_GB2312" w:hAnsi="宋体" w:eastAsia="仿宋_GB2312" w:cs="仿宋_GB2312"/>
                <w:sz w:val="18"/>
                <w:szCs w:val="18"/>
                <w:lang w:eastAsia="zh-CN"/>
              </w:rPr>
            </w:pPr>
            <w:r>
              <w:rPr>
                <w:rFonts w:hint="eastAsia" w:ascii="仿宋_GB2312" w:hAnsi="宋体" w:eastAsia="仿宋_GB2312" w:cs="仿宋_GB2312"/>
                <w:kern w:val="0"/>
                <w:sz w:val="18"/>
                <w:szCs w:val="18"/>
                <w:lang w:bidi="ar"/>
              </w:rPr>
              <w:t>3</w:t>
            </w:r>
            <w:del w:id="1392" w:author="LV" w:date="2026-07-14T16:18:32Z">
              <w:r>
                <w:rPr>
                  <w:rFonts w:hint="default" w:ascii="仿宋_GB2312" w:hAnsi="宋体" w:eastAsia="仿宋_GB2312" w:cs="仿宋_GB2312"/>
                  <w:kern w:val="0"/>
                  <w:sz w:val="18"/>
                  <w:szCs w:val="18"/>
                  <w:lang w:val="en-US" w:bidi="ar"/>
                </w:rPr>
                <w:delText>3</w:delText>
              </w:r>
            </w:del>
            <w:ins w:id="1393" w:author="LV" w:date="2026-07-14T16:18:32Z">
              <w:r>
                <w:rPr>
                  <w:rFonts w:hint="eastAsia" w:ascii="仿宋_GB2312" w:hAnsi="宋体" w:eastAsia="仿宋_GB2312" w:cs="仿宋_GB2312"/>
                  <w:kern w:val="0"/>
                  <w:sz w:val="18"/>
                  <w:szCs w:val="18"/>
                  <w:lang w:val="en-US" w:eastAsia="zh-CN" w:bidi="ar"/>
                </w:rPr>
                <w:t>5</w:t>
              </w:r>
            </w:ins>
          </w:p>
        </w:tc>
        <w:tc>
          <w:tcPr>
            <w:tcW w:w="1005" w:type="dxa"/>
            <w:vMerge w:val="restart"/>
            <w:tcBorders>
              <w:tl2br w:val="nil"/>
              <w:tr2bl w:val="nil"/>
            </w:tcBorders>
            <w:shd w:val="clear" w:color="auto" w:fill="auto"/>
            <w:tcMar>
              <w:top w:w="15" w:type="dxa"/>
              <w:left w:w="15" w:type="dxa"/>
              <w:right w:w="15" w:type="dxa"/>
            </w:tcMar>
            <w:vAlign w:val="center"/>
          </w:tcPr>
          <w:p w14:paraId="287BF145">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煤矿超能力组织生产的</w:t>
            </w:r>
          </w:p>
        </w:tc>
        <w:tc>
          <w:tcPr>
            <w:tcW w:w="3667" w:type="dxa"/>
            <w:vMerge w:val="restart"/>
            <w:tcBorders>
              <w:tl2br w:val="nil"/>
              <w:tr2bl w:val="nil"/>
            </w:tcBorders>
            <w:shd w:val="clear" w:color="auto" w:fill="auto"/>
            <w:tcMar>
              <w:top w:w="15" w:type="dxa"/>
              <w:left w:w="15" w:type="dxa"/>
              <w:right w:w="15" w:type="dxa"/>
            </w:tcMar>
            <w:vAlign w:val="center"/>
          </w:tcPr>
          <w:p w14:paraId="08A92BD4">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 xml:space="preserve">《煤矿安全生产条例》第三十一条  煤矿企业不得超能力、超强度或者超定员组织生产。正常生产煤矿因地质、生产技术条件、采煤方法或者工艺等发生变化导致生产能力发生较大变化的，应当依法重新核定其生产能力。 </w:t>
            </w:r>
          </w:p>
          <w:p w14:paraId="22BDC233">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 xml:space="preserve">《煤矿安全生产条例》第三十六条  煤矿企业有下列情形之一的，属于重大事故隐患，应当立即停止受影响区域生产、建设，并及时消除事故隐患：（一）超能力、超强度或者超定员组织生产的； </w:t>
            </w:r>
          </w:p>
          <w:p w14:paraId="5CED2DC2">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《煤矿重大事故隐患判定标准》第四条</w:t>
            </w:r>
            <w:r>
              <w:rPr>
                <w:rFonts w:hint="eastAsia" w:ascii="仿宋_GB2312" w:hAnsi="宋体" w:eastAsia="仿宋_GB2312" w:cs="仿宋_GB2312"/>
                <w:kern w:val="0"/>
                <w:sz w:val="18"/>
                <w:szCs w:val="18"/>
                <w:lang w:val="en-US" w:eastAsia="zh-CN" w:bidi="ar"/>
              </w:rPr>
              <w:t>第一项</w:t>
            </w:r>
            <w:r>
              <w:rPr>
                <w:rFonts w:hint="eastAsia" w:ascii="仿宋_GB2312" w:hAnsi="宋体" w:eastAsia="仿宋_GB2312" w:cs="仿宋_GB2312"/>
                <w:kern w:val="0"/>
                <w:sz w:val="18"/>
                <w:szCs w:val="18"/>
                <w:lang w:bidi="ar"/>
              </w:rPr>
              <w:t xml:space="preserve">  “超能力、超强度或者超定员组织生产”重大事故隐患，是指有下列情形之一的：</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val="en-US" w:eastAsia="zh-CN" w:bidi="ar"/>
              </w:rPr>
              <w:t>一</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煤矿全年原煤产量超过煤矿核定(设计)生产能力的</w:t>
            </w:r>
            <w:r>
              <w:rPr>
                <w:rFonts w:hint="eastAsia" w:ascii="仿宋_GB2312" w:hAnsi="宋体" w:eastAsia="仿宋_GB2312" w:cs="仿宋_GB2312"/>
                <w:kern w:val="0"/>
                <w:sz w:val="18"/>
                <w:szCs w:val="18"/>
                <w:lang w:eastAsia="zh-CN" w:bidi="ar"/>
              </w:rPr>
              <w:t>1</w:t>
            </w:r>
            <w:r>
              <w:rPr>
                <w:rFonts w:hint="eastAsia" w:ascii="仿宋_GB2312" w:hAnsi="宋体" w:eastAsia="仿宋_GB2312" w:cs="仿宋_GB2312"/>
                <w:kern w:val="0"/>
                <w:sz w:val="18"/>
                <w:szCs w:val="18"/>
                <w:lang w:val="en-US" w:eastAsia="zh-CN" w:bidi="ar"/>
              </w:rPr>
              <w:t>10</w:t>
            </w:r>
            <w:r>
              <w:rPr>
                <w:rFonts w:hint="eastAsia" w:ascii="仿宋_GB2312" w:hAnsi="宋体" w:eastAsia="仿宋_GB2312" w:cs="仿宋_GB2312"/>
                <w:kern w:val="0"/>
                <w:sz w:val="18"/>
                <w:szCs w:val="18"/>
                <w:lang w:bidi="ar"/>
              </w:rPr>
              <w:t>％,或者井工煤矿季度原煤产量超过煤矿核定(设计)生产能力的</w:t>
            </w:r>
            <w:r>
              <w:rPr>
                <w:rFonts w:hint="eastAsia" w:ascii="仿宋_GB2312" w:hAnsi="宋体" w:eastAsia="仿宋_GB2312" w:cs="仿宋_GB2312"/>
                <w:kern w:val="0"/>
                <w:sz w:val="18"/>
                <w:szCs w:val="18"/>
                <w:lang w:eastAsia="zh-CN" w:bidi="ar"/>
              </w:rPr>
              <w:t>3</w:t>
            </w:r>
            <w:r>
              <w:rPr>
                <w:rFonts w:hint="eastAsia" w:ascii="仿宋_GB2312" w:hAnsi="宋体" w:eastAsia="仿宋_GB2312" w:cs="仿宋_GB2312"/>
                <w:kern w:val="0"/>
                <w:sz w:val="18"/>
                <w:szCs w:val="18"/>
                <w:lang w:val="en-US" w:eastAsia="zh-CN" w:bidi="ar"/>
              </w:rPr>
              <w:t>0</w:t>
            </w:r>
            <w:r>
              <w:rPr>
                <w:rFonts w:hint="eastAsia" w:ascii="仿宋_GB2312" w:hAnsi="宋体" w:eastAsia="仿宋_GB2312" w:cs="仿宋_GB2312"/>
                <w:kern w:val="0"/>
                <w:sz w:val="18"/>
                <w:szCs w:val="18"/>
                <w:lang w:bidi="ar"/>
              </w:rPr>
              <w:t>％</w:t>
            </w:r>
            <w:r>
              <w:rPr>
                <w:rFonts w:hint="eastAsia" w:ascii="仿宋_GB2312" w:hAnsi="宋体" w:eastAsia="仿宋_GB2312" w:cs="仿宋_GB2312"/>
                <w:kern w:val="0"/>
                <w:sz w:val="18"/>
                <w:szCs w:val="18"/>
                <w:lang w:eastAsia="zh-CN" w:bidi="ar"/>
              </w:rPr>
              <w:t>。</w:t>
            </w:r>
          </w:p>
        </w:tc>
        <w:tc>
          <w:tcPr>
            <w:tcW w:w="4082" w:type="dxa"/>
            <w:vMerge w:val="restart"/>
            <w:tcBorders>
              <w:tl2br w:val="nil"/>
              <w:tr2bl w:val="nil"/>
            </w:tcBorders>
            <w:shd w:val="clear" w:color="auto" w:fill="auto"/>
            <w:tcMar>
              <w:top w:w="15" w:type="dxa"/>
              <w:left w:w="15" w:type="dxa"/>
              <w:right w:w="15" w:type="dxa"/>
            </w:tcMar>
            <w:vAlign w:val="center"/>
          </w:tcPr>
          <w:p w14:paraId="39808A18">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《煤矿安全生产条例》第六十四条  对存在重大事故隐患仍然进行生产的煤矿企业，责令停产整顿，明确整顿的内容、时间等具体要求，并处50万元以上200万元以下的罚款；对煤矿企业主要负责人处3万元以上15万元以下的罚款。</w:t>
            </w:r>
          </w:p>
        </w:tc>
        <w:tc>
          <w:tcPr>
            <w:tcW w:w="459" w:type="dxa"/>
            <w:tcBorders>
              <w:tl2br w:val="nil"/>
              <w:tr2bl w:val="nil"/>
            </w:tcBorders>
            <w:shd w:val="clear" w:color="auto" w:fill="auto"/>
            <w:noWrap/>
            <w:tcMar>
              <w:top w:w="15" w:type="dxa"/>
              <w:left w:w="15" w:type="dxa"/>
              <w:right w:w="15" w:type="dxa"/>
            </w:tcMar>
            <w:vAlign w:val="center"/>
          </w:tcPr>
          <w:p w14:paraId="7A524A4D">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ascii="仿宋_GB2312" w:hAnsi="宋体" w:eastAsia="仿宋_GB2312" w:cs="仿宋_GB2312"/>
                <w:spacing w:val="-9"/>
                <w:w w:val="93"/>
                <w:sz w:val="18"/>
                <w:szCs w:val="18"/>
              </w:rPr>
            </w:pPr>
            <w:r>
              <w:rPr>
                <w:rFonts w:hint="eastAsia" w:ascii="仿宋_GB2312" w:hAnsi="宋体" w:eastAsia="仿宋_GB2312" w:cs="仿宋_GB2312"/>
                <w:spacing w:val="-9"/>
                <w:w w:val="93"/>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08A0BBD3">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spacing w:val="-9"/>
                <w:w w:val="93"/>
                <w:sz w:val="18"/>
                <w:szCs w:val="18"/>
              </w:rPr>
            </w:pPr>
            <w:r>
              <w:rPr>
                <w:rFonts w:hint="eastAsia" w:ascii="仿宋_GB2312" w:hAnsi="宋体" w:eastAsia="仿宋_GB2312" w:cs="仿宋_GB2312"/>
                <w:spacing w:val="-9"/>
                <w:w w:val="93"/>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08174435">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ascii="仿宋_GB2312" w:hAnsi="宋体" w:eastAsia="仿宋_GB2312" w:cs="仿宋_GB2312"/>
                <w:spacing w:val="-9"/>
                <w:w w:val="93"/>
                <w:sz w:val="18"/>
                <w:szCs w:val="18"/>
              </w:rPr>
            </w:pPr>
            <w:r>
              <w:rPr>
                <w:rFonts w:hint="eastAsia" w:ascii="仿宋_GB2312" w:hAnsi="宋体" w:eastAsia="仿宋_GB2312" w:cs="仿宋_GB2312"/>
                <w:spacing w:val="-9"/>
                <w:w w:val="93"/>
                <w:kern w:val="0"/>
                <w:sz w:val="18"/>
                <w:szCs w:val="18"/>
                <w:lang w:bidi="ar"/>
              </w:rPr>
              <w:t>无</w:t>
            </w:r>
          </w:p>
        </w:tc>
      </w:tr>
      <w:tr w14:paraId="602C9B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869ECF9">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EAB65C4">
            <w:pPr>
              <w:keepNext w:val="0"/>
              <w:keepLines w:val="0"/>
              <w:pageBreakBefore w:val="0"/>
              <w:widowControl w:val="0"/>
              <w:kinsoku/>
              <w:wordWrap/>
              <w:overflowPunct w:val="0"/>
              <w:topLinePunct w:val="0"/>
              <w:autoSpaceDE/>
              <w:autoSpaceDN/>
              <w:bidi w:val="0"/>
              <w:adjustRightInd/>
              <w:snapToGrid/>
              <w:spacing w:line="24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7738947">
            <w:pPr>
              <w:keepNext w:val="0"/>
              <w:keepLines w:val="0"/>
              <w:pageBreakBefore w:val="0"/>
              <w:widowControl w:val="0"/>
              <w:kinsoku/>
              <w:wordWrap/>
              <w:overflowPunct w:val="0"/>
              <w:topLinePunct w:val="0"/>
              <w:autoSpaceDE/>
              <w:autoSpaceDN/>
              <w:bidi w:val="0"/>
              <w:adjustRightInd/>
              <w:snapToGrid/>
              <w:spacing w:line="24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38309D2">
            <w:pPr>
              <w:keepNext w:val="0"/>
              <w:keepLines w:val="0"/>
              <w:pageBreakBefore w:val="0"/>
              <w:widowControl w:val="0"/>
              <w:kinsoku/>
              <w:wordWrap/>
              <w:overflowPunct w:val="0"/>
              <w:topLinePunct w:val="0"/>
              <w:autoSpaceDE/>
              <w:autoSpaceDN/>
              <w:bidi w:val="0"/>
              <w:adjustRightInd/>
              <w:snapToGrid/>
              <w:spacing w:line="24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D283F0F">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ascii="仿宋_GB2312" w:hAnsi="宋体" w:eastAsia="仿宋_GB2312" w:cs="仿宋_GB2312"/>
                <w:spacing w:val="-9"/>
                <w:w w:val="93"/>
                <w:sz w:val="18"/>
                <w:szCs w:val="18"/>
              </w:rPr>
            </w:pPr>
            <w:r>
              <w:rPr>
                <w:rFonts w:hint="eastAsia" w:ascii="仿宋_GB2312" w:hAnsi="宋体" w:eastAsia="仿宋_GB2312" w:cs="仿宋_GB2312"/>
                <w:spacing w:val="-9"/>
                <w:w w:val="93"/>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2EA05D1D">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spacing w:val="-9"/>
                <w:w w:val="93"/>
                <w:sz w:val="18"/>
                <w:szCs w:val="18"/>
              </w:rPr>
            </w:pPr>
            <w:r>
              <w:rPr>
                <w:rFonts w:hint="eastAsia" w:ascii="仿宋_GB2312" w:hAnsi="宋体" w:eastAsia="仿宋_GB2312" w:cs="仿宋_GB2312"/>
                <w:spacing w:val="-9"/>
                <w:w w:val="93"/>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3EF56497">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ascii="仿宋_GB2312" w:hAnsi="宋体" w:eastAsia="仿宋_GB2312" w:cs="仿宋_GB2312"/>
                <w:spacing w:val="-9"/>
                <w:w w:val="93"/>
                <w:sz w:val="18"/>
                <w:szCs w:val="18"/>
              </w:rPr>
            </w:pPr>
            <w:r>
              <w:rPr>
                <w:rFonts w:hint="eastAsia" w:ascii="仿宋_GB2312" w:hAnsi="宋体" w:eastAsia="仿宋_GB2312" w:cs="仿宋_GB2312"/>
                <w:spacing w:val="-9"/>
                <w:w w:val="93"/>
                <w:kern w:val="0"/>
                <w:sz w:val="18"/>
                <w:szCs w:val="18"/>
                <w:lang w:bidi="ar"/>
              </w:rPr>
              <w:t>无</w:t>
            </w:r>
          </w:p>
        </w:tc>
      </w:tr>
      <w:tr w14:paraId="39AFE5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AF91302">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467EB28">
            <w:pPr>
              <w:keepNext w:val="0"/>
              <w:keepLines w:val="0"/>
              <w:pageBreakBefore w:val="0"/>
              <w:widowControl w:val="0"/>
              <w:kinsoku/>
              <w:wordWrap/>
              <w:overflowPunct w:val="0"/>
              <w:topLinePunct w:val="0"/>
              <w:autoSpaceDE/>
              <w:autoSpaceDN/>
              <w:bidi w:val="0"/>
              <w:adjustRightInd/>
              <w:snapToGrid/>
              <w:spacing w:line="24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BC26C67">
            <w:pPr>
              <w:keepNext w:val="0"/>
              <w:keepLines w:val="0"/>
              <w:pageBreakBefore w:val="0"/>
              <w:widowControl w:val="0"/>
              <w:kinsoku/>
              <w:wordWrap/>
              <w:overflowPunct w:val="0"/>
              <w:topLinePunct w:val="0"/>
              <w:autoSpaceDE/>
              <w:autoSpaceDN/>
              <w:bidi w:val="0"/>
              <w:adjustRightInd/>
              <w:snapToGrid/>
              <w:spacing w:line="24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899E863">
            <w:pPr>
              <w:keepNext w:val="0"/>
              <w:keepLines w:val="0"/>
              <w:pageBreakBefore w:val="0"/>
              <w:widowControl w:val="0"/>
              <w:kinsoku/>
              <w:wordWrap/>
              <w:overflowPunct w:val="0"/>
              <w:topLinePunct w:val="0"/>
              <w:autoSpaceDE/>
              <w:autoSpaceDN/>
              <w:bidi w:val="0"/>
              <w:adjustRightInd/>
              <w:snapToGrid/>
              <w:spacing w:line="24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443AEC5">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ascii="仿宋_GB2312" w:hAnsi="宋体" w:eastAsia="仿宋_GB2312" w:cs="仿宋_GB2312"/>
                <w:spacing w:val="-9"/>
                <w:w w:val="93"/>
                <w:sz w:val="18"/>
                <w:szCs w:val="18"/>
              </w:rPr>
            </w:pPr>
            <w:r>
              <w:rPr>
                <w:rFonts w:hint="eastAsia" w:ascii="仿宋_GB2312" w:hAnsi="宋体" w:eastAsia="仿宋_GB2312" w:cs="仿宋_GB2312"/>
                <w:spacing w:val="-9"/>
                <w:w w:val="93"/>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4A94EE72">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spacing w:val="-9"/>
                <w:w w:val="93"/>
                <w:sz w:val="18"/>
                <w:szCs w:val="18"/>
              </w:rPr>
            </w:pPr>
            <w:r>
              <w:rPr>
                <w:rFonts w:hint="eastAsia" w:ascii="仿宋_GB2312" w:hAnsi="宋体" w:eastAsia="仿宋_GB2312" w:cs="仿宋_GB2312"/>
                <w:spacing w:val="-9"/>
                <w:w w:val="93"/>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D9377C0">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ascii="仿宋_GB2312" w:hAnsi="宋体" w:eastAsia="仿宋_GB2312" w:cs="仿宋_GB2312"/>
                <w:spacing w:val="-9"/>
                <w:w w:val="93"/>
                <w:sz w:val="18"/>
                <w:szCs w:val="18"/>
              </w:rPr>
            </w:pPr>
            <w:r>
              <w:rPr>
                <w:rFonts w:hint="eastAsia" w:ascii="仿宋_GB2312" w:hAnsi="宋体" w:eastAsia="仿宋_GB2312" w:cs="仿宋_GB2312"/>
                <w:spacing w:val="-9"/>
                <w:w w:val="93"/>
                <w:kern w:val="0"/>
                <w:sz w:val="18"/>
                <w:szCs w:val="18"/>
                <w:lang w:bidi="ar"/>
              </w:rPr>
              <w:t>无</w:t>
            </w:r>
          </w:p>
        </w:tc>
      </w:tr>
      <w:tr w14:paraId="39AD0E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1D2643F">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CF2B8CE">
            <w:pPr>
              <w:keepNext w:val="0"/>
              <w:keepLines w:val="0"/>
              <w:pageBreakBefore w:val="0"/>
              <w:widowControl w:val="0"/>
              <w:kinsoku/>
              <w:wordWrap/>
              <w:overflowPunct w:val="0"/>
              <w:topLinePunct w:val="0"/>
              <w:autoSpaceDE/>
              <w:autoSpaceDN/>
              <w:bidi w:val="0"/>
              <w:adjustRightInd/>
              <w:snapToGrid/>
              <w:spacing w:line="24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E701200">
            <w:pPr>
              <w:keepNext w:val="0"/>
              <w:keepLines w:val="0"/>
              <w:pageBreakBefore w:val="0"/>
              <w:widowControl w:val="0"/>
              <w:kinsoku/>
              <w:wordWrap/>
              <w:overflowPunct w:val="0"/>
              <w:topLinePunct w:val="0"/>
              <w:autoSpaceDE/>
              <w:autoSpaceDN/>
              <w:bidi w:val="0"/>
              <w:adjustRightInd/>
              <w:snapToGrid/>
              <w:spacing w:line="24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3FE192C">
            <w:pPr>
              <w:keepNext w:val="0"/>
              <w:keepLines w:val="0"/>
              <w:pageBreakBefore w:val="0"/>
              <w:widowControl w:val="0"/>
              <w:kinsoku/>
              <w:wordWrap/>
              <w:overflowPunct w:val="0"/>
              <w:topLinePunct w:val="0"/>
              <w:autoSpaceDE/>
              <w:autoSpaceDN/>
              <w:bidi w:val="0"/>
              <w:adjustRightInd/>
              <w:snapToGrid/>
              <w:spacing w:line="24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DEBB056">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ascii="仿宋_GB2312" w:hAnsi="宋体" w:eastAsia="仿宋_GB2312" w:cs="仿宋_GB2312"/>
                <w:spacing w:val="-9"/>
                <w:w w:val="93"/>
                <w:sz w:val="18"/>
                <w:szCs w:val="18"/>
              </w:rPr>
            </w:pPr>
            <w:r>
              <w:rPr>
                <w:rFonts w:hint="eastAsia" w:ascii="仿宋_GB2312" w:hAnsi="宋体" w:eastAsia="仿宋_GB2312" w:cs="仿宋_GB2312"/>
                <w:spacing w:val="-9"/>
                <w:w w:val="93"/>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351F8CB9">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spacing w:val="-9"/>
                <w:w w:val="93"/>
                <w:sz w:val="18"/>
                <w:szCs w:val="18"/>
              </w:rPr>
            </w:pPr>
            <w:r>
              <w:rPr>
                <w:rFonts w:hint="eastAsia" w:ascii="仿宋_GB2312" w:hAnsi="宋体" w:eastAsia="仿宋_GB2312" w:cs="仿宋_GB2312"/>
                <w:spacing w:val="-9"/>
                <w:w w:val="93"/>
                <w:sz w:val="18"/>
                <w:szCs w:val="18"/>
              </w:rPr>
              <w:t>煤矿全年原煤产量超过煤矿核定(设计)生产能力的110％</w:t>
            </w:r>
            <w:r>
              <w:rPr>
                <w:rFonts w:hint="eastAsia" w:ascii="仿宋_GB2312" w:hAnsi="宋体" w:eastAsia="仿宋_GB2312" w:cs="仿宋_GB2312"/>
                <w:spacing w:val="-9"/>
                <w:w w:val="93"/>
                <w:sz w:val="18"/>
                <w:szCs w:val="18"/>
                <w:lang w:val="en-US" w:eastAsia="zh-CN"/>
              </w:rPr>
              <w:t>以上115%以下</w:t>
            </w:r>
            <w:r>
              <w:rPr>
                <w:rFonts w:hint="eastAsia" w:ascii="仿宋_GB2312" w:hAnsi="宋体" w:eastAsia="仿宋_GB2312" w:cs="仿宋_GB2312"/>
                <w:spacing w:val="-9"/>
                <w:w w:val="93"/>
                <w:sz w:val="18"/>
                <w:szCs w:val="18"/>
              </w:rPr>
              <w:t>,或者井工煤矿季度原煤产量超过煤矿核定(设计)生产能力的30％</w:t>
            </w:r>
            <w:r>
              <w:rPr>
                <w:rFonts w:hint="eastAsia" w:ascii="仿宋_GB2312" w:hAnsi="宋体" w:eastAsia="仿宋_GB2312" w:cs="仿宋_GB2312"/>
                <w:spacing w:val="-9"/>
                <w:w w:val="93"/>
                <w:sz w:val="18"/>
                <w:szCs w:val="18"/>
                <w:lang w:val="en-US" w:eastAsia="zh-CN"/>
              </w:rPr>
              <w:t>以上35%以下的。</w:t>
            </w:r>
            <w:r>
              <w:rPr>
                <w:rFonts w:hint="eastAsia" w:ascii="仿宋_GB2312" w:hAnsi="宋体" w:eastAsia="仿宋_GB2312" w:cs="仿宋_GB2312"/>
                <w:spacing w:val="-9"/>
                <w:w w:val="93"/>
                <w:sz w:val="18"/>
                <w:szCs w:val="18"/>
              </w:rPr>
              <w:t>.</w:t>
            </w:r>
          </w:p>
        </w:tc>
        <w:tc>
          <w:tcPr>
            <w:tcW w:w="2655" w:type="dxa"/>
            <w:tcBorders>
              <w:tl2br w:val="nil"/>
              <w:tr2bl w:val="nil"/>
            </w:tcBorders>
            <w:shd w:val="clear" w:color="auto" w:fill="auto"/>
            <w:tcMar>
              <w:top w:w="15" w:type="dxa"/>
              <w:left w:w="15" w:type="dxa"/>
              <w:right w:w="15" w:type="dxa"/>
            </w:tcMar>
            <w:vAlign w:val="center"/>
          </w:tcPr>
          <w:p w14:paraId="6EC4A6AF">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spacing w:val="-9"/>
                <w:w w:val="93"/>
                <w:sz w:val="18"/>
                <w:szCs w:val="18"/>
              </w:rPr>
            </w:pPr>
            <w:r>
              <w:rPr>
                <w:rFonts w:hint="eastAsia" w:ascii="仿宋_GB2312" w:hAnsi="宋体" w:eastAsia="仿宋_GB2312" w:cs="仿宋_GB2312"/>
                <w:spacing w:val="-9"/>
                <w:w w:val="93"/>
                <w:kern w:val="0"/>
                <w:sz w:val="18"/>
                <w:szCs w:val="18"/>
                <w:lang w:bidi="ar"/>
              </w:rPr>
              <w:t>责令停产整顿，提出整顿的内容、时间等具体要求，处50万元以上100万元以下的罚款；对煤矿企业负责人处3万元以上5万元以下的罚款。</w:t>
            </w:r>
          </w:p>
        </w:tc>
      </w:tr>
      <w:tr w14:paraId="0D28E1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96B832B">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0F76740">
            <w:pPr>
              <w:keepNext w:val="0"/>
              <w:keepLines w:val="0"/>
              <w:pageBreakBefore w:val="0"/>
              <w:widowControl w:val="0"/>
              <w:kinsoku/>
              <w:wordWrap/>
              <w:overflowPunct w:val="0"/>
              <w:topLinePunct w:val="0"/>
              <w:autoSpaceDE/>
              <w:autoSpaceDN/>
              <w:bidi w:val="0"/>
              <w:adjustRightInd/>
              <w:snapToGrid/>
              <w:spacing w:line="24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69E3058">
            <w:pPr>
              <w:keepNext w:val="0"/>
              <w:keepLines w:val="0"/>
              <w:pageBreakBefore w:val="0"/>
              <w:widowControl w:val="0"/>
              <w:kinsoku/>
              <w:wordWrap/>
              <w:overflowPunct w:val="0"/>
              <w:topLinePunct w:val="0"/>
              <w:autoSpaceDE/>
              <w:autoSpaceDN/>
              <w:bidi w:val="0"/>
              <w:adjustRightInd/>
              <w:snapToGrid/>
              <w:spacing w:line="24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6E0A92E">
            <w:pPr>
              <w:keepNext w:val="0"/>
              <w:keepLines w:val="0"/>
              <w:pageBreakBefore w:val="0"/>
              <w:widowControl w:val="0"/>
              <w:kinsoku/>
              <w:wordWrap/>
              <w:overflowPunct w:val="0"/>
              <w:topLinePunct w:val="0"/>
              <w:autoSpaceDE/>
              <w:autoSpaceDN/>
              <w:bidi w:val="0"/>
              <w:adjustRightInd/>
              <w:snapToGrid/>
              <w:spacing w:line="24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D52CA02">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ascii="仿宋_GB2312" w:hAnsi="宋体" w:eastAsia="仿宋_GB2312" w:cs="仿宋_GB2312"/>
                <w:spacing w:val="-9"/>
                <w:w w:val="93"/>
                <w:sz w:val="18"/>
                <w:szCs w:val="18"/>
              </w:rPr>
            </w:pPr>
            <w:r>
              <w:rPr>
                <w:rFonts w:hint="eastAsia" w:ascii="仿宋_GB2312" w:hAnsi="宋体" w:eastAsia="仿宋_GB2312" w:cs="仿宋_GB2312"/>
                <w:spacing w:val="-9"/>
                <w:w w:val="93"/>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2CE5D0A0">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spacing w:val="-9"/>
                <w:w w:val="93"/>
                <w:sz w:val="18"/>
                <w:szCs w:val="18"/>
              </w:rPr>
            </w:pPr>
            <w:r>
              <w:rPr>
                <w:rFonts w:hint="eastAsia" w:ascii="仿宋_GB2312" w:hAnsi="宋体" w:eastAsia="仿宋_GB2312" w:cs="仿宋_GB2312"/>
                <w:spacing w:val="-9"/>
                <w:w w:val="93"/>
                <w:sz w:val="18"/>
                <w:szCs w:val="18"/>
              </w:rPr>
              <w:t>煤矿全年原煤产量超过煤矿核定(设计)生产能力的11</w:t>
            </w:r>
            <w:r>
              <w:rPr>
                <w:rFonts w:hint="eastAsia" w:ascii="仿宋_GB2312" w:hAnsi="宋体" w:eastAsia="仿宋_GB2312" w:cs="仿宋_GB2312"/>
                <w:spacing w:val="-9"/>
                <w:w w:val="93"/>
                <w:sz w:val="18"/>
                <w:szCs w:val="18"/>
                <w:lang w:val="en-US" w:eastAsia="zh-CN"/>
              </w:rPr>
              <w:t>5</w:t>
            </w:r>
            <w:r>
              <w:rPr>
                <w:rFonts w:hint="eastAsia" w:ascii="仿宋_GB2312" w:hAnsi="宋体" w:eastAsia="仿宋_GB2312" w:cs="仿宋_GB2312"/>
                <w:spacing w:val="-9"/>
                <w:w w:val="93"/>
                <w:sz w:val="18"/>
                <w:szCs w:val="18"/>
              </w:rPr>
              <w:t>％</w:t>
            </w:r>
            <w:r>
              <w:rPr>
                <w:rFonts w:hint="eastAsia" w:ascii="仿宋_GB2312" w:hAnsi="宋体" w:eastAsia="仿宋_GB2312" w:cs="仿宋_GB2312"/>
                <w:spacing w:val="-9"/>
                <w:w w:val="93"/>
                <w:sz w:val="18"/>
                <w:szCs w:val="18"/>
                <w:lang w:val="en-US" w:eastAsia="zh-CN"/>
              </w:rPr>
              <w:t>以上120%以下</w:t>
            </w:r>
            <w:r>
              <w:rPr>
                <w:rFonts w:hint="eastAsia" w:ascii="仿宋_GB2312" w:hAnsi="宋体" w:eastAsia="仿宋_GB2312" w:cs="仿宋_GB2312"/>
                <w:spacing w:val="-9"/>
                <w:w w:val="93"/>
                <w:sz w:val="18"/>
                <w:szCs w:val="18"/>
              </w:rPr>
              <w:t>,或者井工煤矿季度原煤产量超过煤矿核定(设计)生产能力的3</w:t>
            </w:r>
            <w:r>
              <w:rPr>
                <w:rFonts w:hint="eastAsia" w:ascii="仿宋_GB2312" w:hAnsi="宋体" w:eastAsia="仿宋_GB2312" w:cs="仿宋_GB2312"/>
                <w:spacing w:val="-9"/>
                <w:w w:val="93"/>
                <w:sz w:val="18"/>
                <w:szCs w:val="18"/>
                <w:lang w:val="en-US" w:eastAsia="zh-CN"/>
              </w:rPr>
              <w:t>5</w:t>
            </w:r>
            <w:r>
              <w:rPr>
                <w:rFonts w:hint="eastAsia" w:ascii="仿宋_GB2312" w:hAnsi="宋体" w:eastAsia="仿宋_GB2312" w:cs="仿宋_GB2312"/>
                <w:spacing w:val="-9"/>
                <w:w w:val="93"/>
                <w:sz w:val="18"/>
                <w:szCs w:val="18"/>
              </w:rPr>
              <w:t>％</w:t>
            </w:r>
            <w:r>
              <w:rPr>
                <w:rFonts w:hint="eastAsia" w:ascii="仿宋_GB2312" w:hAnsi="宋体" w:eastAsia="仿宋_GB2312" w:cs="仿宋_GB2312"/>
                <w:spacing w:val="-9"/>
                <w:w w:val="93"/>
                <w:sz w:val="18"/>
                <w:szCs w:val="18"/>
                <w:lang w:val="en-US" w:eastAsia="zh-CN"/>
              </w:rPr>
              <w:t>以上40%以下的。</w:t>
            </w:r>
          </w:p>
        </w:tc>
        <w:tc>
          <w:tcPr>
            <w:tcW w:w="2655" w:type="dxa"/>
            <w:tcBorders>
              <w:tl2br w:val="nil"/>
              <w:tr2bl w:val="nil"/>
            </w:tcBorders>
            <w:shd w:val="clear" w:color="auto" w:fill="auto"/>
            <w:tcMar>
              <w:top w:w="15" w:type="dxa"/>
              <w:left w:w="15" w:type="dxa"/>
              <w:right w:w="15" w:type="dxa"/>
            </w:tcMar>
            <w:vAlign w:val="center"/>
          </w:tcPr>
          <w:p w14:paraId="5109E794">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spacing w:val="-9"/>
                <w:w w:val="93"/>
                <w:sz w:val="18"/>
                <w:szCs w:val="18"/>
              </w:rPr>
            </w:pPr>
            <w:r>
              <w:rPr>
                <w:rFonts w:hint="eastAsia" w:ascii="仿宋_GB2312" w:hAnsi="宋体" w:eastAsia="仿宋_GB2312" w:cs="仿宋_GB2312"/>
                <w:spacing w:val="-9"/>
                <w:w w:val="93"/>
                <w:kern w:val="0"/>
                <w:sz w:val="18"/>
                <w:szCs w:val="18"/>
                <w:lang w:bidi="ar"/>
              </w:rPr>
              <w:t>责令停产整顿，提出整顿的内容、时间等具体要求，处100万元以上150万元以下的罚款；对煤矿企业负责人处5万元以上10万元以下的罚款。</w:t>
            </w:r>
          </w:p>
        </w:tc>
      </w:tr>
      <w:tr w14:paraId="2C10A4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AB518AF">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73D4218">
            <w:pPr>
              <w:keepNext w:val="0"/>
              <w:keepLines w:val="0"/>
              <w:pageBreakBefore w:val="0"/>
              <w:widowControl w:val="0"/>
              <w:kinsoku/>
              <w:wordWrap/>
              <w:overflowPunct w:val="0"/>
              <w:topLinePunct w:val="0"/>
              <w:autoSpaceDE/>
              <w:autoSpaceDN/>
              <w:bidi w:val="0"/>
              <w:adjustRightInd/>
              <w:snapToGrid/>
              <w:spacing w:line="24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027015E">
            <w:pPr>
              <w:keepNext w:val="0"/>
              <w:keepLines w:val="0"/>
              <w:pageBreakBefore w:val="0"/>
              <w:widowControl w:val="0"/>
              <w:kinsoku/>
              <w:wordWrap/>
              <w:overflowPunct w:val="0"/>
              <w:topLinePunct w:val="0"/>
              <w:autoSpaceDE/>
              <w:autoSpaceDN/>
              <w:bidi w:val="0"/>
              <w:adjustRightInd/>
              <w:snapToGrid/>
              <w:spacing w:line="24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7D16DA2">
            <w:pPr>
              <w:keepNext w:val="0"/>
              <w:keepLines w:val="0"/>
              <w:pageBreakBefore w:val="0"/>
              <w:widowControl w:val="0"/>
              <w:kinsoku/>
              <w:wordWrap/>
              <w:overflowPunct w:val="0"/>
              <w:topLinePunct w:val="0"/>
              <w:autoSpaceDE/>
              <w:autoSpaceDN/>
              <w:bidi w:val="0"/>
              <w:adjustRightInd/>
              <w:snapToGrid/>
              <w:spacing w:line="24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F80C2C1">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ascii="仿宋_GB2312" w:hAnsi="宋体" w:eastAsia="仿宋_GB2312" w:cs="仿宋_GB2312"/>
                <w:spacing w:val="-9"/>
                <w:w w:val="93"/>
                <w:sz w:val="18"/>
                <w:szCs w:val="18"/>
              </w:rPr>
            </w:pPr>
            <w:r>
              <w:rPr>
                <w:rFonts w:hint="eastAsia" w:ascii="仿宋_GB2312" w:hAnsi="宋体" w:eastAsia="仿宋_GB2312" w:cs="仿宋_GB2312"/>
                <w:spacing w:val="-9"/>
                <w:w w:val="93"/>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589C6AA5">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spacing w:val="-9"/>
                <w:w w:val="93"/>
                <w:sz w:val="18"/>
                <w:szCs w:val="18"/>
              </w:rPr>
            </w:pPr>
            <w:r>
              <w:rPr>
                <w:rFonts w:hint="eastAsia" w:ascii="仿宋_GB2312" w:hAnsi="宋体" w:eastAsia="仿宋_GB2312" w:cs="仿宋_GB2312"/>
                <w:spacing w:val="-9"/>
                <w:w w:val="93"/>
                <w:sz w:val="18"/>
                <w:szCs w:val="18"/>
              </w:rPr>
              <w:t>煤矿全年原煤产量超过煤矿核定(设计)生产能力的1</w:t>
            </w:r>
            <w:r>
              <w:rPr>
                <w:rFonts w:hint="eastAsia" w:ascii="仿宋_GB2312" w:hAnsi="宋体" w:eastAsia="仿宋_GB2312" w:cs="仿宋_GB2312"/>
                <w:spacing w:val="-9"/>
                <w:w w:val="93"/>
                <w:sz w:val="18"/>
                <w:szCs w:val="18"/>
                <w:lang w:val="en-US" w:eastAsia="zh-CN"/>
              </w:rPr>
              <w:t>20</w:t>
            </w:r>
            <w:r>
              <w:rPr>
                <w:rFonts w:hint="eastAsia" w:ascii="仿宋_GB2312" w:hAnsi="宋体" w:eastAsia="仿宋_GB2312" w:cs="仿宋_GB2312"/>
                <w:spacing w:val="-9"/>
                <w:w w:val="93"/>
                <w:sz w:val="18"/>
                <w:szCs w:val="18"/>
              </w:rPr>
              <w:t>％</w:t>
            </w:r>
            <w:r>
              <w:rPr>
                <w:rFonts w:hint="eastAsia" w:ascii="仿宋_GB2312" w:hAnsi="宋体" w:eastAsia="仿宋_GB2312" w:cs="仿宋_GB2312"/>
                <w:spacing w:val="-9"/>
                <w:w w:val="93"/>
                <w:sz w:val="18"/>
                <w:szCs w:val="18"/>
                <w:lang w:val="en-US" w:eastAsia="zh-CN"/>
              </w:rPr>
              <w:t>以上</w:t>
            </w:r>
            <w:r>
              <w:rPr>
                <w:rFonts w:hint="eastAsia" w:ascii="仿宋_GB2312" w:hAnsi="宋体" w:eastAsia="仿宋_GB2312" w:cs="仿宋_GB2312"/>
                <w:spacing w:val="-9"/>
                <w:w w:val="93"/>
                <w:sz w:val="18"/>
                <w:szCs w:val="18"/>
              </w:rPr>
              <w:t>,或者井工煤矿季度原煤产量超过煤矿核定(设计)生产能力的</w:t>
            </w:r>
            <w:r>
              <w:rPr>
                <w:rFonts w:hint="eastAsia" w:ascii="仿宋_GB2312" w:hAnsi="宋体" w:eastAsia="仿宋_GB2312" w:cs="仿宋_GB2312"/>
                <w:spacing w:val="-9"/>
                <w:w w:val="93"/>
                <w:sz w:val="18"/>
                <w:szCs w:val="18"/>
                <w:lang w:val="en-US" w:eastAsia="zh-CN"/>
              </w:rPr>
              <w:t>40</w:t>
            </w:r>
            <w:r>
              <w:rPr>
                <w:rFonts w:hint="eastAsia" w:ascii="仿宋_GB2312" w:hAnsi="宋体" w:eastAsia="仿宋_GB2312" w:cs="仿宋_GB2312"/>
                <w:spacing w:val="-9"/>
                <w:w w:val="93"/>
                <w:sz w:val="18"/>
                <w:szCs w:val="18"/>
              </w:rPr>
              <w:t>％</w:t>
            </w:r>
            <w:r>
              <w:rPr>
                <w:rFonts w:hint="eastAsia" w:ascii="仿宋_GB2312" w:hAnsi="宋体" w:eastAsia="仿宋_GB2312" w:cs="仿宋_GB2312"/>
                <w:spacing w:val="-9"/>
                <w:w w:val="93"/>
                <w:sz w:val="18"/>
                <w:szCs w:val="18"/>
                <w:lang w:val="en-US" w:eastAsia="zh-CN"/>
              </w:rPr>
              <w:t>以上的。</w:t>
            </w:r>
          </w:p>
        </w:tc>
        <w:tc>
          <w:tcPr>
            <w:tcW w:w="2655" w:type="dxa"/>
            <w:tcBorders>
              <w:tl2br w:val="nil"/>
              <w:tr2bl w:val="nil"/>
            </w:tcBorders>
            <w:shd w:val="clear" w:color="auto" w:fill="auto"/>
            <w:tcMar>
              <w:top w:w="15" w:type="dxa"/>
              <w:left w:w="15" w:type="dxa"/>
              <w:right w:w="15" w:type="dxa"/>
            </w:tcMar>
            <w:vAlign w:val="center"/>
          </w:tcPr>
          <w:p w14:paraId="288A7163">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spacing w:val="-9"/>
                <w:w w:val="93"/>
                <w:sz w:val="18"/>
                <w:szCs w:val="18"/>
              </w:rPr>
            </w:pPr>
            <w:r>
              <w:rPr>
                <w:rFonts w:hint="eastAsia" w:ascii="仿宋_GB2312" w:hAnsi="宋体" w:eastAsia="仿宋_GB2312" w:cs="仿宋_GB2312"/>
                <w:spacing w:val="-9"/>
                <w:w w:val="93"/>
                <w:kern w:val="0"/>
                <w:sz w:val="18"/>
                <w:szCs w:val="18"/>
                <w:lang w:bidi="ar"/>
              </w:rPr>
              <w:t>责令停产整顿，提出整顿的内容、时间等具体要求，处150万元以上200万元以下的罚款；对煤矿企业负责人处10万元以上15万元以下的罚款。</w:t>
            </w:r>
          </w:p>
        </w:tc>
      </w:tr>
      <w:tr w14:paraId="76A6AE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08259CF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eastAsia="zh-CN" w:bidi="ar"/>
              </w:rPr>
            </w:pPr>
            <w:r>
              <w:rPr>
                <w:rFonts w:hint="eastAsia" w:ascii="仿宋_GB2312" w:hAnsi="宋体" w:eastAsia="仿宋_GB2312" w:cs="仿宋_GB2312"/>
                <w:kern w:val="0"/>
                <w:sz w:val="18"/>
                <w:szCs w:val="18"/>
                <w:lang w:bidi="ar"/>
              </w:rPr>
              <w:t>3</w:t>
            </w:r>
            <w:del w:id="1394" w:author="LV" w:date="2026-07-14T16:18:44Z">
              <w:r>
                <w:rPr>
                  <w:rFonts w:hint="default" w:ascii="仿宋_GB2312" w:hAnsi="宋体" w:eastAsia="仿宋_GB2312" w:cs="仿宋_GB2312"/>
                  <w:kern w:val="0"/>
                  <w:sz w:val="18"/>
                  <w:szCs w:val="18"/>
                  <w:lang w:val="en-US" w:bidi="ar"/>
                </w:rPr>
                <w:delText>4</w:delText>
              </w:r>
            </w:del>
            <w:ins w:id="1395" w:author="LV" w:date="2026-07-14T16:18:44Z">
              <w:r>
                <w:rPr>
                  <w:rFonts w:hint="eastAsia" w:ascii="仿宋_GB2312" w:hAnsi="宋体" w:eastAsia="仿宋_GB2312" w:cs="仿宋_GB2312"/>
                  <w:kern w:val="0"/>
                  <w:sz w:val="18"/>
                  <w:szCs w:val="18"/>
                  <w:lang w:val="en-US" w:eastAsia="zh-CN" w:bidi="ar"/>
                </w:rPr>
                <w:t>6</w:t>
              </w:r>
            </w:ins>
          </w:p>
          <w:p w14:paraId="27B1B00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2"/>
                <w:sz w:val="18"/>
                <w:szCs w:val="18"/>
                <w:lang w:val="en-US" w:eastAsia="zh-CN" w:bidi="ar-SA"/>
              </w:rPr>
            </w:pPr>
          </w:p>
        </w:tc>
        <w:tc>
          <w:tcPr>
            <w:tcW w:w="1005" w:type="dxa"/>
            <w:vMerge w:val="restart"/>
            <w:tcBorders>
              <w:tl2br w:val="nil"/>
              <w:tr2bl w:val="nil"/>
            </w:tcBorders>
            <w:shd w:val="clear" w:color="auto" w:fill="auto"/>
            <w:tcMar>
              <w:top w:w="15" w:type="dxa"/>
              <w:left w:w="15" w:type="dxa"/>
              <w:right w:w="15" w:type="dxa"/>
            </w:tcMar>
            <w:vAlign w:val="center"/>
          </w:tcPr>
          <w:p w14:paraId="00DE555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煤矿超强度组织生产的</w:t>
            </w:r>
          </w:p>
          <w:p w14:paraId="250F3C3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p>
        </w:tc>
        <w:tc>
          <w:tcPr>
            <w:tcW w:w="3667" w:type="dxa"/>
            <w:vMerge w:val="restart"/>
            <w:tcBorders>
              <w:tl2br w:val="nil"/>
              <w:tr2bl w:val="nil"/>
            </w:tcBorders>
            <w:shd w:val="clear" w:color="auto" w:fill="auto"/>
            <w:tcMar>
              <w:top w:w="15" w:type="dxa"/>
              <w:left w:w="15" w:type="dxa"/>
              <w:right w:w="15" w:type="dxa"/>
            </w:tcMar>
            <w:vAlign w:val="center"/>
          </w:tcPr>
          <w:p w14:paraId="19808CA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 xml:space="preserve">《煤矿安全生产条例》第三十一条  煤矿企业不得超能力、超强度或者超定员组织生产。正常生产煤矿因地质、生产技术条件、采煤方法或者工艺等发生变化导致生产能力发生较大变化的，应当依法重新核定其生产能力。 </w:t>
            </w:r>
          </w:p>
          <w:p w14:paraId="6F3ACA2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 xml:space="preserve">《煤矿安全生产条例》第三十六条第一项  煤矿企业有下列情形之一的，属于重大事故隐患，应当立即停止受影响区域生产、建设，并及时消除事故隐患：（一）超能力、超强度或者超定员组织生产的； </w:t>
            </w:r>
          </w:p>
          <w:p w14:paraId="6CFDE37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《煤矿重大事故隐患判定标准》第四条第</w:t>
            </w:r>
            <w:r>
              <w:rPr>
                <w:rFonts w:hint="eastAsia" w:ascii="仿宋_GB2312" w:hAnsi="宋体" w:eastAsia="仿宋_GB2312" w:cs="仿宋_GB2312"/>
                <w:kern w:val="0"/>
                <w:sz w:val="18"/>
                <w:szCs w:val="18"/>
                <w:lang w:val="en-US" w:eastAsia="zh-CN" w:bidi="ar"/>
              </w:rPr>
              <w:t>二</w:t>
            </w:r>
            <w:r>
              <w:rPr>
                <w:rFonts w:hint="eastAsia" w:ascii="仿宋_GB2312" w:hAnsi="宋体" w:eastAsia="仿宋_GB2312" w:cs="仿宋_GB2312"/>
                <w:kern w:val="0"/>
                <w:sz w:val="18"/>
                <w:szCs w:val="18"/>
                <w:lang w:bidi="ar"/>
              </w:rPr>
              <w:t>项  “超能力、超强度或者超定员组织生产”重大事故隐患，是指有下列情形之一的：（</w:t>
            </w:r>
            <w:r>
              <w:rPr>
                <w:rFonts w:hint="eastAsia" w:ascii="仿宋_GB2312" w:hAnsi="宋体" w:eastAsia="仿宋_GB2312" w:cs="仿宋_GB2312"/>
                <w:kern w:val="0"/>
                <w:sz w:val="18"/>
                <w:szCs w:val="18"/>
                <w:lang w:val="en-US" w:eastAsia="zh-CN" w:bidi="ar"/>
              </w:rPr>
              <w:t>二</w:t>
            </w:r>
            <w:r>
              <w:rPr>
                <w:rFonts w:hint="eastAsia" w:ascii="仿宋_GB2312" w:hAnsi="宋体" w:eastAsia="仿宋_GB2312" w:cs="仿宋_GB2312"/>
                <w:kern w:val="0"/>
                <w:sz w:val="18"/>
                <w:szCs w:val="18"/>
                <w:lang w:bidi="ar"/>
              </w:rPr>
              <w:t>）矿井同时生产的水平超过２个,或者一个采(盘)区内同时生产的采煤、煤(半煤岩)巷掘进工作面(安装、回撤工作面除外)个数超过</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煤矿安全规程</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规定。</w:t>
            </w:r>
          </w:p>
          <w:p w14:paraId="5DC3401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p>
          <w:p w14:paraId="3362460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p>
        </w:tc>
        <w:tc>
          <w:tcPr>
            <w:tcW w:w="4082" w:type="dxa"/>
            <w:vMerge w:val="restart"/>
            <w:tcBorders>
              <w:tl2br w:val="nil"/>
              <w:tr2bl w:val="nil"/>
            </w:tcBorders>
            <w:shd w:val="clear" w:color="auto" w:fill="auto"/>
            <w:tcMar>
              <w:top w:w="15" w:type="dxa"/>
              <w:left w:w="15" w:type="dxa"/>
              <w:right w:w="15" w:type="dxa"/>
            </w:tcMar>
            <w:vAlign w:val="center"/>
          </w:tcPr>
          <w:p w14:paraId="778F910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《煤矿安全生产条例》第六十四条  对存在重大事故隐患仍然进行生产的煤矿企业，责令停产整顿，明确整顿的内容、时间等具体要求，并处50万元以上200万元以下的罚款；对煤矿企业主要负责人处3万元以上15万元以下的罚款。</w:t>
            </w:r>
          </w:p>
          <w:p w14:paraId="7387EB3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val="en-US" w:eastAsia="zh-CN" w:bidi="ar"/>
              </w:rPr>
            </w:pPr>
          </w:p>
          <w:p w14:paraId="443057D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val="en-US" w:eastAsia="zh-CN" w:bidi="ar"/>
              </w:rPr>
            </w:pPr>
          </w:p>
        </w:tc>
        <w:tc>
          <w:tcPr>
            <w:tcW w:w="459" w:type="dxa"/>
            <w:tcBorders>
              <w:tl2br w:val="nil"/>
              <w:tr2bl w:val="nil"/>
            </w:tcBorders>
            <w:shd w:val="clear" w:color="auto" w:fill="auto"/>
            <w:noWrap/>
            <w:tcMar>
              <w:top w:w="15" w:type="dxa"/>
              <w:left w:w="15" w:type="dxa"/>
              <w:right w:w="15" w:type="dxa"/>
            </w:tcMar>
            <w:vAlign w:val="center"/>
          </w:tcPr>
          <w:p w14:paraId="4B64FD1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50F515B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4A176DB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F18CD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8CD899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A45E87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A6BAA0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77CB6F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A12EBA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6F7CBDD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4AC655CD">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A9001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E690AE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EA0C3A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F14284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8D05A5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A64E41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1B6F66A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A4971D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30D6A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2F7195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CB0704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9A7820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E8796F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bottom w:val="single" w:color="auto" w:sz="4" w:space="0"/>
              <w:tl2br w:val="nil"/>
              <w:tr2bl w:val="nil"/>
            </w:tcBorders>
            <w:shd w:val="clear" w:color="auto" w:fill="auto"/>
            <w:noWrap/>
            <w:tcMar>
              <w:top w:w="15" w:type="dxa"/>
              <w:left w:w="15" w:type="dxa"/>
              <w:right w:w="15" w:type="dxa"/>
            </w:tcMar>
            <w:vAlign w:val="center"/>
          </w:tcPr>
          <w:p w14:paraId="10059DC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bottom w:val="single" w:color="auto" w:sz="4" w:space="0"/>
              <w:tl2br w:val="nil"/>
              <w:tr2bl w:val="nil"/>
            </w:tcBorders>
            <w:shd w:val="clear" w:color="auto" w:fill="auto"/>
            <w:tcMar>
              <w:top w:w="15" w:type="dxa"/>
              <w:left w:w="15" w:type="dxa"/>
              <w:right w:w="15" w:type="dxa"/>
            </w:tcMar>
            <w:vAlign w:val="center"/>
          </w:tcPr>
          <w:p w14:paraId="5A926A4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pacing w:val="0"/>
                <w:kern w:val="0"/>
                <w:sz w:val="18"/>
                <w:szCs w:val="18"/>
                <w:lang w:bidi="ar"/>
              </w:rPr>
            </w:pPr>
            <w:r>
              <w:rPr>
                <w:rFonts w:hint="eastAsia" w:ascii="仿宋_GB2312" w:hAnsi="宋体" w:eastAsia="仿宋_GB2312" w:cs="仿宋_GB2312"/>
                <w:kern w:val="0"/>
                <w:sz w:val="18"/>
                <w:szCs w:val="18"/>
                <w:lang w:bidi="ar"/>
              </w:rPr>
              <w:t>矿井一个采(盘)区内同时生产的采煤、煤(半煤岩)巷掘进工作面(安装、回撤工作面除外)个数超过</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煤矿安全规程</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规定</w:t>
            </w:r>
            <w:r>
              <w:rPr>
                <w:rFonts w:hint="eastAsia" w:ascii="仿宋_GB2312" w:hAnsi="宋体" w:eastAsia="仿宋_GB2312" w:cs="仿宋_GB2312"/>
                <w:kern w:val="0"/>
                <w:sz w:val="18"/>
                <w:szCs w:val="18"/>
                <w:lang w:val="en-US" w:eastAsia="zh-CN" w:bidi="ar"/>
              </w:rPr>
              <w:t>1个</w:t>
            </w:r>
            <w:r>
              <w:rPr>
                <w:rFonts w:hint="eastAsia" w:ascii="仿宋_GB2312" w:hAnsi="宋体" w:eastAsia="仿宋_GB2312" w:cs="仿宋_GB2312"/>
                <w:kern w:val="0"/>
                <w:sz w:val="18"/>
                <w:szCs w:val="18"/>
                <w:lang w:bidi="ar"/>
              </w:rPr>
              <w:t>。</w:t>
            </w:r>
          </w:p>
        </w:tc>
        <w:tc>
          <w:tcPr>
            <w:tcW w:w="2655" w:type="dxa"/>
            <w:tcBorders>
              <w:bottom w:val="single" w:color="auto" w:sz="4" w:space="0"/>
              <w:tl2br w:val="nil"/>
              <w:tr2bl w:val="nil"/>
            </w:tcBorders>
            <w:shd w:val="clear" w:color="auto" w:fill="auto"/>
            <w:tcMar>
              <w:top w:w="15" w:type="dxa"/>
              <w:left w:w="15" w:type="dxa"/>
              <w:right w:w="15" w:type="dxa"/>
            </w:tcMar>
            <w:vAlign w:val="center"/>
          </w:tcPr>
          <w:p w14:paraId="0D83709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责令停产整顿，提出整顿的内容、时间等具体要求，处</w:t>
            </w:r>
            <w:r>
              <w:rPr>
                <w:rFonts w:ascii="仿宋_GB2312" w:hAnsi="宋体" w:eastAsia="仿宋_GB2312" w:cs="仿宋_GB2312"/>
                <w:kern w:val="0"/>
                <w:sz w:val="18"/>
                <w:szCs w:val="18"/>
                <w:lang w:bidi="ar"/>
              </w:rPr>
              <w:t>50万元以上100万元以下的罚款；对煤矿企业负责人处3万元以上5万元以下的罚款。</w:t>
            </w:r>
          </w:p>
        </w:tc>
      </w:tr>
      <w:tr w14:paraId="65BEB4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2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31782C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2"/>
                <w:sz w:val="18"/>
                <w:szCs w:val="18"/>
                <w:lang w:val="en-US" w:eastAsia="zh-CN" w:bidi="ar-SA"/>
              </w:rPr>
            </w:pPr>
          </w:p>
        </w:tc>
        <w:tc>
          <w:tcPr>
            <w:tcW w:w="1005" w:type="dxa"/>
            <w:vMerge w:val="continue"/>
            <w:tcBorders>
              <w:tl2br w:val="nil"/>
              <w:tr2bl w:val="nil"/>
            </w:tcBorders>
            <w:shd w:val="clear" w:color="auto" w:fill="auto"/>
            <w:tcMar>
              <w:top w:w="15" w:type="dxa"/>
              <w:left w:w="15" w:type="dxa"/>
              <w:right w:w="15" w:type="dxa"/>
            </w:tcMar>
            <w:vAlign w:val="center"/>
          </w:tcPr>
          <w:p w14:paraId="569B2D1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p>
        </w:tc>
        <w:tc>
          <w:tcPr>
            <w:tcW w:w="3667" w:type="dxa"/>
            <w:vMerge w:val="continue"/>
            <w:tcBorders>
              <w:tl2br w:val="nil"/>
              <w:tr2bl w:val="nil"/>
            </w:tcBorders>
            <w:shd w:val="clear" w:color="auto" w:fill="auto"/>
            <w:tcMar>
              <w:top w:w="15" w:type="dxa"/>
              <w:left w:w="15" w:type="dxa"/>
              <w:right w:w="15" w:type="dxa"/>
            </w:tcMar>
            <w:vAlign w:val="center"/>
          </w:tcPr>
          <w:p w14:paraId="1C6C83A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p>
        </w:tc>
        <w:tc>
          <w:tcPr>
            <w:tcW w:w="4082" w:type="dxa"/>
            <w:vMerge w:val="continue"/>
            <w:tcBorders>
              <w:tl2br w:val="nil"/>
              <w:tr2bl w:val="nil"/>
            </w:tcBorders>
            <w:shd w:val="clear" w:color="auto" w:fill="auto"/>
            <w:tcMar>
              <w:top w:w="15" w:type="dxa"/>
              <w:left w:w="15" w:type="dxa"/>
              <w:right w:w="15" w:type="dxa"/>
            </w:tcMar>
            <w:vAlign w:val="center"/>
          </w:tcPr>
          <w:p w14:paraId="69BAA22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val="en-US" w:eastAsia="zh-CN" w:bidi="ar"/>
              </w:rPr>
            </w:pPr>
          </w:p>
        </w:tc>
        <w:tc>
          <w:tcPr>
            <w:tcW w:w="459"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386B4D0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7931663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pacing w:val="0"/>
                <w:kern w:val="0"/>
                <w:sz w:val="18"/>
                <w:szCs w:val="18"/>
                <w:lang w:bidi="ar"/>
              </w:rPr>
            </w:pPr>
            <w:r>
              <w:rPr>
                <w:rFonts w:hint="eastAsia" w:ascii="仿宋_GB2312" w:hAnsi="宋体" w:eastAsia="仿宋_GB2312" w:cs="仿宋_GB2312"/>
                <w:kern w:val="0"/>
                <w:sz w:val="18"/>
                <w:szCs w:val="18"/>
                <w:lang w:bidi="ar"/>
              </w:rPr>
              <w:t>矿井一个采(盘)区内同时生产的采煤、煤(半煤岩)巷掘进工作面(安装、回撤工作面除外)个数超过</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煤矿安全规程</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val="en-US" w:eastAsia="zh-CN" w:bidi="ar"/>
              </w:rPr>
              <w:t>规定2个</w:t>
            </w:r>
            <w:r>
              <w:rPr>
                <w:rFonts w:hint="eastAsia" w:ascii="仿宋_GB2312" w:hAnsi="宋体" w:eastAsia="仿宋_GB2312" w:cs="仿宋_GB2312"/>
                <w:kern w:val="0"/>
                <w:sz w:val="18"/>
                <w:szCs w:val="18"/>
                <w:lang w:bidi="ar"/>
              </w:rPr>
              <w:t>。</w:t>
            </w:r>
          </w:p>
        </w:tc>
        <w:tc>
          <w:tcPr>
            <w:tcW w:w="2655"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386EEC7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责令停产整顿，提出整顿的内容、时间等具体要求，处</w:t>
            </w:r>
            <w:r>
              <w:rPr>
                <w:rFonts w:ascii="仿宋_GB2312" w:hAnsi="宋体" w:eastAsia="仿宋_GB2312" w:cs="仿宋_GB2312"/>
                <w:kern w:val="0"/>
                <w:sz w:val="18"/>
                <w:szCs w:val="18"/>
                <w:lang w:bidi="ar"/>
              </w:rPr>
              <w:t>100万元以上150万元以下的罚款；对煤矿企业负责人处5万元以上10万元以下的罚款。</w:t>
            </w:r>
          </w:p>
        </w:tc>
      </w:tr>
      <w:tr w14:paraId="23B5AB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3"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C09F84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2"/>
                <w:sz w:val="18"/>
                <w:szCs w:val="18"/>
                <w:lang w:val="en-US" w:eastAsia="zh-CN" w:bidi="ar-SA"/>
              </w:rPr>
            </w:pPr>
          </w:p>
        </w:tc>
        <w:tc>
          <w:tcPr>
            <w:tcW w:w="1005" w:type="dxa"/>
            <w:vMerge w:val="continue"/>
            <w:tcBorders>
              <w:tl2br w:val="nil"/>
              <w:tr2bl w:val="nil"/>
            </w:tcBorders>
            <w:shd w:val="clear" w:color="auto" w:fill="auto"/>
            <w:tcMar>
              <w:top w:w="15" w:type="dxa"/>
              <w:left w:w="15" w:type="dxa"/>
              <w:right w:w="15" w:type="dxa"/>
            </w:tcMar>
            <w:vAlign w:val="center"/>
          </w:tcPr>
          <w:p w14:paraId="47E2B95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p>
        </w:tc>
        <w:tc>
          <w:tcPr>
            <w:tcW w:w="3667" w:type="dxa"/>
            <w:vMerge w:val="continue"/>
            <w:tcBorders>
              <w:tl2br w:val="nil"/>
              <w:tr2bl w:val="nil"/>
            </w:tcBorders>
            <w:shd w:val="clear" w:color="auto" w:fill="auto"/>
            <w:tcMar>
              <w:top w:w="15" w:type="dxa"/>
              <w:left w:w="15" w:type="dxa"/>
              <w:right w:w="15" w:type="dxa"/>
            </w:tcMar>
            <w:vAlign w:val="center"/>
          </w:tcPr>
          <w:p w14:paraId="4BC0A1F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p>
        </w:tc>
        <w:tc>
          <w:tcPr>
            <w:tcW w:w="4082" w:type="dxa"/>
            <w:vMerge w:val="continue"/>
            <w:tcBorders>
              <w:tl2br w:val="nil"/>
              <w:tr2bl w:val="nil"/>
            </w:tcBorders>
            <w:shd w:val="clear" w:color="auto" w:fill="auto"/>
            <w:tcMar>
              <w:top w:w="15" w:type="dxa"/>
              <w:left w:w="15" w:type="dxa"/>
              <w:right w:w="15" w:type="dxa"/>
            </w:tcMar>
            <w:vAlign w:val="center"/>
          </w:tcPr>
          <w:p w14:paraId="6ADCC94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val="en-US" w:eastAsia="zh-CN" w:bidi="ar"/>
              </w:rPr>
            </w:pPr>
          </w:p>
        </w:tc>
        <w:tc>
          <w:tcPr>
            <w:tcW w:w="459" w:type="dxa"/>
            <w:tcBorders>
              <w:top w:val="single" w:color="auto" w:sz="4" w:space="0"/>
              <w:tl2br w:val="nil"/>
              <w:tr2bl w:val="nil"/>
            </w:tcBorders>
            <w:shd w:val="clear" w:color="auto" w:fill="auto"/>
            <w:noWrap/>
            <w:tcMar>
              <w:top w:w="15" w:type="dxa"/>
              <w:left w:w="15" w:type="dxa"/>
              <w:right w:w="15" w:type="dxa"/>
            </w:tcMar>
            <w:vAlign w:val="center"/>
          </w:tcPr>
          <w:p w14:paraId="4E3C890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op w:val="single" w:color="auto" w:sz="4" w:space="0"/>
              <w:tl2br w:val="nil"/>
              <w:tr2bl w:val="nil"/>
            </w:tcBorders>
            <w:shd w:val="clear" w:color="auto" w:fill="auto"/>
            <w:tcMar>
              <w:top w:w="15" w:type="dxa"/>
              <w:left w:w="15" w:type="dxa"/>
              <w:right w:w="15" w:type="dxa"/>
            </w:tcMar>
            <w:vAlign w:val="center"/>
          </w:tcPr>
          <w:p w14:paraId="1894814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pacing w:val="0"/>
                <w:kern w:val="0"/>
                <w:sz w:val="18"/>
                <w:szCs w:val="18"/>
                <w:lang w:bidi="ar"/>
              </w:rPr>
            </w:pPr>
            <w:r>
              <w:rPr>
                <w:rFonts w:hint="eastAsia" w:ascii="仿宋_GB2312" w:hAnsi="宋体" w:eastAsia="仿宋_GB2312" w:cs="仿宋_GB2312"/>
                <w:kern w:val="0"/>
                <w:sz w:val="18"/>
                <w:szCs w:val="18"/>
                <w:lang w:bidi="ar"/>
              </w:rPr>
              <w:t>矿井同时生产的水平超过２个,或者一个采(盘)区内同时生产的采煤、煤(半煤岩)巷掘进工作面(安装、回撤工作面除外)个数超过</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煤矿安全规程</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val="en-US" w:eastAsia="zh-CN" w:bidi="ar"/>
              </w:rPr>
              <w:t>3个及以上</w:t>
            </w:r>
            <w:r>
              <w:rPr>
                <w:rFonts w:hint="eastAsia" w:ascii="仿宋_GB2312" w:hAnsi="宋体" w:eastAsia="仿宋_GB2312" w:cs="仿宋_GB2312"/>
                <w:kern w:val="0"/>
                <w:sz w:val="18"/>
                <w:szCs w:val="18"/>
                <w:lang w:bidi="ar"/>
              </w:rPr>
              <w:t>规定。</w:t>
            </w:r>
          </w:p>
        </w:tc>
        <w:tc>
          <w:tcPr>
            <w:tcW w:w="2655" w:type="dxa"/>
            <w:tcBorders>
              <w:top w:val="single" w:color="auto" w:sz="4" w:space="0"/>
              <w:tl2br w:val="nil"/>
              <w:tr2bl w:val="nil"/>
            </w:tcBorders>
            <w:shd w:val="clear" w:color="auto" w:fill="auto"/>
            <w:tcMar>
              <w:top w:w="15" w:type="dxa"/>
              <w:left w:w="15" w:type="dxa"/>
              <w:right w:w="15" w:type="dxa"/>
            </w:tcMar>
            <w:vAlign w:val="center"/>
          </w:tcPr>
          <w:p w14:paraId="1630E84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责令停产整顿，提出整顿的内容、时间等具体要求，处</w:t>
            </w:r>
            <w:r>
              <w:rPr>
                <w:rFonts w:ascii="仿宋_GB2312" w:hAnsi="宋体" w:eastAsia="仿宋_GB2312" w:cs="仿宋_GB2312"/>
                <w:kern w:val="0"/>
                <w:sz w:val="18"/>
                <w:szCs w:val="18"/>
                <w:lang w:bidi="ar"/>
              </w:rPr>
              <w:t>150万元以上200万元以下的罚款；对煤矿企业负责人处10万元以上15万元以下的罚款。</w:t>
            </w:r>
          </w:p>
        </w:tc>
      </w:tr>
      <w:tr w14:paraId="7C3EEE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3160897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z w:val="18"/>
                <w:szCs w:val="18"/>
                <w:lang w:eastAsia="zh-CN"/>
              </w:rPr>
            </w:pPr>
            <w:r>
              <w:rPr>
                <w:rFonts w:hint="eastAsia" w:ascii="仿宋_GB2312" w:hAnsi="宋体" w:eastAsia="仿宋_GB2312" w:cs="仿宋_GB2312"/>
                <w:kern w:val="0"/>
                <w:sz w:val="18"/>
                <w:szCs w:val="18"/>
                <w:lang w:bidi="ar"/>
              </w:rPr>
              <w:t>3</w:t>
            </w:r>
            <w:del w:id="1396" w:author="LV" w:date="2026-07-14T16:18:52Z">
              <w:r>
                <w:rPr>
                  <w:rFonts w:hint="default" w:ascii="仿宋_GB2312" w:hAnsi="宋体" w:eastAsia="仿宋_GB2312" w:cs="仿宋_GB2312"/>
                  <w:kern w:val="0"/>
                  <w:sz w:val="18"/>
                  <w:szCs w:val="18"/>
                  <w:lang w:val="en-US" w:bidi="ar"/>
                </w:rPr>
                <w:delText>5</w:delText>
              </w:r>
            </w:del>
            <w:ins w:id="1397" w:author="LV" w:date="2026-07-14T16:18:52Z">
              <w:r>
                <w:rPr>
                  <w:rFonts w:hint="eastAsia" w:ascii="仿宋_GB2312" w:hAnsi="宋体" w:eastAsia="仿宋_GB2312" w:cs="仿宋_GB2312"/>
                  <w:kern w:val="0"/>
                  <w:sz w:val="18"/>
                  <w:szCs w:val="18"/>
                  <w:lang w:val="en-US" w:eastAsia="zh-CN" w:bidi="ar"/>
                </w:rPr>
                <w:t>7</w:t>
              </w:r>
            </w:ins>
          </w:p>
        </w:tc>
        <w:tc>
          <w:tcPr>
            <w:tcW w:w="1005" w:type="dxa"/>
            <w:vMerge w:val="restart"/>
            <w:tcBorders>
              <w:tl2br w:val="nil"/>
              <w:tr2bl w:val="nil"/>
            </w:tcBorders>
            <w:shd w:val="clear" w:color="auto" w:fill="auto"/>
            <w:tcMar>
              <w:top w:w="15" w:type="dxa"/>
              <w:left w:w="15" w:type="dxa"/>
              <w:right w:w="15" w:type="dxa"/>
            </w:tcMar>
            <w:vAlign w:val="center"/>
          </w:tcPr>
          <w:p w14:paraId="032A921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煤矿超定员组织生产的</w:t>
            </w:r>
          </w:p>
        </w:tc>
        <w:tc>
          <w:tcPr>
            <w:tcW w:w="3667" w:type="dxa"/>
            <w:vMerge w:val="restart"/>
            <w:tcBorders>
              <w:tl2br w:val="nil"/>
              <w:tr2bl w:val="nil"/>
            </w:tcBorders>
            <w:shd w:val="clear" w:color="auto" w:fill="auto"/>
            <w:tcMar>
              <w:top w:w="15" w:type="dxa"/>
              <w:left w:w="15" w:type="dxa"/>
              <w:right w:w="15" w:type="dxa"/>
            </w:tcMar>
            <w:vAlign w:val="center"/>
          </w:tcPr>
          <w:p w14:paraId="210E537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rPr>
            </w:pPr>
            <w:r>
              <w:rPr>
                <w:rFonts w:hint="eastAsia" w:ascii="仿宋_GB2312" w:hAnsi="宋体" w:eastAsia="仿宋_GB2312" w:cs="仿宋_GB2312"/>
                <w:sz w:val="18"/>
                <w:szCs w:val="18"/>
              </w:rPr>
              <w:t xml:space="preserve">《煤矿安全生产条例》第二十四条第二款  煤矿井下作业人员实行安全限员制度。煤矿企业应当依法制定井下工作时间管理制度。煤矿井下工作岗位不得使用劳务派遣用工。 </w:t>
            </w:r>
          </w:p>
          <w:p w14:paraId="5496DA4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rPr>
            </w:pPr>
            <w:r>
              <w:rPr>
                <w:rFonts w:hint="eastAsia" w:ascii="仿宋_GB2312" w:hAnsi="宋体" w:eastAsia="仿宋_GB2312" w:cs="仿宋_GB2312"/>
                <w:sz w:val="18"/>
                <w:szCs w:val="18"/>
              </w:rPr>
              <w:t xml:space="preserve">《煤矿安全生产条例》第三十一条  煤矿企业不得超能力、超强度或者超定员组织生产。正常生产煤矿因地质、生产技术条件、采煤方法或者工艺等发生变化导致生产能力发生较大变化的，应当依法重新核定其生产能力。 </w:t>
            </w:r>
          </w:p>
          <w:p w14:paraId="499F75C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rPr>
            </w:pPr>
            <w:r>
              <w:rPr>
                <w:rFonts w:hint="eastAsia" w:ascii="仿宋_GB2312" w:hAnsi="宋体" w:eastAsia="仿宋_GB2312" w:cs="仿宋_GB2312"/>
                <w:sz w:val="18"/>
                <w:szCs w:val="18"/>
              </w:rPr>
              <w:t xml:space="preserve">《煤矿安全生产条例》第三十六条第一项  煤矿企业有下列情形之一的，属于重大事故隐患，应当立即停止受影响区域生产、建设，并及时消除事故隐患：（一）超能力、超强度或者超定员组织生产的； </w:t>
            </w:r>
          </w:p>
          <w:p w14:paraId="71DBCD8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《煤矿重大事故隐患判定标准》第四条第</w:t>
            </w:r>
            <w:r>
              <w:rPr>
                <w:rFonts w:hint="eastAsia" w:ascii="仿宋_GB2312" w:hAnsi="宋体" w:eastAsia="仿宋_GB2312" w:cs="仿宋_GB2312"/>
                <w:sz w:val="18"/>
                <w:szCs w:val="18"/>
                <w:lang w:val="en-US" w:eastAsia="zh-CN"/>
              </w:rPr>
              <w:t>三</w:t>
            </w:r>
            <w:r>
              <w:rPr>
                <w:rFonts w:hint="eastAsia" w:ascii="仿宋_GB2312" w:hAnsi="宋体" w:eastAsia="仿宋_GB2312" w:cs="仿宋_GB2312"/>
                <w:sz w:val="18"/>
                <w:szCs w:val="18"/>
              </w:rPr>
              <w:t>项  “超能力、超强度或者超定员组织生产”重大事故隐患，是指有下列情形之一的：（</w:t>
            </w:r>
            <w:r>
              <w:rPr>
                <w:rFonts w:hint="eastAsia" w:ascii="仿宋_GB2312" w:hAnsi="宋体" w:eastAsia="仿宋_GB2312" w:cs="仿宋_GB2312"/>
                <w:sz w:val="18"/>
                <w:szCs w:val="18"/>
                <w:lang w:val="en-US" w:eastAsia="zh-CN"/>
              </w:rPr>
              <w:t>三</w:t>
            </w:r>
            <w:r>
              <w:rPr>
                <w:rFonts w:hint="eastAsia" w:ascii="仿宋_GB2312" w:hAnsi="宋体" w:eastAsia="仿宋_GB2312" w:cs="仿宋_GB2312"/>
                <w:sz w:val="18"/>
                <w:szCs w:val="18"/>
              </w:rPr>
              <w:t>）矿井采掘作业地点单班作业人数</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rPr>
              <w:t>不含交接班期间</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rPr>
              <w:t>超过国家有关限员规定</w:t>
            </w:r>
            <w:r>
              <w:rPr>
                <w:rFonts w:hint="eastAsia" w:ascii="仿宋_GB2312" w:hAnsi="宋体" w:eastAsia="仿宋_GB2312" w:cs="仿宋_GB2312"/>
                <w:sz w:val="18"/>
                <w:szCs w:val="18"/>
                <w:lang w:eastAsia="zh-CN"/>
              </w:rPr>
              <w:t>2</w:t>
            </w:r>
            <w:r>
              <w:rPr>
                <w:rFonts w:hint="eastAsia" w:ascii="仿宋_GB2312" w:hAnsi="宋体" w:eastAsia="仿宋_GB2312" w:cs="仿宋_GB2312"/>
                <w:sz w:val="18"/>
                <w:szCs w:val="18"/>
                <w:lang w:val="en-US" w:eastAsia="zh-CN"/>
              </w:rPr>
              <w:t>0</w:t>
            </w:r>
            <w:r>
              <w:rPr>
                <w:rFonts w:hint="eastAsia" w:ascii="仿宋_GB2312" w:hAnsi="宋体" w:eastAsia="仿宋_GB2312" w:cs="仿宋_GB2312"/>
                <w:sz w:val="18"/>
                <w:szCs w:val="18"/>
              </w:rPr>
              <w:t>％</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rPr>
              <w:t>经省级煤矿安全监管部门批准增加的人员不计入</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rPr>
              <w:t>,或者违反</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rPr>
              <w:t>煤矿安全规程</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rPr>
              <w:t>关于开采冲击地压煤层限员管理规定</w:t>
            </w:r>
            <w:r>
              <w:rPr>
                <w:rFonts w:hint="eastAsia" w:ascii="仿宋_GB2312" w:hAnsi="宋体" w:eastAsia="仿宋_GB2312" w:cs="仿宋_GB2312"/>
                <w:sz w:val="18"/>
                <w:szCs w:val="18"/>
                <w:lang w:eastAsia="zh-CN"/>
              </w:rPr>
              <w:t>。</w:t>
            </w:r>
          </w:p>
        </w:tc>
        <w:tc>
          <w:tcPr>
            <w:tcW w:w="4082" w:type="dxa"/>
            <w:vMerge w:val="restart"/>
            <w:tcBorders>
              <w:tl2br w:val="nil"/>
              <w:tr2bl w:val="nil"/>
            </w:tcBorders>
            <w:shd w:val="clear" w:color="auto" w:fill="auto"/>
            <w:tcMar>
              <w:top w:w="15" w:type="dxa"/>
              <w:left w:w="15" w:type="dxa"/>
              <w:right w:w="15" w:type="dxa"/>
            </w:tcMar>
            <w:vAlign w:val="center"/>
          </w:tcPr>
          <w:p w14:paraId="41BD4D8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《煤矿安全生产条例》第六十四条  对存在重大事故隐患仍然进行生产的煤矿企业，责令停产整顿，明确整顿的内容、时间等具体要求，并处50万元以上200万元以下的罚款；对煤矿企业主要负责人处3万元以上15万元以下的罚款。</w:t>
            </w:r>
          </w:p>
          <w:p w14:paraId="1BAABE9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8DABAA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736D1D4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21799E4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20318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A657A2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2E6045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E0E2E1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A8C688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17B1D7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4C91017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2798D22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F7EC9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E2C94A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9276BB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961F69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222272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B7E87F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74FAEC9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598492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41AF4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DF680B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709D1D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1EAE31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9426A3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0C1B27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50E63AA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采掘作业地点单班作业人数超过国家有关限员规定20%以上25%以下的</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lang w:val="en-US" w:eastAsia="zh-CN"/>
              </w:rPr>
              <w:t>或者</w:t>
            </w:r>
            <w:r>
              <w:rPr>
                <w:rFonts w:hint="eastAsia" w:ascii="仿宋_GB2312" w:hAnsi="宋体" w:eastAsia="仿宋_GB2312" w:cs="仿宋_GB2312"/>
                <w:sz w:val="18"/>
                <w:szCs w:val="18"/>
              </w:rPr>
              <w:t>违反</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rPr>
              <w:t>煤矿安全规程</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rPr>
              <w:t>关于开采冲击地压煤层限员管理规定</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lang w:val="en-US" w:eastAsia="zh-CN"/>
              </w:rPr>
              <w:t>超1人的。</w:t>
            </w:r>
          </w:p>
        </w:tc>
        <w:tc>
          <w:tcPr>
            <w:tcW w:w="2655" w:type="dxa"/>
            <w:tcBorders>
              <w:tl2br w:val="nil"/>
              <w:tr2bl w:val="nil"/>
            </w:tcBorders>
            <w:shd w:val="clear" w:color="auto" w:fill="auto"/>
            <w:tcMar>
              <w:top w:w="15" w:type="dxa"/>
              <w:left w:w="15" w:type="dxa"/>
              <w:right w:w="15" w:type="dxa"/>
            </w:tcMar>
            <w:vAlign w:val="center"/>
          </w:tcPr>
          <w:p w14:paraId="704DC34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责令停产整顿，提出整顿的内容、时间等具体要求，处50万元以上100万元以下的罚款；对煤矿企业负责人处3万元以上5万元以下的罚款。</w:t>
            </w:r>
          </w:p>
        </w:tc>
      </w:tr>
      <w:tr w14:paraId="6D8ABA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6B4AD0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85A077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01250C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42B6A9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4BA46B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7352F82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采掘作业地点单班作业人数超过国家有关限员规定25%以上30%以下的</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lang w:val="en-US" w:eastAsia="zh-CN"/>
              </w:rPr>
              <w:t>或者</w:t>
            </w:r>
            <w:r>
              <w:rPr>
                <w:rFonts w:hint="eastAsia" w:ascii="仿宋_GB2312" w:hAnsi="宋体" w:eastAsia="仿宋_GB2312" w:cs="仿宋_GB2312"/>
                <w:sz w:val="18"/>
                <w:szCs w:val="18"/>
              </w:rPr>
              <w:t>违反</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rPr>
              <w:t>煤矿安全规程</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rPr>
              <w:t>关于开采冲击地压煤层限员管理规定</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lang w:val="en-US" w:eastAsia="zh-CN"/>
              </w:rPr>
              <w:t>超2人的。</w:t>
            </w:r>
          </w:p>
        </w:tc>
        <w:tc>
          <w:tcPr>
            <w:tcW w:w="2655" w:type="dxa"/>
            <w:tcBorders>
              <w:tl2br w:val="nil"/>
              <w:tr2bl w:val="nil"/>
            </w:tcBorders>
            <w:shd w:val="clear" w:color="auto" w:fill="auto"/>
            <w:tcMar>
              <w:top w:w="15" w:type="dxa"/>
              <w:left w:w="15" w:type="dxa"/>
              <w:right w:w="15" w:type="dxa"/>
            </w:tcMar>
            <w:vAlign w:val="center"/>
          </w:tcPr>
          <w:p w14:paraId="2346638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责令停产整顿，提出整顿的内容、时间等具体要求，处100万元以上150万元以下的罚款；对煤矿企业负责人处5万元以上10万元以下的罚款。</w:t>
            </w:r>
          </w:p>
        </w:tc>
      </w:tr>
      <w:tr w14:paraId="51405F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21D0AF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194D5D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D28892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4BB7CD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10AA5F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6252E0E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sz w:val="18"/>
                <w:szCs w:val="18"/>
              </w:rPr>
              <w:t>者采掘作业地点单班作业人数超过国家有关限员规定30%以上的</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lang w:val="en-US" w:eastAsia="zh-CN"/>
              </w:rPr>
              <w:t>或者</w:t>
            </w:r>
            <w:r>
              <w:rPr>
                <w:rFonts w:hint="eastAsia" w:ascii="仿宋_GB2312" w:hAnsi="宋体" w:eastAsia="仿宋_GB2312" w:cs="仿宋_GB2312"/>
                <w:sz w:val="18"/>
                <w:szCs w:val="18"/>
              </w:rPr>
              <w:t>违反</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rPr>
              <w:t>煤矿安全规程</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rPr>
              <w:t>关于开采冲击地压煤层限员管理规定</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lang w:val="en-US" w:eastAsia="zh-CN"/>
              </w:rPr>
              <w:t>超3人的。</w:t>
            </w:r>
          </w:p>
        </w:tc>
        <w:tc>
          <w:tcPr>
            <w:tcW w:w="2655" w:type="dxa"/>
            <w:tcBorders>
              <w:tl2br w:val="nil"/>
              <w:tr2bl w:val="nil"/>
            </w:tcBorders>
            <w:shd w:val="clear" w:color="auto" w:fill="auto"/>
            <w:tcMar>
              <w:top w:w="15" w:type="dxa"/>
              <w:left w:w="15" w:type="dxa"/>
              <w:right w:w="15" w:type="dxa"/>
            </w:tcMar>
            <w:vAlign w:val="center"/>
          </w:tcPr>
          <w:p w14:paraId="3B76AE8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责令停产整顿，提出整顿的内容、时间等具体要求，处150万元以上200万元以下的罚款；对煤矿企业负责人处10万元以上15万元以下的罚款。</w:t>
            </w:r>
          </w:p>
        </w:tc>
      </w:tr>
      <w:tr w14:paraId="0ED056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5946620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z w:val="18"/>
                <w:szCs w:val="18"/>
                <w:lang w:eastAsia="zh-CN"/>
              </w:rPr>
            </w:pPr>
            <w:r>
              <w:rPr>
                <w:rFonts w:hint="eastAsia" w:ascii="仿宋_GB2312" w:hAnsi="宋体" w:eastAsia="仿宋_GB2312" w:cs="仿宋_GB2312"/>
                <w:kern w:val="0"/>
                <w:sz w:val="18"/>
                <w:szCs w:val="18"/>
                <w:lang w:bidi="ar"/>
              </w:rPr>
              <w:t>3</w:t>
            </w:r>
            <w:del w:id="1398" w:author="LV" w:date="2026-07-14T16:19:03Z">
              <w:r>
                <w:rPr>
                  <w:rFonts w:hint="default" w:ascii="仿宋_GB2312" w:hAnsi="宋体" w:eastAsia="仿宋_GB2312" w:cs="仿宋_GB2312"/>
                  <w:kern w:val="0"/>
                  <w:sz w:val="18"/>
                  <w:szCs w:val="18"/>
                  <w:lang w:val="en-US" w:bidi="ar"/>
                </w:rPr>
                <w:delText>6</w:delText>
              </w:r>
            </w:del>
            <w:ins w:id="1399" w:author="LV" w:date="2026-07-14T16:19:03Z">
              <w:r>
                <w:rPr>
                  <w:rFonts w:hint="eastAsia" w:ascii="仿宋_GB2312" w:hAnsi="宋体" w:eastAsia="仿宋_GB2312" w:cs="仿宋_GB2312"/>
                  <w:kern w:val="0"/>
                  <w:sz w:val="18"/>
                  <w:szCs w:val="18"/>
                  <w:lang w:val="en-US" w:eastAsia="zh-CN" w:bidi="ar"/>
                </w:rPr>
                <w:t>8</w:t>
              </w:r>
            </w:ins>
          </w:p>
        </w:tc>
        <w:tc>
          <w:tcPr>
            <w:tcW w:w="1005" w:type="dxa"/>
            <w:vMerge w:val="restart"/>
            <w:tcBorders>
              <w:tl2br w:val="nil"/>
              <w:tr2bl w:val="nil"/>
            </w:tcBorders>
            <w:shd w:val="clear" w:color="auto" w:fill="auto"/>
            <w:tcMar>
              <w:top w:w="15" w:type="dxa"/>
              <w:left w:w="15" w:type="dxa"/>
              <w:right w:w="15" w:type="dxa"/>
            </w:tcMar>
            <w:vAlign w:val="center"/>
          </w:tcPr>
          <w:p w14:paraId="1BD914D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煤矿瓦斯超限作业的</w:t>
            </w:r>
          </w:p>
        </w:tc>
        <w:tc>
          <w:tcPr>
            <w:tcW w:w="3667" w:type="dxa"/>
            <w:vMerge w:val="restart"/>
            <w:tcBorders>
              <w:tl2br w:val="nil"/>
              <w:tr2bl w:val="nil"/>
            </w:tcBorders>
            <w:shd w:val="clear" w:color="auto" w:fill="auto"/>
            <w:tcMar>
              <w:top w:w="15" w:type="dxa"/>
              <w:left w:w="15" w:type="dxa"/>
              <w:right w:w="15" w:type="dxa"/>
            </w:tcMar>
            <w:vAlign w:val="center"/>
          </w:tcPr>
          <w:p w14:paraId="18D87FF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rPr>
            </w:pPr>
            <w:r>
              <w:rPr>
                <w:rFonts w:hint="eastAsia" w:ascii="仿宋_GB2312" w:hAnsi="宋体" w:eastAsia="仿宋_GB2312" w:cs="仿宋_GB2312"/>
                <w:sz w:val="18"/>
                <w:szCs w:val="18"/>
              </w:rPr>
              <w:t xml:space="preserve">《煤矿安全生产条例》第三十六条第二项  煤矿企业有下列情形之一的，属于重大事故隐患，应当立即停止受影响区域生产、建设，并及时消除事故隐患：（二）瓦斯超限作业的； </w:t>
            </w:r>
          </w:p>
          <w:p w14:paraId="2D1968E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rPr>
            </w:pPr>
            <w:r>
              <w:rPr>
                <w:rFonts w:hint="eastAsia" w:ascii="仿宋_GB2312" w:hAnsi="宋体" w:eastAsia="仿宋_GB2312" w:cs="仿宋_GB2312"/>
                <w:sz w:val="18"/>
                <w:szCs w:val="18"/>
              </w:rPr>
              <w:t>《煤矿重大事故隐患判定标准》第五条“瓦斯超限作业”重大事故隐患,是指有下列情形之</w:t>
            </w:r>
          </w:p>
          <w:p w14:paraId="62FA07A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rPr>
            </w:pPr>
            <w:r>
              <w:rPr>
                <w:rFonts w:hint="eastAsia" w:ascii="仿宋_GB2312" w:hAnsi="宋体" w:eastAsia="仿宋_GB2312" w:cs="仿宋_GB2312"/>
                <w:sz w:val="18"/>
                <w:szCs w:val="18"/>
              </w:rPr>
              <w:t>一的:</w:t>
            </w:r>
          </w:p>
          <w:p w14:paraId="6AA9F47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rPr>
            </w:pP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lang w:val="en-US" w:eastAsia="zh-CN"/>
              </w:rPr>
              <w:t>一</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rPr>
              <w:t>采区回风巷、采掘工作面回风巷风流中甲烷浓度达到</w:t>
            </w:r>
            <w:r>
              <w:rPr>
                <w:rFonts w:hint="eastAsia" w:ascii="仿宋_GB2312" w:hAnsi="宋体" w:eastAsia="仿宋_GB2312" w:cs="仿宋_GB2312"/>
                <w:sz w:val="18"/>
                <w:szCs w:val="18"/>
                <w:lang w:eastAsia="zh-CN"/>
              </w:rPr>
              <w:t>1</w:t>
            </w:r>
            <w:r>
              <w:rPr>
                <w:rFonts w:hint="eastAsia" w:ascii="仿宋_GB2312" w:hAnsi="宋体" w:eastAsia="仿宋_GB2312" w:cs="仿宋_GB2312"/>
                <w:sz w:val="18"/>
                <w:szCs w:val="18"/>
                <w:lang w:val="en-US" w:eastAsia="zh-CN"/>
              </w:rPr>
              <w:t>.0</w:t>
            </w:r>
            <w:r>
              <w:rPr>
                <w:rFonts w:hint="eastAsia" w:ascii="仿宋_GB2312" w:hAnsi="宋体" w:eastAsia="仿宋_GB2312" w:cs="仿宋_GB2312"/>
                <w:sz w:val="18"/>
                <w:szCs w:val="18"/>
              </w:rPr>
              <w:t>％或者二氧化碳浓度达到</w:t>
            </w:r>
            <w:r>
              <w:rPr>
                <w:rFonts w:hint="eastAsia" w:ascii="仿宋_GB2312" w:hAnsi="宋体" w:eastAsia="仿宋_GB2312" w:cs="仿宋_GB2312"/>
                <w:sz w:val="18"/>
                <w:szCs w:val="18"/>
                <w:lang w:eastAsia="zh-CN"/>
              </w:rPr>
              <w:t>1</w:t>
            </w:r>
            <w:r>
              <w:rPr>
                <w:rFonts w:hint="eastAsia" w:ascii="仿宋_GB2312" w:hAnsi="宋体" w:eastAsia="仿宋_GB2312" w:cs="仿宋_GB2312"/>
                <w:sz w:val="18"/>
                <w:szCs w:val="18"/>
                <w:lang w:val="en-US" w:eastAsia="zh-CN"/>
              </w:rPr>
              <w:t>.5</w:t>
            </w:r>
            <w:r>
              <w:rPr>
                <w:rFonts w:hint="eastAsia" w:ascii="仿宋_GB2312" w:hAnsi="宋体" w:eastAsia="仿宋_GB2312" w:cs="仿宋_GB2312"/>
                <w:sz w:val="18"/>
                <w:szCs w:val="18"/>
              </w:rPr>
              <w:t>％时</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rPr>
              <w:t>未停止工作</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rPr>
              <w:t>撤出人员、采取措施、进行处理</w:t>
            </w:r>
            <w:r>
              <w:rPr>
                <w:rFonts w:hint="eastAsia" w:ascii="仿宋_GB2312" w:hAnsi="宋体" w:eastAsia="仿宋_GB2312" w:cs="仿宋_GB2312"/>
                <w:sz w:val="18"/>
                <w:szCs w:val="18"/>
                <w:lang w:eastAsia="zh-CN"/>
              </w:rPr>
              <w:t>。</w:t>
            </w:r>
          </w:p>
          <w:p w14:paraId="5283E73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rPr>
            </w:pP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lang w:val="en-US" w:eastAsia="zh-CN"/>
              </w:rPr>
              <w:t>二</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rPr>
              <w:t>采掘工作面及其他作业地点风流中甲烷浓度达到</w:t>
            </w:r>
            <w:r>
              <w:rPr>
                <w:rFonts w:hint="eastAsia" w:ascii="仿宋_GB2312" w:hAnsi="宋体" w:eastAsia="仿宋_GB2312" w:cs="仿宋_GB2312"/>
                <w:sz w:val="18"/>
                <w:szCs w:val="18"/>
                <w:lang w:eastAsia="zh-CN"/>
              </w:rPr>
              <w:t>1</w:t>
            </w:r>
            <w:r>
              <w:rPr>
                <w:rFonts w:hint="eastAsia" w:ascii="仿宋_GB2312" w:hAnsi="宋体" w:eastAsia="仿宋_GB2312" w:cs="仿宋_GB2312"/>
                <w:sz w:val="18"/>
                <w:szCs w:val="18"/>
                <w:lang w:val="en-US" w:eastAsia="zh-CN"/>
              </w:rPr>
              <w:t>.0</w:t>
            </w:r>
            <w:r>
              <w:rPr>
                <w:rFonts w:hint="eastAsia" w:ascii="仿宋_GB2312" w:hAnsi="宋体" w:eastAsia="仿宋_GB2312" w:cs="仿宋_GB2312"/>
                <w:sz w:val="18"/>
                <w:szCs w:val="18"/>
              </w:rPr>
              <w:t>％时</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rPr>
              <w:t>没有停止用电作业</w:t>
            </w:r>
            <w:r>
              <w:rPr>
                <w:rFonts w:hint="eastAsia" w:ascii="仿宋_GB2312" w:hAnsi="宋体" w:eastAsia="仿宋_GB2312" w:cs="仿宋_GB2312"/>
                <w:sz w:val="18"/>
                <w:szCs w:val="18"/>
                <w:lang w:eastAsia="zh-CN"/>
              </w:rPr>
              <w:t>。</w:t>
            </w:r>
          </w:p>
          <w:p w14:paraId="542A832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rPr>
            </w:pP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lang w:val="en-US" w:eastAsia="zh-CN"/>
              </w:rPr>
              <w:t>三</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rPr>
              <w:t>井下爆破地点附近</w:t>
            </w:r>
            <w:r>
              <w:rPr>
                <w:rFonts w:hint="eastAsia" w:ascii="仿宋_GB2312" w:hAnsi="宋体" w:eastAsia="仿宋_GB2312" w:cs="仿宋_GB2312"/>
                <w:sz w:val="18"/>
                <w:szCs w:val="18"/>
                <w:lang w:eastAsia="zh-CN"/>
              </w:rPr>
              <w:t>2</w:t>
            </w:r>
            <w:r>
              <w:rPr>
                <w:rFonts w:hint="eastAsia" w:ascii="仿宋_GB2312" w:hAnsi="宋体" w:eastAsia="仿宋_GB2312" w:cs="仿宋_GB2312"/>
                <w:sz w:val="18"/>
                <w:szCs w:val="18"/>
                <w:lang w:val="en-US" w:eastAsia="zh-CN"/>
              </w:rPr>
              <w:t>0</w:t>
            </w:r>
            <w:r>
              <w:rPr>
                <w:rFonts w:hint="eastAsia" w:ascii="仿宋_GB2312" w:hAnsi="宋体" w:eastAsia="仿宋_GB2312" w:cs="仿宋_GB2312"/>
                <w:sz w:val="18"/>
                <w:szCs w:val="18"/>
              </w:rPr>
              <w:t>m以内风流中甲烷浓度达到</w:t>
            </w:r>
            <w:r>
              <w:rPr>
                <w:rFonts w:hint="eastAsia" w:ascii="仿宋_GB2312" w:hAnsi="宋体" w:eastAsia="仿宋_GB2312" w:cs="仿宋_GB2312"/>
                <w:sz w:val="18"/>
                <w:szCs w:val="18"/>
                <w:lang w:eastAsia="zh-CN"/>
              </w:rPr>
              <w:t>1</w:t>
            </w:r>
            <w:r>
              <w:rPr>
                <w:rFonts w:hint="eastAsia" w:ascii="仿宋_GB2312" w:hAnsi="宋体" w:eastAsia="仿宋_GB2312" w:cs="仿宋_GB2312"/>
                <w:sz w:val="18"/>
                <w:szCs w:val="18"/>
                <w:lang w:val="en-US" w:eastAsia="zh-CN"/>
              </w:rPr>
              <w:t>.0</w:t>
            </w:r>
            <w:r>
              <w:rPr>
                <w:rFonts w:hint="eastAsia" w:ascii="仿宋_GB2312" w:hAnsi="宋体" w:eastAsia="仿宋_GB2312" w:cs="仿宋_GB2312"/>
                <w:sz w:val="18"/>
                <w:szCs w:val="18"/>
              </w:rPr>
              <w:t>％时</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rPr>
              <w:t>仍实施爆破</w:t>
            </w:r>
            <w:r>
              <w:rPr>
                <w:rFonts w:hint="eastAsia" w:ascii="仿宋_GB2312" w:hAnsi="宋体" w:eastAsia="仿宋_GB2312" w:cs="仿宋_GB2312"/>
                <w:sz w:val="18"/>
                <w:szCs w:val="18"/>
                <w:lang w:eastAsia="zh-CN"/>
              </w:rPr>
              <w:t>。</w:t>
            </w:r>
          </w:p>
          <w:p w14:paraId="56DC4F4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rPr>
            </w:pP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lang w:val="en-US" w:eastAsia="zh-CN"/>
              </w:rPr>
              <w:t>四</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rPr>
              <w:t>采掘工作面及其他作业地点风流中、电动机或者其开关安设地点附近</w:t>
            </w:r>
            <w:r>
              <w:rPr>
                <w:rFonts w:hint="eastAsia" w:ascii="仿宋_GB2312" w:hAnsi="宋体" w:eastAsia="仿宋_GB2312" w:cs="仿宋_GB2312"/>
                <w:sz w:val="18"/>
                <w:szCs w:val="18"/>
                <w:lang w:eastAsia="zh-CN"/>
              </w:rPr>
              <w:t>2</w:t>
            </w:r>
            <w:r>
              <w:rPr>
                <w:rFonts w:hint="eastAsia" w:ascii="仿宋_GB2312" w:hAnsi="宋体" w:eastAsia="仿宋_GB2312" w:cs="仿宋_GB2312"/>
                <w:sz w:val="18"/>
                <w:szCs w:val="18"/>
                <w:lang w:val="en-US" w:eastAsia="zh-CN"/>
              </w:rPr>
              <w:t>0</w:t>
            </w:r>
            <w:r>
              <w:rPr>
                <w:rFonts w:hint="eastAsia" w:ascii="仿宋_GB2312" w:hAnsi="宋体" w:eastAsia="仿宋_GB2312" w:cs="仿宋_GB2312"/>
                <w:sz w:val="18"/>
                <w:szCs w:val="18"/>
              </w:rPr>
              <w:t>m以内风流中的甲烷浓度达到</w:t>
            </w:r>
            <w:r>
              <w:rPr>
                <w:rFonts w:hint="eastAsia" w:ascii="仿宋_GB2312" w:hAnsi="宋体" w:eastAsia="仿宋_GB2312" w:cs="仿宋_GB2312"/>
                <w:sz w:val="18"/>
                <w:szCs w:val="18"/>
                <w:lang w:eastAsia="zh-CN"/>
              </w:rPr>
              <w:t>1</w:t>
            </w:r>
            <w:r>
              <w:rPr>
                <w:rFonts w:hint="eastAsia" w:ascii="仿宋_GB2312" w:hAnsi="宋体" w:eastAsia="仿宋_GB2312" w:cs="仿宋_GB2312"/>
                <w:sz w:val="18"/>
                <w:szCs w:val="18"/>
                <w:lang w:val="en-US" w:eastAsia="zh-CN"/>
              </w:rPr>
              <w:t>.5</w:t>
            </w:r>
            <w:r>
              <w:rPr>
                <w:rFonts w:hint="eastAsia" w:ascii="仿宋_GB2312" w:hAnsi="宋体" w:eastAsia="仿宋_GB2312" w:cs="仿宋_GB2312"/>
                <w:sz w:val="18"/>
                <w:szCs w:val="18"/>
              </w:rPr>
              <w:t>％时</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rPr>
              <w:t>未停止工作、切断电源、撤出人员、进行处理</w:t>
            </w:r>
            <w:r>
              <w:rPr>
                <w:rFonts w:hint="eastAsia" w:ascii="仿宋_GB2312" w:hAnsi="宋体" w:eastAsia="仿宋_GB2312" w:cs="仿宋_GB2312"/>
                <w:sz w:val="18"/>
                <w:szCs w:val="18"/>
                <w:lang w:eastAsia="zh-CN"/>
              </w:rPr>
              <w:t>。</w:t>
            </w:r>
          </w:p>
          <w:p w14:paraId="10067F1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rPr>
            </w:pP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lang w:val="en-US" w:eastAsia="zh-CN"/>
              </w:rPr>
              <w:t>五</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rPr>
              <w:t>采掘工作面体积大于</w:t>
            </w:r>
            <w:r>
              <w:rPr>
                <w:rFonts w:hint="eastAsia" w:ascii="仿宋_GB2312" w:hAnsi="宋体" w:eastAsia="仿宋_GB2312" w:cs="仿宋_GB2312"/>
                <w:sz w:val="18"/>
                <w:szCs w:val="18"/>
                <w:lang w:eastAsia="zh-CN"/>
              </w:rPr>
              <w:t>0</w:t>
            </w:r>
            <w:r>
              <w:rPr>
                <w:rFonts w:hint="eastAsia" w:ascii="仿宋_GB2312" w:hAnsi="宋体" w:eastAsia="仿宋_GB2312" w:cs="仿宋_GB2312"/>
                <w:sz w:val="18"/>
                <w:szCs w:val="18"/>
                <w:lang w:val="en-US" w:eastAsia="zh-CN"/>
              </w:rPr>
              <w:t>.5m³</w:t>
            </w:r>
            <w:r>
              <w:rPr>
                <w:rFonts w:hint="eastAsia" w:ascii="仿宋_GB2312" w:hAnsi="宋体" w:eastAsia="仿宋_GB2312" w:cs="仿宋_GB2312"/>
                <w:sz w:val="18"/>
                <w:szCs w:val="18"/>
              </w:rPr>
              <w:t xml:space="preserve"> 的空间内积聚的甲烷浓度达到</w:t>
            </w:r>
            <w:r>
              <w:rPr>
                <w:rFonts w:hint="eastAsia" w:ascii="仿宋_GB2312" w:hAnsi="宋体" w:eastAsia="仿宋_GB2312" w:cs="仿宋_GB2312"/>
                <w:sz w:val="18"/>
                <w:szCs w:val="18"/>
                <w:lang w:eastAsia="zh-CN"/>
              </w:rPr>
              <w:t>2</w:t>
            </w:r>
            <w:r>
              <w:rPr>
                <w:rFonts w:hint="eastAsia" w:ascii="仿宋_GB2312" w:hAnsi="宋体" w:eastAsia="仿宋_GB2312" w:cs="仿宋_GB2312"/>
                <w:sz w:val="18"/>
                <w:szCs w:val="18"/>
                <w:lang w:val="en-US" w:eastAsia="zh-CN"/>
              </w:rPr>
              <w:t>.0</w:t>
            </w:r>
            <w:r>
              <w:rPr>
                <w:rFonts w:hint="eastAsia" w:ascii="仿宋_GB2312" w:hAnsi="宋体" w:eastAsia="仿宋_GB2312" w:cs="仿宋_GB2312"/>
                <w:sz w:val="18"/>
                <w:szCs w:val="18"/>
              </w:rPr>
              <w:t>％时</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rPr>
              <w:t>附近</w:t>
            </w:r>
            <w:r>
              <w:rPr>
                <w:rFonts w:hint="eastAsia" w:ascii="仿宋_GB2312" w:hAnsi="宋体" w:eastAsia="仿宋_GB2312" w:cs="仿宋_GB2312"/>
                <w:sz w:val="18"/>
                <w:szCs w:val="18"/>
                <w:lang w:eastAsia="zh-CN"/>
              </w:rPr>
              <w:t>2</w:t>
            </w:r>
            <w:r>
              <w:rPr>
                <w:rFonts w:hint="eastAsia" w:ascii="仿宋_GB2312" w:hAnsi="宋体" w:eastAsia="仿宋_GB2312" w:cs="仿宋_GB2312"/>
                <w:sz w:val="18"/>
                <w:szCs w:val="18"/>
                <w:lang w:val="en-US" w:eastAsia="zh-CN"/>
              </w:rPr>
              <w:t>0</w:t>
            </w:r>
            <w:r>
              <w:rPr>
                <w:rFonts w:hint="eastAsia" w:ascii="仿宋_GB2312" w:hAnsi="宋体" w:eastAsia="仿宋_GB2312" w:cs="仿宋_GB2312"/>
                <w:sz w:val="18"/>
                <w:szCs w:val="18"/>
              </w:rPr>
              <w:t>m内未停止工作、撤出人员、切断电源、进行处理</w:t>
            </w:r>
            <w:r>
              <w:rPr>
                <w:rFonts w:hint="eastAsia" w:ascii="仿宋_GB2312" w:hAnsi="宋体" w:eastAsia="仿宋_GB2312" w:cs="仿宋_GB2312"/>
                <w:sz w:val="18"/>
                <w:szCs w:val="18"/>
                <w:lang w:eastAsia="zh-CN"/>
              </w:rPr>
              <w:t>。</w:t>
            </w:r>
          </w:p>
          <w:p w14:paraId="31AE6D0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rPr>
            </w:pP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lang w:val="en-US" w:eastAsia="zh-CN"/>
              </w:rPr>
              <w:t>六</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rPr>
              <w:t>井下甲烷浓度或者二氧化碳浓度超过</w:t>
            </w:r>
            <w:r>
              <w:rPr>
                <w:rFonts w:hint="eastAsia" w:ascii="仿宋_GB2312" w:hAnsi="宋体" w:eastAsia="仿宋_GB2312" w:cs="仿宋_GB2312"/>
                <w:sz w:val="18"/>
                <w:szCs w:val="18"/>
                <w:lang w:eastAsia="zh-CN"/>
              </w:rPr>
              <w:t>3</w:t>
            </w:r>
            <w:r>
              <w:rPr>
                <w:rFonts w:hint="eastAsia" w:ascii="仿宋_GB2312" w:hAnsi="宋体" w:eastAsia="仿宋_GB2312" w:cs="仿宋_GB2312"/>
                <w:sz w:val="18"/>
                <w:szCs w:val="18"/>
                <w:lang w:val="en-US" w:eastAsia="zh-CN"/>
              </w:rPr>
              <w:t>.0</w:t>
            </w:r>
            <w:r>
              <w:rPr>
                <w:rFonts w:hint="eastAsia" w:ascii="仿宋_GB2312" w:hAnsi="宋体" w:eastAsia="仿宋_GB2312" w:cs="仿宋_GB2312"/>
                <w:sz w:val="18"/>
                <w:szCs w:val="18"/>
              </w:rPr>
              <w:t>％的停风区恢复通风时,未制定安全排放瓦斯措施并经煤矿总工程师批准实施</w:t>
            </w:r>
            <w:r>
              <w:rPr>
                <w:rFonts w:hint="eastAsia" w:ascii="仿宋_GB2312" w:hAnsi="宋体" w:eastAsia="仿宋_GB2312" w:cs="仿宋_GB2312"/>
                <w:sz w:val="18"/>
                <w:szCs w:val="18"/>
                <w:lang w:eastAsia="zh-CN"/>
              </w:rPr>
              <w:t>。</w:t>
            </w:r>
          </w:p>
          <w:p w14:paraId="5429721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rPr>
            </w:pP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lang w:val="en-US" w:eastAsia="zh-CN"/>
              </w:rPr>
              <w:t>七</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rPr>
              <w:t>井下排放瓦斯过程中,混合风流经过的巷道内未停电撤人或者排出的瓦斯与全风压风流混合处的甲烷、二氧化碳浓度超过</w:t>
            </w:r>
            <w:r>
              <w:rPr>
                <w:rFonts w:hint="eastAsia" w:ascii="仿宋_GB2312" w:hAnsi="宋体" w:eastAsia="仿宋_GB2312" w:cs="仿宋_GB2312"/>
                <w:sz w:val="18"/>
                <w:szCs w:val="18"/>
                <w:lang w:eastAsia="zh-CN"/>
              </w:rPr>
              <w:t>1</w:t>
            </w:r>
            <w:r>
              <w:rPr>
                <w:rFonts w:hint="eastAsia" w:ascii="仿宋_GB2312" w:hAnsi="宋体" w:eastAsia="仿宋_GB2312" w:cs="仿宋_GB2312"/>
                <w:sz w:val="18"/>
                <w:szCs w:val="18"/>
                <w:lang w:val="en-US" w:eastAsia="zh-CN"/>
              </w:rPr>
              <w:t>.5</w:t>
            </w:r>
            <w:r>
              <w:rPr>
                <w:rFonts w:hint="eastAsia" w:ascii="仿宋_GB2312" w:hAnsi="宋体" w:eastAsia="仿宋_GB2312" w:cs="仿宋_GB2312"/>
                <w:sz w:val="18"/>
                <w:szCs w:val="18"/>
              </w:rPr>
              <w:t>％</w:t>
            </w:r>
            <w:r>
              <w:rPr>
                <w:rFonts w:hint="eastAsia" w:ascii="仿宋_GB2312" w:hAnsi="宋体" w:eastAsia="仿宋_GB2312" w:cs="仿宋_GB2312"/>
                <w:sz w:val="18"/>
                <w:szCs w:val="18"/>
                <w:lang w:eastAsia="zh-CN"/>
              </w:rPr>
              <w:t>。</w:t>
            </w:r>
          </w:p>
          <w:p w14:paraId="5514349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rPr>
            </w:pP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lang w:val="en-US" w:eastAsia="zh-CN"/>
              </w:rPr>
              <w:t>八</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rPr>
              <w:t>采掘工作面因瓦斯治理不到位造成甲烷浓度达到</w:t>
            </w:r>
            <w:r>
              <w:rPr>
                <w:rFonts w:hint="eastAsia" w:ascii="仿宋_GB2312" w:hAnsi="宋体" w:eastAsia="仿宋_GB2312" w:cs="仿宋_GB2312"/>
                <w:sz w:val="18"/>
                <w:szCs w:val="18"/>
                <w:lang w:eastAsia="zh-CN"/>
              </w:rPr>
              <w:t>3</w:t>
            </w:r>
            <w:r>
              <w:rPr>
                <w:rFonts w:hint="eastAsia" w:ascii="仿宋_GB2312" w:hAnsi="宋体" w:eastAsia="仿宋_GB2312" w:cs="仿宋_GB2312"/>
                <w:sz w:val="18"/>
                <w:szCs w:val="18"/>
                <w:lang w:val="en-US" w:eastAsia="zh-CN"/>
              </w:rPr>
              <w:t>.0</w:t>
            </w:r>
            <w:r>
              <w:rPr>
                <w:rFonts w:hint="eastAsia" w:ascii="仿宋_GB2312" w:hAnsi="宋体" w:eastAsia="仿宋_GB2312" w:cs="仿宋_GB2312"/>
                <w:sz w:val="18"/>
                <w:szCs w:val="18"/>
              </w:rPr>
              <w:t>％以上且持续时长超过</w:t>
            </w:r>
            <w:r>
              <w:rPr>
                <w:rFonts w:hint="eastAsia" w:ascii="仿宋_GB2312" w:hAnsi="宋体" w:eastAsia="仿宋_GB2312" w:cs="仿宋_GB2312"/>
                <w:sz w:val="18"/>
                <w:szCs w:val="18"/>
                <w:lang w:eastAsia="zh-CN"/>
              </w:rPr>
              <w:t>1</w:t>
            </w:r>
            <w:r>
              <w:rPr>
                <w:rFonts w:hint="eastAsia" w:ascii="仿宋_GB2312" w:hAnsi="宋体" w:eastAsia="仿宋_GB2312" w:cs="仿宋_GB2312"/>
                <w:sz w:val="18"/>
                <w:szCs w:val="18"/>
                <w:lang w:val="en-US" w:eastAsia="zh-CN"/>
              </w:rPr>
              <w:t>0</w:t>
            </w:r>
            <w:r>
              <w:rPr>
                <w:rFonts w:hint="eastAsia" w:ascii="仿宋_GB2312" w:hAnsi="宋体" w:eastAsia="仿宋_GB2312" w:cs="仿宋_GB2312"/>
                <w:sz w:val="18"/>
                <w:szCs w:val="18"/>
              </w:rPr>
              <w:t>min(停电停风及打钻喷孔除外)</w:t>
            </w:r>
            <w:r>
              <w:rPr>
                <w:rFonts w:hint="eastAsia" w:ascii="仿宋_GB2312" w:hAnsi="宋体" w:eastAsia="仿宋_GB2312" w:cs="仿宋_GB2312"/>
                <w:sz w:val="18"/>
                <w:szCs w:val="18"/>
                <w:lang w:eastAsia="zh-CN"/>
              </w:rPr>
              <w:t>。</w:t>
            </w:r>
          </w:p>
          <w:p w14:paraId="242F51F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lang w:val="en-US" w:eastAsia="zh-CN"/>
              </w:rPr>
              <w:t>九</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rPr>
              <w:t>存在下列瓦斯抽采不达标情形之一的:</w:t>
            </w:r>
            <w:r>
              <w:rPr>
                <w:rFonts w:hint="eastAsia" w:ascii="仿宋_GB2312" w:hAnsi="宋体" w:eastAsia="仿宋_GB2312" w:cs="仿宋_GB2312"/>
                <w:sz w:val="18"/>
                <w:szCs w:val="18"/>
                <w:lang w:eastAsia="zh-CN"/>
              </w:rPr>
              <w:t>1</w:t>
            </w:r>
            <w:r>
              <w:rPr>
                <w:rFonts w:hint="eastAsia" w:ascii="仿宋_GB2312" w:hAnsi="宋体" w:eastAsia="仿宋_GB2312" w:cs="仿宋_GB2312"/>
                <w:sz w:val="18"/>
                <w:szCs w:val="18"/>
                <w:lang w:val="en-US" w:eastAsia="zh-CN"/>
              </w:rPr>
              <w:t>.</w:t>
            </w:r>
            <w:r>
              <w:rPr>
                <w:rFonts w:hint="eastAsia" w:ascii="仿宋_GB2312" w:hAnsi="宋体" w:eastAsia="仿宋_GB2312" w:cs="仿宋_GB2312"/>
                <w:sz w:val="18"/>
                <w:szCs w:val="18"/>
              </w:rPr>
              <w:t>瓦斯涌出量主要来自于开采层时,采煤工作面前方</w:t>
            </w:r>
            <w:r>
              <w:rPr>
                <w:rFonts w:hint="eastAsia" w:ascii="仿宋_GB2312" w:hAnsi="宋体" w:eastAsia="仿宋_GB2312" w:cs="仿宋_GB2312"/>
                <w:sz w:val="18"/>
                <w:szCs w:val="18"/>
                <w:lang w:eastAsia="zh-CN"/>
              </w:rPr>
              <w:t>2</w:t>
            </w:r>
            <w:r>
              <w:rPr>
                <w:rFonts w:hint="eastAsia" w:ascii="仿宋_GB2312" w:hAnsi="宋体" w:eastAsia="仿宋_GB2312" w:cs="仿宋_GB2312"/>
                <w:sz w:val="18"/>
                <w:szCs w:val="18"/>
                <w:lang w:val="en-US" w:eastAsia="zh-CN"/>
              </w:rPr>
              <w:t>0</w:t>
            </w:r>
            <w:r>
              <w:rPr>
                <w:rFonts w:hint="eastAsia" w:ascii="仿宋_GB2312" w:hAnsi="宋体" w:eastAsia="仿宋_GB2312" w:cs="仿宋_GB2312"/>
                <w:sz w:val="18"/>
                <w:szCs w:val="18"/>
              </w:rPr>
              <w:t>m以上范围内煤的可解吸瓦斯量不符合表１规定</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rPr>
              <w:t>２</w:t>
            </w:r>
            <w:r>
              <w:rPr>
                <w:rFonts w:hint="eastAsia" w:ascii="仿宋_GB2312" w:hAnsi="宋体" w:eastAsia="仿宋_GB2312" w:cs="仿宋_GB2312"/>
                <w:sz w:val="18"/>
                <w:szCs w:val="18"/>
                <w:lang w:val="en-US" w:eastAsia="zh-CN"/>
              </w:rPr>
              <w:t>.</w:t>
            </w:r>
            <w:r>
              <w:rPr>
                <w:rFonts w:hint="eastAsia" w:ascii="仿宋_GB2312" w:hAnsi="宋体" w:eastAsia="仿宋_GB2312" w:cs="仿宋_GB2312"/>
                <w:sz w:val="18"/>
                <w:szCs w:val="18"/>
              </w:rPr>
              <w:t>瓦斯涌出量主要来自于邻近层和围岩时,采煤工作面瓦斯抽采率不符合表２规定</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rPr>
              <w:t>３</w:t>
            </w:r>
            <w:r>
              <w:rPr>
                <w:rFonts w:hint="eastAsia" w:ascii="仿宋_GB2312" w:hAnsi="宋体" w:eastAsia="仿宋_GB2312" w:cs="仿宋_GB2312"/>
                <w:sz w:val="18"/>
                <w:szCs w:val="18"/>
                <w:lang w:val="en-US" w:eastAsia="zh-CN"/>
              </w:rPr>
              <w:t>.</w:t>
            </w:r>
            <w:r>
              <w:rPr>
                <w:rFonts w:hint="eastAsia" w:ascii="仿宋_GB2312" w:hAnsi="宋体" w:eastAsia="仿宋_GB2312" w:cs="仿宋_GB2312"/>
                <w:sz w:val="18"/>
                <w:szCs w:val="18"/>
              </w:rPr>
              <w:t>矿井瓦斯抽采率不符合表３规定</w:t>
            </w:r>
            <w:r>
              <w:rPr>
                <w:rFonts w:hint="eastAsia" w:ascii="仿宋_GB2312" w:hAnsi="宋体" w:eastAsia="仿宋_GB2312" w:cs="仿宋_GB2312"/>
                <w:sz w:val="18"/>
                <w:szCs w:val="18"/>
                <w:lang w:eastAsia="zh-CN"/>
              </w:rPr>
              <w:t>。</w:t>
            </w:r>
          </w:p>
        </w:tc>
        <w:tc>
          <w:tcPr>
            <w:tcW w:w="4082" w:type="dxa"/>
            <w:vMerge w:val="restart"/>
            <w:tcBorders>
              <w:tl2br w:val="nil"/>
              <w:tr2bl w:val="nil"/>
            </w:tcBorders>
            <w:shd w:val="clear" w:color="auto" w:fill="auto"/>
            <w:tcMar>
              <w:top w:w="15" w:type="dxa"/>
              <w:left w:w="15" w:type="dxa"/>
              <w:right w:w="15" w:type="dxa"/>
            </w:tcMar>
            <w:vAlign w:val="center"/>
          </w:tcPr>
          <w:p w14:paraId="57EB8A2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《煤矿安全生产条例》第六十四条  对存在重大事故隐患仍然进行生产的煤矿企业，责令停产整顿，明确整顿的内容、时间等具体要求，并处50万元以上200万元以下的罚款；对煤矿企业主要负责人处3万元以上15万元以下的罚款。</w:t>
            </w:r>
          </w:p>
        </w:tc>
        <w:tc>
          <w:tcPr>
            <w:tcW w:w="459" w:type="dxa"/>
            <w:tcBorders>
              <w:tl2br w:val="nil"/>
              <w:tr2bl w:val="nil"/>
            </w:tcBorders>
            <w:shd w:val="clear" w:color="auto" w:fill="auto"/>
            <w:noWrap/>
            <w:tcMar>
              <w:top w:w="15" w:type="dxa"/>
              <w:left w:w="15" w:type="dxa"/>
              <w:right w:w="15" w:type="dxa"/>
            </w:tcMar>
            <w:vAlign w:val="center"/>
          </w:tcPr>
          <w:p w14:paraId="246B915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0DDA193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070CC0D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CD5C0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997863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9C3097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C2182D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4BF0E2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C0C1BB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2ECCC97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5C50FA5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A14D7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6163FA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6DF3B3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D11365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E4AF29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3D5BA9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31276A4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72DCEB5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1C69A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313B68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7D18A6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DABB19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FD0C5A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0F58DC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4FE363B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rPr>
            </w:pPr>
            <w:r>
              <w:rPr>
                <w:rFonts w:hint="eastAsia" w:ascii="仿宋_GB2312" w:hAnsi="宋体" w:eastAsia="仿宋_GB2312" w:cs="仿宋_GB2312"/>
                <w:kern w:val="0"/>
                <w:sz w:val="18"/>
                <w:szCs w:val="18"/>
                <w:lang w:val="en-US" w:eastAsia="zh-CN" w:bidi="ar"/>
              </w:rPr>
              <w:t>①</w:t>
            </w:r>
            <w:r>
              <w:rPr>
                <w:rFonts w:hint="eastAsia" w:ascii="仿宋_GB2312" w:hAnsi="宋体" w:eastAsia="仿宋_GB2312" w:cs="仿宋_GB2312"/>
                <w:sz w:val="18"/>
                <w:szCs w:val="18"/>
              </w:rPr>
              <w:t>采掘工作面及其他作业地点风流中甲烷浓度达到</w:t>
            </w:r>
            <w:r>
              <w:rPr>
                <w:rFonts w:hint="eastAsia" w:ascii="仿宋_GB2312" w:hAnsi="宋体" w:eastAsia="仿宋_GB2312" w:cs="仿宋_GB2312"/>
                <w:sz w:val="18"/>
                <w:szCs w:val="18"/>
                <w:lang w:eastAsia="zh-CN"/>
              </w:rPr>
              <w:t>1</w:t>
            </w:r>
            <w:r>
              <w:rPr>
                <w:rFonts w:hint="eastAsia" w:ascii="仿宋_GB2312" w:hAnsi="宋体" w:eastAsia="仿宋_GB2312" w:cs="仿宋_GB2312"/>
                <w:sz w:val="18"/>
                <w:szCs w:val="18"/>
                <w:lang w:val="en-US" w:eastAsia="zh-CN"/>
              </w:rPr>
              <w:t>.0</w:t>
            </w:r>
            <w:r>
              <w:rPr>
                <w:rFonts w:hint="eastAsia" w:ascii="仿宋_GB2312" w:hAnsi="宋体" w:eastAsia="仿宋_GB2312" w:cs="仿宋_GB2312"/>
                <w:sz w:val="18"/>
                <w:szCs w:val="18"/>
              </w:rPr>
              <w:t>％时</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rPr>
              <w:t>没有停止用电作业</w:t>
            </w:r>
            <w:r>
              <w:rPr>
                <w:rFonts w:hint="eastAsia" w:ascii="仿宋_GB2312" w:hAnsi="宋体" w:eastAsia="仿宋_GB2312" w:cs="仿宋_GB2312"/>
                <w:sz w:val="18"/>
                <w:szCs w:val="18"/>
                <w:lang w:eastAsia="zh-CN"/>
              </w:rPr>
              <w:t>。</w:t>
            </w:r>
          </w:p>
          <w:p w14:paraId="3A530F6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lang w:val="en-US" w:eastAsia="zh-CN"/>
              </w:rPr>
            </w:pPr>
            <w:r>
              <w:rPr>
                <w:rFonts w:hint="eastAsia" w:ascii="仿宋_GB2312" w:hAnsi="宋体" w:eastAsia="仿宋_GB2312" w:cs="仿宋_GB2312"/>
                <w:sz w:val="18"/>
                <w:szCs w:val="18"/>
                <w:lang w:val="en-US" w:eastAsia="zh-CN"/>
              </w:rPr>
              <w:t>②</w:t>
            </w:r>
            <w:r>
              <w:rPr>
                <w:rFonts w:hint="eastAsia" w:ascii="仿宋_GB2312" w:hAnsi="宋体" w:eastAsia="仿宋_GB2312" w:cs="仿宋_GB2312"/>
                <w:sz w:val="18"/>
                <w:szCs w:val="18"/>
              </w:rPr>
              <w:t>采掘工作面体积大于</w:t>
            </w:r>
            <w:r>
              <w:rPr>
                <w:rFonts w:hint="eastAsia" w:ascii="仿宋_GB2312" w:hAnsi="宋体" w:eastAsia="仿宋_GB2312" w:cs="仿宋_GB2312"/>
                <w:sz w:val="18"/>
                <w:szCs w:val="18"/>
                <w:lang w:eastAsia="zh-CN"/>
              </w:rPr>
              <w:t>0</w:t>
            </w:r>
            <w:r>
              <w:rPr>
                <w:rFonts w:hint="eastAsia" w:ascii="仿宋_GB2312" w:hAnsi="宋体" w:eastAsia="仿宋_GB2312" w:cs="仿宋_GB2312"/>
                <w:sz w:val="18"/>
                <w:szCs w:val="18"/>
                <w:lang w:val="en-US" w:eastAsia="zh-CN"/>
              </w:rPr>
              <w:t>.5m³</w:t>
            </w:r>
            <w:r>
              <w:rPr>
                <w:rFonts w:hint="eastAsia" w:ascii="仿宋_GB2312" w:hAnsi="宋体" w:eastAsia="仿宋_GB2312" w:cs="仿宋_GB2312"/>
                <w:sz w:val="18"/>
                <w:szCs w:val="18"/>
              </w:rPr>
              <w:t xml:space="preserve"> 的空间内积聚的甲烷浓度达到</w:t>
            </w:r>
            <w:r>
              <w:rPr>
                <w:rFonts w:hint="eastAsia" w:ascii="仿宋_GB2312" w:hAnsi="宋体" w:eastAsia="仿宋_GB2312" w:cs="仿宋_GB2312"/>
                <w:sz w:val="18"/>
                <w:szCs w:val="18"/>
                <w:lang w:eastAsia="zh-CN"/>
              </w:rPr>
              <w:t>2</w:t>
            </w:r>
            <w:r>
              <w:rPr>
                <w:rFonts w:hint="eastAsia" w:ascii="仿宋_GB2312" w:hAnsi="宋体" w:eastAsia="仿宋_GB2312" w:cs="仿宋_GB2312"/>
                <w:sz w:val="18"/>
                <w:szCs w:val="18"/>
                <w:lang w:val="en-US" w:eastAsia="zh-CN"/>
              </w:rPr>
              <w:t>.0</w:t>
            </w:r>
            <w:r>
              <w:rPr>
                <w:rFonts w:hint="eastAsia" w:ascii="仿宋_GB2312" w:hAnsi="宋体" w:eastAsia="仿宋_GB2312" w:cs="仿宋_GB2312"/>
                <w:sz w:val="18"/>
                <w:szCs w:val="18"/>
              </w:rPr>
              <w:t>％时</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rPr>
              <w:t>附近</w:t>
            </w:r>
            <w:r>
              <w:rPr>
                <w:rFonts w:hint="eastAsia" w:ascii="仿宋_GB2312" w:hAnsi="宋体" w:eastAsia="仿宋_GB2312" w:cs="仿宋_GB2312"/>
                <w:sz w:val="18"/>
                <w:szCs w:val="18"/>
                <w:lang w:eastAsia="zh-CN"/>
              </w:rPr>
              <w:t>2</w:t>
            </w:r>
            <w:r>
              <w:rPr>
                <w:rFonts w:hint="eastAsia" w:ascii="仿宋_GB2312" w:hAnsi="宋体" w:eastAsia="仿宋_GB2312" w:cs="仿宋_GB2312"/>
                <w:sz w:val="18"/>
                <w:szCs w:val="18"/>
                <w:lang w:val="en-US" w:eastAsia="zh-CN"/>
              </w:rPr>
              <w:t>0</w:t>
            </w:r>
            <w:r>
              <w:rPr>
                <w:rFonts w:hint="eastAsia" w:ascii="仿宋_GB2312" w:hAnsi="宋体" w:eastAsia="仿宋_GB2312" w:cs="仿宋_GB2312"/>
                <w:sz w:val="18"/>
                <w:szCs w:val="18"/>
              </w:rPr>
              <w:t>m内未停止工作、撤出人员、切断电源、进行处理</w:t>
            </w:r>
            <w:r>
              <w:rPr>
                <w:rFonts w:hint="eastAsia" w:ascii="仿宋_GB2312" w:hAnsi="宋体" w:eastAsia="仿宋_GB2312" w:cs="仿宋_GB2312"/>
                <w:sz w:val="18"/>
                <w:szCs w:val="18"/>
                <w:lang w:eastAsia="zh-CN"/>
              </w:rPr>
              <w:t>。</w:t>
            </w:r>
          </w:p>
        </w:tc>
        <w:tc>
          <w:tcPr>
            <w:tcW w:w="2655" w:type="dxa"/>
            <w:tcBorders>
              <w:tl2br w:val="nil"/>
              <w:tr2bl w:val="nil"/>
            </w:tcBorders>
            <w:shd w:val="clear" w:color="auto" w:fill="auto"/>
            <w:tcMar>
              <w:top w:w="15" w:type="dxa"/>
              <w:left w:w="15" w:type="dxa"/>
              <w:right w:w="15" w:type="dxa"/>
            </w:tcMar>
            <w:vAlign w:val="center"/>
          </w:tcPr>
          <w:p w14:paraId="4FE8E2F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责令停产整顿，提出整顿的内容、时间等具体要求，处50万元以上100万元以下的罚款；对煤矿企业负责人处3万元以上5万元以下的罚款。</w:t>
            </w:r>
          </w:p>
        </w:tc>
      </w:tr>
      <w:tr w14:paraId="19102E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37A849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07D272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D89B02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F57C3D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382884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10B4EE2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rPr>
            </w:pPr>
            <w:r>
              <w:rPr>
                <w:rFonts w:hint="eastAsia" w:ascii="仿宋_GB2312" w:hAnsi="宋体" w:eastAsia="仿宋_GB2312" w:cs="仿宋_GB2312"/>
                <w:sz w:val="18"/>
                <w:szCs w:val="18"/>
              </w:rPr>
              <w:t>采掘工作面因瓦斯治理不到位造成甲烷浓度达到</w:t>
            </w:r>
            <w:r>
              <w:rPr>
                <w:rFonts w:hint="eastAsia" w:ascii="仿宋_GB2312" w:hAnsi="宋体" w:eastAsia="仿宋_GB2312" w:cs="仿宋_GB2312"/>
                <w:sz w:val="18"/>
                <w:szCs w:val="18"/>
                <w:lang w:eastAsia="zh-CN"/>
              </w:rPr>
              <w:t>3</w:t>
            </w:r>
            <w:r>
              <w:rPr>
                <w:rFonts w:hint="eastAsia" w:ascii="仿宋_GB2312" w:hAnsi="宋体" w:eastAsia="仿宋_GB2312" w:cs="仿宋_GB2312"/>
                <w:sz w:val="18"/>
                <w:szCs w:val="18"/>
                <w:lang w:val="en-US" w:eastAsia="zh-CN"/>
              </w:rPr>
              <w:t>.0</w:t>
            </w:r>
            <w:r>
              <w:rPr>
                <w:rFonts w:hint="eastAsia" w:ascii="仿宋_GB2312" w:hAnsi="宋体" w:eastAsia="仿宋_GB2312" w:cs="仿宋_GB2312"/>
                <w:sz w:val="18"/>
                <w:szCs w:val="18"/>
              </w:rPr>
              <w:t>％以上且持续时长超过</w:t>
            </w:r>
            <w:r>
              <w:rPr>
                <w:rFonts w:hint="eastAsia" w:ascii="仿宋_GB2312" w:hAnsi="宋体" w:eastAsia="仿宋_GB2312" w:cs="仿宋_GB2312"/>
                <w:sz w:val="18"/>
                <w:szCs w:val="18"/>
                <w:lang w:eastAsia="zh-CN"/>
              </w:rPr>
              <w:t>1</w:t>
            </w:r>
            <w:r>
              <w:rPr>
                <w:rFonts w:hint="eastAsia" w:ascii="仿宋_GB2312" w:hAnsi="宋体" w:eastAsia="仿宋_GB2312" w:cs="仿宋_GB2312"/>
                <w:sz w:val="18"/>
                <w:szCs w:val="18"/>
                <w:lang w:val="en-US" w:eastAsia="zh-CN"/>
              </w:rPr>
              <w:t>0</w:t>
            </w:r>
            <w:r>
              <w:rPr>
                <w:rFonts w:hint="eastAsia" w:ascii="仿宋_GB2312" w:hAnsi="宋体" w:eastAsia="仿宋_GB2312" w:cs="仿宋_GB2312"/>
                <w:sz w:val="18"/>
                <w:szCs w:val="18"/>
              </w:rPr>
              <w:t>min(停电停风及打钻喷孔除外)</w:t>
            </w:r>
            <w:r>
              <w:rPr>
                <w:rFonts w:hint="eastAsia" w:ascii="仿宋_GB2312" w:hAnsi="宋体" w:eastAsia="仿宋_GB2312" w:cs="仿宋_GB2312"/>
                <w:sz w:val="18"/>
                <w:szCs w:val="18"/>
                <w:lang w:eastAsia="zh-CN"/>
              </w:rPr>
              <w:t>。</w:t>
            </w:r>
          </w:p>
          <w:p w14:paraId="523A888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p>
        </w:tc>
        <w:tc>
          <w:tcPr>
            <w:tcW w:w="2655" w:type="dxa"/>
            <w:tcBorders>
              <w:tl2br w:val="nil"/>
              <w:tr2bl w:val="nil"/>
            </w:tcBorders>
            <w:shd w:val="clear" w:color="auto" w:fill="auto"/>
            <w:tcMar>
              <w:top w:w="15" w:type="dxa"/>
              <w:left w:w="15" w:type="dxa"/>
              <w:right w:w="15" w:type="dxa"/>
            </w:tcMar>
            <w:vAlign w:val="center"/>
          </w:tcPr>
          <w:p w14:paraId="61C040A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责令停产整顿，提出整顿的内容、时间等具体要求，处100万元以上150万元以下的罚款；对煤矿企业负责人处5万元以上10万元以下的罚款。</w:t>
            </w:r>
          </w:p>
        </w:tc>
      </w:tr>
      <w:tr w14:paraId="7D0C8F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DA8481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F56159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B96493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139EF3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0D9E93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7DDAD6B1">
            <w:pPr>
              <w:keepNext w:val="0"/>
              <w:keepLines w:val="0"/>
              <w:pageBreakBefore w:val="0"/>
              <w:widowControl w:val="0"/>
              <w:kinsoku/>
              <w:wordWrap/>
              <w:overflowPunct w:val="0"/>
              <w:topLinePunct w:val="0"/>
              <w:autoSpaceDE/>
              <w:autoSpaceDN/>
              <w:bidi w:val="0"/>
              <w:adjustRightInd/>
              <w:snapToGrid/>
              <w:spacing w:line="260" w:lineRule="exact"/>
              <w:textAlignment w:val="center"/>
              <w:rPr>
                <w:ins w:id="1401" w:author="LV" w:date="2026-07-27T15:38:38Z"/>
                <w:rFonts w:hint="eastAsia" w:ascii="仿宋_GB2312" w:hAnsi="宋体" w:eastAsia="仿宋_GB2312" w:cs="仿宋_GB2312"/>
                <w:sz w:val="18"/>
                <w:szCs w:val="18"/>
                <w:lang w:eastAsia="zh-CN"/>
              </w:rPr>
              <w:pPrChange w:id="1400" w:author="LV" w:date="2026-07-27T15:38:27Z">
                <w:pPr>
                  <w:keepNext w:val="0"/>
                  <w:keepLines w:val="0"/>
                  <w:pageBreakBefore w:val="0"/>
                  <w:widowControl w:val="0"/>
                  <w:kinsoku/>
                  <w:wordWrap/>
                  <w:overflowPunct w:val="0"/>
                  <w:topLinePunct w:val="0"/>
                  <w:autoSpaceDE/>
                  <w:autoSpaceDN/>
                  <w:bidi w:val="0"/>
                  <w:adjustRightInd/>
                  <w:snapToGrid/>
                  <w:spacing w:line="280" w:lineRule="exact"/>
                  <w:textAlignment w:val="center"/>
                </w:pPr>
              </w:pPrChange>
            </w:pPr>
            <w:r>
              <w:rPr>
                <w:rFonts w:hint="eastAsia" w:ascii="仿宋_GB2312" w:hAnsi="宋体" w:eastAsia="仿宋_GB2312" w:cs="仿宋_GB2312"/>
                <w:sz w:val="18"/>
                <w:szCs w:val="18"/>
                <w:lang w:val="en-US" w:eastAsia="zh-CN"/>
              </w:rPr>
              <w:t>①</w:t>
            </w:r>
            <w:r>
              <w:rPr>
                <w:rFonts w:hint="eastAsia" w:ascii="仿宋_GB2312" w:hAnsi="宋体" w:eastAsia="仿宋_GB2312" w:cs="仿宋_GB2312"/>
                <w:sz w:val="18"/>
                <w:szCs w:val="18"/>
              </w:rPr>
              <w:t>采区回风巷、采掘工作面回风巷风流中甲烷浓度达到</w:t>
            </w:r>
            <w:r>
              <w:rPr>
                <w:rFonts w:hint="eastAsia" w:ascii="仿宋_GB2312" w:hAnsi="宋体" w:eastAsia="仿宋_GB2312" w:cs="仿宋_GB2312"/>
                <w:sz w:val="18"/>
                <w:szCs w:val="18"/>
                <w:lang w:eastAsia="zh-CN"/>
              </w:rPr>
              <w:t>1</w:t>
            </w:r>
            <w:r>
              <w:rPr>
                <w:rFonts w:hint="eastAsia" w:ascii="仿宋_GB2312" w:hAnsi="宋体" w:eastAsia="仿宋_GB2312" w:cs="仿宋_GB2312"/>
                <w:sz w:val="18"/>
                <w:szCs w:val="18"/>
                <w:lang w:val="en-US" w:eastAsia="zh-CN"/>
              </w:rPr>
              <w:t>.0</w:t>
            </w:r>
            <w:r>
              <w:rPr>
                <w:rFonts w:hint="eastAsia" w:ascii="仿宋_GB2312" w:hAnsi="宋体" w:eastAsia="仿宋_GB2312" w:cs="仿宋_GB2312"/>
                <w:sz w:val="18"/>
                <w:szCs w:val="18"/>
              </w:rPr>
              <w:t>％或者二氧化碳浓度达到</w:t>
            </w:r>
            <w:r>
              <w:rPr>
                <w:rFonts w:hint="eastAsia" w:ascii="仿宋_GB2312" w:hAnsi="宋体" w:eastAsia="仿宋_GB2312" w:cs="仿宋_GB2312"/>
                <w:sz w:val="18"/>
                <w:szCs w:val="18"/>
                <w:lang w:eastAsia="zh-CN"/>
              </w:rPr>
              <w:t>1</w:t>
            </w:r>
            <w:r>
              <w:rPr>
                <w:rFonts w:hint="eastAsia" w:ascii="仿宋_GB2312" w:hAnsi="宋体" w:eastAsia="仿宋_GB2312" w:cs="仿宋_GB2312"/>
                <w:sz w:val="18"/>
                <w:szCs w:val="18"/>
                <w:lang w:val="en-US" w:eastAsia="zh-CN"/>
              </w:rPr>
              <w:t>.5</w:t>
            </w:r>
            <w:r>
              <w:rPr>
                <w:rFonts w:hint="eastAsia" w:ascii="仿宋_GB2312" w:hAnsi="宋体" w:eastAsia="仿宋_GB2312" w:cs="仿宋_GB2312"/>
                <w:sz w:val="18"/>
                <w:szCs w:val="18"/>
              </w:rPr>
              <w:t>％时</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rPr>
              <w:t>未停止工作</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rPr>
              <w:t>撤出人员、采取措施、进行处理</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lang w:val="en-US" w:eastAsia="zh-CN"/>
              </w:rPr>
              <w:t>②</w:t>
            </w:r>
            <w:r>
              <w:rPr>
                <w:rFonts w:hint="eastAsia" w:ascii="仿宋_GB2312" w:hAnsi="宋体" w:eastAsia="仿宋_GB2312" w:cs="仿宋_GB2312"/>
                <w:sz w:val="18"/>
                <w:szCs w:val="18"/>
              </w:rPr>
              <w:t>井下爆破地点附近</w:t>
            </w:r>
            <w:r>
              <w:rPr>
                <w:rFonts w:hint="eastAsia" w:ascii="仿宋_GB2312" w:hAnsi="宋体" w:eastAsia="仿宋_GB2312" w:cs="仿宋_GB2312"/>
                <w:sz w:val="18"/>
                <w:szCs w:val="18"/>
                <w:lang w:eastAsia="zh-CN"/>
              </w:rPr>
              <w:t>2</w:t>
            </w:r>
            <w:r>
              <w:rPr>
                <w:rFonts w:hint="eastAsia" w:ascii="仿宋_GB2312" w:hAnsi="宋体" w:eastAsia="仿宋_GB2312" w:cs="仿宋_GB2312"/>
                <w:sz w:val="18"/>
                <w:szCs w:val="18"/>
                <w:lang w:val="en-US" w:eastAsia="zh-CN"/>
              </w:rPr>
              <w:t>0</w:t>
            </w:r>
            <w:r>
              <w:rPr>
                <w:rFonts w:hint="eastAsia" w:ascii="仿宋_GB2312" w:hAnsi="宋体" w:eastAsia="仿宋_GB2312" w:cs="仿宋_GB2312"/>
                <w:sz w:val="18"/>
                <w:szCs w:val="18"/>
              </w:rPr>
              <w:t>m以内风流中甲烷浓度达到</w:t>
            </w:r>
            <w:r>
              <w:rPr>
                <w:rFonts w:hint="eastAsia" w:ascii="仿宋_GB2312" w:hAnsi="宋体" w:eastAsia="仿宋_GB2312" w:cs="仿宋_GB2312"/>
                <w:sz w:val="18"/>
                <w:szCs w:val="18"/>
                <w:lang w:eastAsia="zh-CN"/>
              </w:rPr>
              <w:t>1</w:t>
            </w:r>
            <w:r>
              <w:rPr>
                <w:rFonts w:hint="eastAsia" w:ascii="仿宋_GB2312" w:hAnsi="宋体" w:eastAsia="仿宋_GB2312" w:cs="仿宋_GB2312"/>
                <w:sz w:val="18"/>
                <w:szCs w:val="18"/>
                <w:lang w:val="en-US" w:eastAsia="zh-CN"/>
              </w:rPr>
              <w:t>.0</w:t>
            </w:r>
            <w:r>
              <w:rPr>
                <w:rFonts w:hint="eastAsia" w:ascii="仿宋_GB2312" w:hAnsi="宋体" w:eastAsia="仿宋_GB2312" w:cs="仿宋_GB2312"/>
                <w:sz w:val="18"/>
                <w:szCs w:val="18"/>
              </w:rPr>
              <w:t>％时</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rPr>
              <w:t>仍实施爆破</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lang w:val="en-US" w:eastAsia="zh-CN"/>
              </w:rPr>
              <w:t>③</w:t>
            </w:r>
            <w:r>
              <w:rPr>
                <w:rFonts w:hint="eastAsia" w:ascii="仿宋_GB2312" w:hAnsi="宋体" w:eastAsia="仿宋_GB2312" w:cs="仿宋_GB2312"/>
                <w:sz w:val="18"/>
                <w:szCs w:val="18"/>
              </w:rPr>
              <w:t>采掘工作面及其他作业地点风流中、电动机或者其开关安设地点附近</w:t>
            </w:r>
            <w:r>
              <w:rPr>
                <w:rFonts w:hint="eastAsia" w:ascii="仿宋_GB2312" w:hAnsi="宋体" w:eastAsia="仿宋_GB2312" w:cs="仿宋_GB2312"/>
                <w:sz w:val="18"/>
                <w:szCs w:val="18"/>
                <w:lang w:eastAsia="zh-CN"/>
              </w:rPr>
              <w:t>2</w:t>
            </w:r>
            <w:r>
              <w:rPr>
                <w:rFonts w:hint="eastAsia" w:ascii="仿宋_GB2312" w:hAnsi="宋体" w:eastAsia="仿宋_GB2312" w:cs="仿宋_GB2312"/>
                <w:sz w:val="18"/>
                <w:szCs w:val="18"/>
                <w:lang w:val="en-US" w:eastAsia="zh-CN"/>
              </w:rPr>
              <w:t>0</w:t>
            </w:r>
            <w:r>
              <w:rPr>
                <w:rFonts w:hint="eastAsia" w:ascii="仿宋_GB2312" w:hAnsi="宋体" w:eastAsia="仿宋_GB2312" w:cs="仿宋_GB2312"/>
                <w:sz w:val="18"/>
                <w:szCs w:val="18"/>
              </w:rPr>
              <w:t>m以内风流中的甲烷浓度达到</w:t>
            </w:r>
            <w:r>
              <w:rPr>
                <w:rFonts w:hint="eastAsia" w:ascii="仿宋_GB2312" w:hAnsi="宋体" w:eastAsia="仿宋_GB2312" w:cs="仿宋_GB2312"/>
                <w:sz w:val="18"/>
                <w:szCs w:val="18"/>
                <w:lang w:eastAsia="zh-CN"/>
              </w:rPr>
              <w:t>1</w:t>
            </w:r>
            <w:r>
              <w:rPr>
                <w:rFonts w:hint="eastAsia" w:ascii="仿宋_GB2312" w:hAnsi="宋体" w:eastAsia="仿宋_GB2312" w:cs="仿宋_GB2312"/>
                <w:sz w:val="18"/>
                <w:szCs w:val="18"/>
                <w:lang w:val="en-US" w:eastAsia="zh-CN"/>
              </w:rPr>
              <w:t>.5</w:t>
            </w:r>
            <w:r>
              <w:rPr>
                <w:rFonts w:hint="eastAsia" w:ascii="仿宋_GB2312" w:hAnsi="宋体" w:eastAsia="仿宋_GB2312" w:cs="仿宋_GB2312"/>
                <w:sz w:val="18"/>
                <w:szCs w:val="18"/>
              </w:rPr>
              <w:t>％时</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rPr>
              <w:t>未停止工作、切断电源、撤出人员、进行处理</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lang w:val="en-US" w:eastAsia="zh-CN"/>
              </w:rPr>
              <w:t>④</w:t>
            </w:r>
            <w:r>
              <w:rPr>
                <w:rFonts w:hint="eastAsia" w:ascii="仿宋_GB2312" w:hAnsi="宋体" w:eastAsia="仿宋_GB2312" w:cs="仿宋_GB2312"/>
                <w:sz w:val="18"/>
                <w:szCs w:val="18"/>
              </w:rPr>
              <w:t>井下甲烷浓度或者二氧化碳浓度超过</w:t>
            </w:r>
            <w:r>
              <w:rPr>
                <w:rFonts w:hint="eastAsia" w:ascii="仿宋_GB2312" w:hAnsi="宋体" w:eastAsia="仿宋_GB2312" w:cs="仿宋_GB2312"/>
                <w:sz w:val="18"/>
                <w:szCs w:val="18"/>
                <w:lang w:eastAsia="zh-CN"/>
              </w:rPr>
              <w:t>3</w:t>
            </w:r>
            <w:r>
              <w:rPr>
                <w:rFonts w:hint="eastAsia" w:ascii="仿宋_GB2312" w:hAnsi="宋体" w:eastAsia="仿宋_GB2312" w:cs="仿宋_GB2312"/>
                <w:sz w:val="18"/>
                <w:szCs w:val="18"/>
                <w:lang w:val="en-US" w:eastAsia="zh-CN"/>
              </w:rPr>
              <w:t>.0</w:t>
            </w:r>
            <w:r>
              <w:rPr>
                <w:rFonts w:hint="eastAsia" w:ascii="仿宋_GB2312" w:hAnsi="宋体" w:eastAsia="仿宋_GB2312" w:cs="仿宋_GB2312"/>
                <w:sz w:val="18"/>
                <w:szCs w:val="18"/>
              </w:rPr>
              <w:t>％的停风区恢复通风时,未制定安全排放瓦斯措施并经煤矿总工程师批准实施</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lang w:val="en-US" w:eastAsia="zh-CN"/>
              </w:rPr>
              <w:t>⑤</w:t>
            </w:r>
            <w:r>
              <w:rPr>
                <w:rFonts w:hint="eastAsia" w:ascii="仿宋_GB2312" w:hAnsi="宋体" w:eastAsia="仿宋_GB2312" w:cs="仿宋_GB2312"/>
                <w:sz w:val="18"/>
                <w:szCs w:val="18"/>
              </w:rPr>
              <w:t>井下排放瓦斯过程中,混合风流经过的巷道内未停电撤人或者排出的瓦斯与全风压风流混合处的甲烷、二氧化碳浓度超过</w:t>
            </w:r>
            <w:r>
              <w:rPr>
                <w:rFonts w:hint="eastAsia" w:ascii="仿宋_GB2312" w:hAnsi="宋体" w:eastAsia="仿宋_GB2312" w:cs="仿宋_GB2312"/>
                <w:sz w:val="18"/>
                <w:szCs w:val="18"/>
                <w:lang w:eastAsia="zh-CN"/>
              </w:rPr>
              <w:t>1</w:t>
            </w:r>
            <w:r>
              <w:rPr>
                <w:rFonts w:hint="eastAsia" w:ascii="仿宋_GB2312" w:hAnsi="宋体" w:eastAsia="仿宋_GB2312" w:cs="仿宋_GB2312"/>
                <w:sz w:val="18"/>
                <w:szCs w:val="18"/>
                <w:lang w:val="en-US" w:eastAsia="zh-CN"/>
              </w:rPr>
              <w:t>.5</w:t>
            </w:r>
            <w:r>
              <w:rPr>
                <w:rFonts w:hint="eastAsia" w:ascii="仿宋_GB2312" w:hAnsi="宋体" w:eastAsia="仿宋_GB2312" w:cs="仿宋_GB2312"/>
                <w:sz w:val="18"/>
                <w:szCs w:val="18"/>
              </w:rPr>
              <w:t>％</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lang w:val="en-US" w:eastAsia="zh-CN"/>
              </w:rPr>
              <w:t>⑥</w:t>
            </w:r>
            <w:r>
              <w:rPr>
                <w:rFonts w:hint="eastAsia" w:ascii="仿宋_GB2312" w:hAnsi="宋体" w:eastAsia="仿宋_GB2312" w:cs="仿宋_GB2312"/>
                <w:sz w:val="18"/>
                <w:szCs w:val="18"/>
              </w:rPr>
              <w:t>存在下列瓦斯抽采不达标情形之一的:</w:t>
            </w:r>
            <w:r>
              <w:rPr>
                <w:rFonts w:hint="eastAsia" w:ascii="仿宋_GB2312" w:hAnsi="宋体" w:eastAsia="仿宋_GB2312" w:cs="仿宋_GB2312"/>
                <w:sz w:val="18"/>
                <w:szCs w:val="18"/>
                <w:lang w:eastAsia="zh-CN"/>
              </w:rPr>
              <w:t>1</w:t>
            </w:r>
            <w:r>
              <w:rPr>
                <w:rFonts w:hint="eastAsia" w:ascii="仿宋_GB2312" w:hAnsi="宋体" w:eastAsia="仿宋_GB2312" w:cs="仿宋_GB2312"/>
                <w:sz w:val="18"/>
                <w:szCs w:val="18"/>
                <w:lang w:val="en-US" w:eastAsia="zh-CN"/>
              </w:rPr>
              <w:t>.</w:t>
            </w:r>
            <w:r>
              <w:rPr>
                <w:rFonts w:hint="eastAsia" w:ascii="仿宋_GB2312" w:hAnsi="宋体" w:eastAsia="仿宋_GB2312" w:cs="仿宋_GB2312"/>
                <w:sz w:val="18"/>
                <w:szCs w:val="18"/>
              </w:rPr>
              <w:t>瓦斯涌出量主要来自于开采层时,采煤工作面前方</w:t>
            </w:r>
            <w:r>
              <w:rPr>
                <w:rFonts w:hint="eastAsia" w:ascii="仿宋_GB2312" w:hAnsi="宋体" w:eastAsia="仿宋_GB2312" w:cs="仿宋_GB2312"/>
                <w:sz w:val="18"/>
                <w:szCs w:val="18"/>
                <w:lang w:eastAsia="zh-CN"/>
              </w:rPr>
              <w:t>2</w:t>
            </w:r>
            <w:r>
              <w:rPr>
                <w:rFonts w:hint="eastAsia" w:ascii="仿宋_GB2312" w:hAnsi="宋体" w:eastAsia="仿宋_GB2312" w:cs="仿宋_GB2312"/>
                <w:sz w:val="18"/>
                <w:szCs w:val="18"/>
                <w:lang w:val="en-US" w:eastAsia="zh-CN"/>
              </w:rPr>
              <w:t>0</w:t>
            </w:r>
            <w:r>
              <w:rPr>
                <w:rFonts w:hint="eastAsia" w:ascii="仿宋_GB2312" w:hAnsi="宋体" w:eastAsia="仿宋_GB2312" w:cs="仿宋_GB2312"/>
                <w:sz w:val="18"/>
                <w:szCs w:val="18"/>
              </w:rPr>
              <w:t>m以上范围内煤的可解吸瓦斯量不符合表１规定</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rPr>
              <w:t>２</w:t>
            </w:r>
            <w:r>
              <w:rPr>
                <w:rFonts w:hint="eastAsia" w:ascii="仿宋_GB2312" w:hAnsi="宋体" w:eastAsia="仿宋_GB2312" w:cs="仿宋_GB2312"/>
                <w:sz w:val="18"/>
                <w:szCs w:val="18"/>
                <w:lang w:val="en-US" w:eastAsia="zh-CN"/>
              </w:rPr>
              <w:t>.</w:t>
            </w:r>
            <w:r>
              <w:rPr>
                <w:rFonts w:hint="eastAsia" w:ascii="仿宋_GB2312" w:hAnsi="宋体" w:eastAsia="仿宋_GB2312" w:cs="仿宋_GB2312"/>
                <w:sz w:val="18"/>
                <w:szCs w:val="18"/>
              </w:rPr>
              <w:t>瓦斯涌出量主要来自于邻近层和围岩时,采煤工作面瓦斯抽采率不符合表２规定</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rPr>
              <w:t>３</w:t>
            </w:r>
            <w:r>
              <w:rPr>
                <w:rFonts w:hint="eastAsia" w:ascii="仿宋_GB2312" w:hAnsi="宋体" w:eastAsia="仿宋_GB2312" w:cs="仿宋_GB2312"/>
                <w:sz w:val="18"/>
                <w:szCs w:val="18"/>
                <w:lang w:val="en-US" w:eastAsia="zh-CN"/>
              </w:rPr>
              <w:t>.</w:t>
            </w:r>
            <w:r>
              <w:rPr>
                <w:rFonts w:hint="eastAsia" w:ascii="仿宋_GB2312" w:hAnsi="宋体" w:eastAsia="仿宋_GB2312" w:cs="仿宋_GB2312"/>
                <w:sz w:val="18"/>
                <w:szCs w:val="18"/>
              </w:rPr>
              <w:t>矿井瓦斯抽采率不符合表３规定</w:t>
            </w:r>
            <w:r>
              <w:rPr>
                <w:rFonts w:hint="eastAsia" w:ascii="仿宋_GB2312" w:hAnsi="宋体" w:eastAsia="仿宋_GB2312" w:cs="仿宋_GB2312"/>
                <w:sz w:val="18"/>
                <w:szCs w:val="18"/>
                <w:lang w:eastAsia="zh-CN"/>
              </w:rPr>
              <w:t>。</w:t>
            </w:r>
          </w:p>
          <w:p w14:paraId="4F55BF11">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hint="eastAsia" w:ascii="仿宋_GB2312" w:hAnsi="宋体" w:eastAsia="仿宋_GB2312" w:cs="仿宋_GB2312"/>
                <w:sz w:val="18"/>
                <w:szCs w:val="18"/>
                <w:lang w:eastAsia="zh-CN"/>
              </w:rPr>
              <w:pPrChange w:id="1402" w:author="LV" w:date="2026-07-27T15:38:27Z">
                <w:pPr>
                  <w:keepNext w:val="0"/>
                  <w:keepLines w:val="0"/>
                  <w:pageBreakBefore w:val="0"/>
                  <w:widowControl w:val="0"/>
                  <w:kinsoku/>
                  <w:wordWrap/>
                  <w:overflowPunct w:val="0"/>
                  <w:topLinePunct w:val="0"/>
                  <w:autoSpaceDE/>
                  <w:autoSpaceDN/>
                  <w:bidi w:val="0"/>
                  <w:adjustRightInd/>
                  <w:snapToGrid/>
                  <w:spacing w:line="280" w:lineRule="exact"/>
                  <w:textAlignment w:val="center"/>
                </w:pPr>
              </w:pPrChange>
            </w:pPr>
          </w:p>
        </w:tc>
        <w:tc>
          <w:tcPr>
            <w:tcW w:w="2655" w:type="dxa"/>
            <w:tcBorders>
              <w:tl2br w:val="nil"/>
              <w:tr2bl w:val="nil"/>
            </w:tcBorders>
            <w:shd w:val="clear" w:color="auto" w:fill="auto"/>
            <w:tcMar>
              <w:top w:w="15" w:type="dxa"/>
              <w:left w:w="15" w:type="dxa"/>
              <w:right w:w="15" w:type="dxa"/>
            </w:tcMar>
            <w:vAlign w:val="center"/>
          </w:tcPr>
          <w:p w14:paraId="792E322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责令停产整顿，提出整顿的内容、时间等具体要求，处150万元以上200万元以下的罚款；对煤矿企业负责人处10万元以上15万元以下的罚款。</w:t>
            </w:r>
          </w:p>
        </w:tc>
      </w:tr>
      <w:tr w14:paraId="0B86E4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1"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5261280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z w:val="18"/>
                <w:szCs w:val="18"/>
                <w:lang w:eastAsia="zh-CN"/>
              </w:rPr>
            </w:pPr>
            <w:r>
              <w:rPr>
                <w:rFonts w:hint="eastAsia" w:ascii="仿宋_GB2312" w:hAnsi="宋体" w:eastAsia="仿宋_GB2312" w:cs="仿宋_GB2312"/>
                <w:kern w:val="0"/>
                <w:sz w:val="18"/>
                <w:szCs w:val="18"/>
                <w:lang w:bidi="ar"/>
              </w:rPr>
              <w:t>3</w:t>
            </w:r>
            <w:del w:id="1403" w:author="LV" w:date="2026-07-14T16:19:44Z">
              <w:r>
                <w:rPr>
                  <w:rFonts w:hint="default" w:ascii="仿宋_GB2312" w:hAnsi="宋体" w:eastAsia="仿宋_GB2312" w:cs="仿宋_GB2312"/>
                  <w:kern w:val="0"/>
                  <w:sz w:val="18"/>
                  <w:szCs w:val="18"/>
                  <w:lang w:val="en-US" w:bidi="ar"/>
                </w:rPr>
                <w:delText>7</w:delText>
              </w:r>
            </w:del>
            <w:ins w:id="1404" w:author="LV" w:date="2026-07-14T16:19:44Z">
              <w:r>
                <w:rPr>
                  <w:rFonts w:hint="eastAsia" w:ascii="仿宋_GB2312" w:hAnsi="宋体" w:eastAsia="仿宋_GB2312" w:cs="仿宋_GB2312"/>
                  <w:kern w:val="0"/>
                  <w:sz w:val="18"/>
                  <w:szCs w:val="18"/>
                  <w:lang w:val="en-US" w:eastAsia="zh-CN" w:bidi="ar"/>
                </w:rPr>
                <w:t>9</w:t>
              </w:r>
            </w:ins>
          </w:p>
        </w:tc>
        <w:tc>
          <w:tcPr>
            <w:tcW w:w="1005" w:type="dxa"/>
            <w:vMerge w:val="restart"/>
            <w:tcBorders>
              <w:tl2br w:val="nil"/>
              <w:tr2bl w:val="nil"/>
            </w:tcBorders>
            <w:shd w:val="clear" w:color="auto" w:fill="auto"/>
            <w:tcMar>
              <w:top w:w="15" w:type="dxa"/>
              <w:left w:w="15" w:type="dxa"/>
              <w:right w:w="15" w:type="dxa"/>
            </w:tcMar>
            <w:vAlign w:val="center"/>
          </w:tcPr>
          <w:p w14:paraId="7F41C51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煤（岩）与瓦斯（二氧化碳）突出矿井未按照规定实施防突措施的</w:t>
            </w:r>
          </w:p>
        </w:tc>
        <w:tc>
          <w:tcPr>
            <w:tcW w:w="3667" w:type="dxa"/>
            <w:vMerge w:val="restart"/>
            <w:tcBorders>
              <w:tl2br w:val="nil"/>
              <w:tr2bl w:val="nil"/>
            </w:tcBorders>
            <w:shd w:val="clear" w:color="auto" w:fill="auto"/>
            <w:tcMar>
              <w:top w:w="15" w:type="dxa"/>
              <w:left w:w="15" w:type="dxa"/>
              <w:right w:w="15" w:type="dxa"/>
            </w:tcMar>
            <w:vAlign w:val="center"/>
          </w:tcPr>
          <w:p w14:paraId="6F19C58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eastAsia="zh-CN" w:bidi="ar"/>
              </w:rPr>
            </w:pPr>
            <w:r>
              <w:rPr>
                <w:rFonts w:hint="eastAsia" w:ascii="仿宋_GB2312" w:hAnsi="宋体" w:eastAsia="仿宋_GB2312" w:cs="仿宋_GB2312"/>
                <w:kern w:val="0"/>
                <w:sz w:val="18"/>
                <w:szCs w:val="18"/>
                <w:lang w:bidi="ar"/>
              </w:rPr>
              <w:t>《煤矿安全生产条例》第三十六条</w:t>
            </w:r>
            <w:r>
              <w:rPr>
                <w:rFonts w:hint="eastAsia" w:ascii="仿宋_GB2312" w:hAnsi="宋体" w:eastAsia="仿宋_GB2312" w:cs="仿宋_GB2312"/>
                <w:kern w:val="0"/>
                <w:sz w:val="18"/>
                <w:szCs w:val="18"/>
                <w:lang w:val="en-US" w:eastAsia="zh-CN" w:bidi="ar"/>
              </w:rPr>
              <w:t xml:space="preserve">第三项 </w:t>
            </w:r>
            <w:r>
              <w:rPr>
                <w:rFonts w:hint="eastAsia" w:ascii="仿宋_GB2312" w:hAnsi="宋体" w:eastAsia="仿宋_GB2312" w:cs="仿宋_GB2312"/>
                <w:kern w:val="0"/>
                <w:sz w:val="18"/>
                <w:szCs w:val="18"/>
                <w:lang w:bidi="ar"/>
              </w:rPr>
              <w:t>煤矿企业有下列情形之一的，属于重大事故隐患，应当立即停止受影响区域生产、建设，并及时消除事故隐患：</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val="en-US" w:eastAsia="zh-CN" w:bidi="ar"/>
              </w:rPr>
              <w:t>三</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煤（岩）与瓦斯（二氧化碳）突出矿井未按照规定实施防突措施的；</w:t>
            </w:r>
          </w:p>
          <w:p w14:paraId="0AF81F9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《煤矿重大事故隐患判定标准》第六条“煤(岩)与瓦斯(二氧化碳)突出矿井未按照规定实</w:t>
            </w:r>
          </w:p>
          <w:p w14:paraId="4DD8A8F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施防突措施”重大事故隐患,是指有下列情形之一的:</w:t>
            </w:r>
          </w:p>
          <w:p w14:paraId="486602B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val="en-US" w:eastAsia="zh-CN" w:bidi="ar"/>
              </w:rPr>
              <w:t>一</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存在未按照下列规定开展区域或者工作面突出危险性预测进行采掘作业情形之一(直接认定为突出危险区域或者直接采取防治突出措施的除外)的:１</w:t>
            </w:r>
            <w:r>
              <w:rPr>
                <w:rFonts w:hint="eastAsia" w:ascii="仿宋_GB2312" w:hAnsi="宋体" w:eastAsia="仿宋_GB2312" w:cs="仿宋_GB2312"/>
                <w:kern w:val="0"/>
                <w:sz w:val="18"/>
                <w:szCs w:val="18"/>
                <w:lang w:val="en-US" w:eastAsia="zh-CN" w:bidi="ar"/>
              </w:rPr>
              <w:t>.</w:t>
            </w:r>
            <w:r>
              <w:rPr>
                <w:rFonts w:hint="eastAsia" w:ascii="仿宋_GB2312" w:hAnsi="宋体" w:eastAsia="仿宋_GB2312" w:cs="仿宋_GB2312"/>
                <w:kern w:val="0"/>
                <w:sz w:val="18"/>
                <w:szCs w:val="18"/>
                <w:lang w:bidi="ar"/>
              </w:rPr>
              <w:t>煤(岩)与瓦斯(二氧化碳)突出矿井应当主要依据煤层瓦斯的井下实测资料,并结合地质勘查资料、上水平及邻近区域的实测和生产资料等对开采的突出煤层进行区域突出危险性预测</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以下简称区域预测</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未进行区域预测的区域视为突出危险区</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２</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突出煤层区域预测的范围根据煤(岩)与瓦斯(二氧化碳)突出矿井的开拓方式、巷道布置、地质构造分布、测试点布置等情况</w:t>
            </w:r>
            <w:r>
              <w:rPr>
                <w:rFonts w:hint="eastAsia" w:ascii="仿宋_GB2312" w:hAnsi="宋体" w:eastAsia="仿宋_GB2312" w:cs="仿宋_GB2312"/>
                <w:kern w:val="0"/>
                <w:sz w:val="18"/>
                <w:szCs w:val="18"/>
                <w:lang w:val="en-US" w:eastAsia="zh-CN" w:bidi="ar"/>
              </w:rPr>
              <w:t>,</w:t>
            </w:r>
            <w:r>
              <w:rPr>
                <w:rFonts w:hint="eastAsia" w:ascii="仿宋_GB2312" w:hAnsi="宋体" w:eastAsia="仿宋_GB2312" w:cs="仿宋_GB2312"/>
                <w:kern w:val="0"/>
                <w:sz w:val="18"/>
                <w:szCs w:val="18"/>
                <w:lang w:bidi="ar"/>
              </w:rPr>
              <w:t>划定,区域预测范围最大不得超过１个采(盘)区</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一般不小于１个</w:t>
            </w:r>
          </w:p>
          <w:p w14:paraId="224D73C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区段</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若１个区段预测为突出危险区的,不得在该区段内划分无突出危险区,若预测为无突出危险区的,可根据区段内测定的煤层瓦斯参数、煤层赋存、地质构造等逐块段进行区域预测</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３</w:t>
            </w:r>
            <w:r>
              <w:rPr>
                <w:rFonts w:hint="eastAsia" w:ascii="仿宋_GB2312" w:hAnsi="宋体" w:eastAsia="仿宋_GB2312" w:cs="仿宋_GB2312"/>
                <w:kern w:val="0"/>
                <w:sz w:val="18"/>
                <w:szCs w:val="18"/>
                <w:lang w:val="en-US" w:eastAsia="zh-CN" w:bidi="ar"/>
              </w:rPr>
              <w:t>.</w:t>
            </w:r>
            <w:r>
              <w:rPr>
                <w:rFonts w:hint="eastAsia" w:ascii="仿宋_GB2312" w:hAnsi="宋体" w:eastAsia="仿宋_GB2312" w:cs="仿宋_GB2312"/>
                <w:kern w:val="0"/>
                <w:sz w:val="18"/>
                <w:szCs w:val="18"/>
                <w:lang w:bidi="ar"/>
              </w:rPr>
              <w:t>对已确切掌握煤层突出危险区域的分布规律,并有可靠的煤层赋存条件、地质构造、瓦斯参数等预测资料的煤矿,区域预测工作由煤矿总工程师组织实施;对不掌握分布规律和预测资料的煤矿,应当委托具备相应能力的机构进行区域预测.区域预测结果为无突出危险区的应当经煤矿企业技术负责人批准</w:t>
            </w:r>
            <w:r>
              <w:rPr>
                <w:rFonts w:hint="eastAsia" w:ascii="仿宋_GB2312" w:hAnsi="宋体" w:eastAsia="仿宋_GB2312" w:cs="仿宋_GB2312"/>
                <w:kern w:val="0"/>
                <w:sz w:val="18"/>
                <w:szCs w:val="18"/>
                <w:lang w:eastAsia="zh-CN" w:bidi="ar"/>
              </w:rPr>
              <w:t>。</w:t>
            </w:r>
          </w:p>
          <w:p w14:paraId="07C2F52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val="en-US" w:eastAsia="zh-CN" w:bidi="ar"/>
              </w:rPr>
              <w:t>二</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存在下列未按照规定采取区域防治突出措施情形之一的:</w:t>
            </w:r>
            <w:r>
              <w:rPr>
                <w:rFonts w:hint="eastAsia" w:ascii="仿宋_GB2312" w:hAnsi="宋体" w:eastAsia="仿宋_GB2312" w:cs="仿宋_GB2312"/>
                <w:kern w:val="0"/>
                <w:sz w:val="18"/>
                <w:szCs w:val="18"/>
                <w:lang w:val="en-US" w:eastAsia="zh-CN" w:bidi="ar"/>
              </w:rPr>
              <w:t>1.</w:t>
            </w:r>
            <w:r>
              <w:rPr>
                <w:rFonts w:hint="eastAsia" w:ascii="仿宋_GB2312" w:hAnsi="宋体" w:eastAsia="仿宋_GB2312" w:cs="仿宋_GB2312"/>
                <w:kern w:val="0"/>
                <w:sz w:val="18"/>
                <w:szCs w:val="18"/>
                <w:lang w:bidi="ar"/>
              </w:rPr>
              <w:t>具备开采保护层条件的突出危险区未开采保护层</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２</w:t>
            </w:r>
            <w:r>
              <w:rPr>
                <w:rFonts w:hint="eastAsia" w:ascii="仿宋_GB2312" w:hAnsi="宋体" w:eastAsia="仿宋_GB2312" w:cs="仿宋_GB2312"/>
                <w:kern w:val="0"/>
                <w:sz w:val="18"/>
                <w:szCs w:val="18"/>
                <w:lang w:val="en-US" w:eastAsia="zh-CN" w:bidi="ar"/>
              </w:rPr>
              <w:t>.</w:t>
            </w:r>
            <w:r>
              <w:rPr>
                <w:rFonts w:hint="eastAsia" w:ascii="仿宋_GB2312" w:hAnsi="宋体" w:eastAsia="仿宋_GB2312" w:cs="仿宋_GB2312"/>
                <w:kern w:val="0"/>
                <w:sz w:val="18"/>
                <w:szCs w:val="18"/>
                <w:lang w:bidi="ar"/>
              </w:rPr>
              <w:t>开采保护层时未同时抽采被保护层和邻近层卸压瓦斯,或者没有受保护层保护的范围未采取补充区域措施消突而进行采掘作业</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３．区域预抽钻孔评价单元控制范围不符合下列规定之一的:(１)穿层钻孔或者顺层钻孔预抽区段煤层瓦斯区域防突措施</w:t>
            </w:r>
          </w:p>
          <w:p w14:paraId="7C6CDB2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的钻孔应当控制区段内整个回采区域、两侧回采巷道及其外侧如下范围内的煤层:倾斜、急倾斜煤层巷道上帮轮廓线外至少</w:t>
            </w:r>
            <w:r>
              <w:rPr>
                <w:rFonts w:hint="eastAsia" w:ascii="仿宋_GB2312" w:hAnsi="宋体" w:eastAsia="仿宋_GB2312" w:cs="仿宋_GB2312"/>
                <w:kern w:val="0"/>
                <w:sz w:val="18"/>
                <w:szCs w:val="18"/>
                <w:lang w:eastAsia="zh-CN" w:bidi="ar"/>
              </w:rPr>
              <w:t>2</w:t>
            </w:r>
            <w:r>
              <w:rPr>
                <w:rFonts w:hint="eastAsia" w:ascii="仿宋_GB2312" w:hAnsi="宋体" w:eastAsia="仿宋_GB2312" w:cs="仿宋_GB2312"/>
                <w:kern w:val="0"/>
                <w:sz w:val="18"/>
                <w:szCs w:val="18"/>
                <w:lang w:val="en-US" w:eastAsia="zh-CN" w:bidi="ar"/>
              </w:rPr>
              <w:t>0</w:t>
            </w:r>
            <w:r>
              <w:rPr>
                <w:rFonts w:hint="eastAsia" w:ascii="仿宋_GB2312" w:hAnsi="宋体" w:eastAsia="仿宋_GB2312" w:cs="仿宋_GB2312"/>
                <w:kern w:val="0"/>
                <w:sz w:val="18"/>
                <w:szCs w:val="18"/>
                <w:lang w:bidi="ar"/>
              </w:rPr>
              <w:t>m(均为沿煤层层面方向的距离,下同),下帮至少</w:t>
            </w:r>
            <w:r>
              <w:rPr>
                <w:rFonts w:hint="eastAsia" w:ascii="仿宋_GB2312" w:hAnsi="宋体" w:eastAsia="仿宋_GB2312" w:cs="仿宋_GB2312"/>
                <w:kern w:val="0"/>
                <w:sz w:val="18"/>
                <w:szCs w:val="18"/>
                <w:lang w:eastAsia="zh-CN" w:bidi="ar"/>
              </w:rPr>
              <w:t>1</w:t>
            </w:r>
            <w:r>
              <w:rPr>
                <w:rFonts w:hint="eastAsia" w:ascii="仿宋_GB2312" w:hAnsi="宋体" w:eastAsia="仿宋_GB2312" w:cs="仿宋_GB2312"/>
                <w:kern w:val="0"/>
                <w:sz w:val="18"/>
                <w:szCs w:val="18"/>
                <w:lang w:val="en-US" w:eastAsia="zh-CN" w:bidi="ar"/>
              </w:rPr>
              <w:t>0</w:t>
            </w:r>
            <w:r>
              <w:rPr>
                <w:rFonts w:hint="eastAsia" w:ascii="仿宋_GB2312" w:hAnsi="宋体" w:eastAsia="仿宋_GB2312" w:cs="仿宋_GB2312"/>
                <w:kern w:val="0"/>
                <w:sz w:val="18"/>
                <w:szCs w:val="18"/>
                <w:lang w:bidi="ar"/>
              </w:rPr>
              <w:t>m,其他煤层为巷道两侧轮廓线外至少各</w:t>
            </w:r>
            <w:r>
              <w:rPr>
                <w:rFonts w:hint="eastAsia" w:ascii="仿宋_GB2312" w:hAnsi="宋体" w:eastAsia="仿宋_GB2312" w:cs="仿宋_GB2312"/>
                <w:kern w:val="0"/>
                <w:sz w:val="18"/>
                <w:szCs w:val="18"/>
                <w:lang w:eastAsia="zh-CN" w:bidi="ar"/>
              </w:rPr>
              <w:t>1</w:t>
            </w:r>
            <w:r>
              <w:rPr>
                <w:rFonts w:hint="eastAsia" w:ascii="仿宋_GB2312" w:hAnsi="宋体" w:eastAsia="仿宋_GB2312" w:cs="仿宋_GB2312"/>
                <w:kern w:val="0"/>
                <w:sz w:val="18"/>
                <w:szCs w:val="18"/>
                <w:lang w:val="en-US" w:eastAsia="zh-CN" w:bidi="ar"/>
              </w:rPr>
              <w:t>5</w:t>
            </w:r>
            <w:r>
              <w:rPr>
                <w:rFonts w:hint="eastAsia" w:ascii="仿宋_GB2312" w:hAnsi="宋体" w:eastAsia="仿宋_GB2312" w:cs="仿宋_GB2312"/>
                <w:kern w:val="0"/>
                <w:sz w:val="18"/>
                <w:szCs w:val="18"/>
                <w:lang w:bidi="ar"/>
              </w:rPr>
              <w:t>m</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(２)顺层钻孔或者穿层钻孔预抽回采区域煤层瓦斯区域防突措施的钻孔应当控制整个回采区域的煤层</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(３)穿层钻孔预抽井巷揭煤区域煤层瓦斯区域防突措施的钻孔应当在揭煤工作面距煤层最小法向距离７m以前实施,并用穿层钻孔至少控制以下范围的煤层:石门和立井、斜井揭煤处巷道轮廓线外</w:t>
            </w:r>
            <w:r>
              <w:rPr>
                <w:rFonts w:hint="eastAsia" w:ascii="仿宋_GB2312" w:hAnsi="宋体" w:eastAsia="仿宋_GB2312" w:cs="仿宋_GB2312"/>
                <w:kern w:val="0"/>
                <w:sz w:val="18"/>
                <w:szCs w:val="18"/>
                <w:lang w:eastAsia="zh-CN" w:bidi="ar"/>
              </w:rPr>
              <w:t>1</w:t>
            </w:r>
            <w:r>
              <w:rPr>
                <w:rFonts w:hint="eastAsia" w:ascii="仿宋_GB2312" w:hAnsi="宋体" w:eastAsia="仿宋_GB2312" w:cs="仿宋_GB2312"/>
                <w:kern w:val="0"/>
                <w:sz w:val="18"/>
                <w:szCs w:val="18"/>
                <w:lang w:val="en-US" w:eastAsia="zh-CN" w:bidi="ar"/>
              </w:rPr>
              <w:t>2</w:t>
            </w:r>
            <w:r>
              <w:rPr>
                <w:rFonts w:hint="eastAsia" w:ascii="仿宋_GB2312" w:hAnsi="宋体" w:eastAsia="仿宋_GB2312" w:cs="仿宋_GB2312"/>
                <w:kern w:val="0"/>
                <w:sz w:val="18"/>
                <w:szCs w:val="18"/>
                <w:lang w:bidi="ar"/>
              </w:rPr>
              <w:t>m(急倾斜煤层底部或者下帮６m),同时还应当保证控制范围的外边缘到巷道轮廓线(包括预计前方揭煤段巷道的轮廓线)的最小距离不小于５m</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(４)穿层钻孔预抽煤巷条带煤层瓦斯区域防突措施的钻孔应当控制整条煤层巷道及其两侧一定范围内的煤层,该范围与上述(１)中巷道外侧的要求相同</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(５)顺层钻孔预抽煤巷条带煤层瓦斯区域防突措施的钻孔应当控制煤巷条带前方长度不小于</w:t>
            </w:r>
            <w:r>
              <w:rPr>
                <w:rFonts w:hint="eastAsia" w:ascii="仿宋_GB2312" w:hAnsi="宋体" w:eastAsia="仿宋_GB2312" w:cs="仿宋_GB2312"/>
                <w:kern w:val="0"/>
                <w:sz w:val="18"/>
                <w:szCs w:val="18"/>
                <w:lang w:eastAsia="zh-CN" w:bidi="ar"/>
              </w:rPr>
              <w:t>6</w:t>
            </w:r>
            <w:r>
              <w:rPr>
                <w:rFonts w:hint="eastAsia" w:ascii="仿宋_GB2312" w:hAnsi="宋体" w:eastAsia="仿宋_GB2312" w:cs="仿宋_GB2312"/>
                <w:kern w:val="0"/>
                <w:sz w:val="18"/>
                <w:szCs w:val="18"/>
                <w:lang w:val="en-US" w:eastAsia="zh-CN" w:bidi="ar"/>
              </w:rPr>
              <w:t>0</w:t>
            </w:r>
            <w:r>
              <w:rPr>
                <w:rFonts w:hint="eastAsia" w:ascii="仿宋_GB2312" w:hAnsi="宋体" w:eastAsia="仿宋_GB2312" w:cs="仿宋_GB2312"/>
                <w:kern w:val="0"/>
                <w:sz w:val="18"/>
                <w:szCs w:val="18"/>
                <w:lang w:bidi="ar"/>
              </w:rPr>
              <w:t>m,煤巷两侧控制范围与上述(１)中巷道外侧的要求相同</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(６)定向长钻孔预抽煤巷条带煤层瓦斯区域防突措施的钻孔应当控制煤巷条带煤层前方长度不小于</w:t>
            </w:r>
            <w:r>
              <w:rPr>
                <w:rFonts w:hint="eastAsia" w:ascii="仿宋_GB2312" w:hAnsi="宋体" w:eastAsia="仿宋_GB2312" w:cs="仿宋_GB2312"/>
                <w:kern w:val="0"/>
                <w:sz w:val="18"/>
                <w:szCs w:val="18"/>
                <w:lang w:eastAsia="zh-CN" w:bidi="ar"/>
              </w:rPr>
              <w:t>3</w:t>
            </w:r>
            <w:r>
              <w:rPr>
                <w:rFonts w:hint="eastAsia" w:ascii="仿宋_GB2312" w:hAnsi="宋体" w:eastAsia="仿宋_GB2312" w:cs="仿宋_GB2312"/>
                <w:kern w:val="0"/>
                <w:sz w:val="18"/>
                <w:szCs w:val="18"/>
                <w:lang w:val="en-US" w:eastAsia="zh-CN" w:bidi="ar"/>
              </w:rPr>
              <w:t>00</w:t>
            </w:r>
            <w:r>
              <w:rPr>
                <w:rFonts w:hint="eastAsia" w:ascii="仿宋_GB2312" w:hAnsi="宋体" w:eastAsia="仿宋_GB2312" w:cs="仿宋_GB2312"/>
                <w:kern w:val="0"/>
                <w:sz w:val="18"/>
                <w:szCs w:val="18"/>
                <w:lang w:bidi="ar"/>
              </w:rPr>
              <w:t>m和煤巷两侧轮廓线外一定范围,该范围与上述(１)中巷道外侧的要求相同.</w:t>
            </w:r>
          </w:p>
          <w:p w14:paraId="7F8C184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(７)对距本煤层法向距离小于５m 且平均厚度大于</w:t>
            </w:r>
            <w:r>
              <w:rPr>
                <w:rFonts w:hint="eastAsia" w:ascii="仿宋_GB2312" w:hAnsi="宋体" w:eastAsia="仿宋_GB2312" w:cs="仿宋_GB2312"/>
                <w:kern w:val="0"/>
                <w:sz w:val="18"/>
                <w:szCs w:val="18"/>
                <w:lang w:eastAsia="zh-CN" w:bidi="ar"/>
              </w:rPr>
              <w:t>0</w:t>
            </w:r>
            <w:r>
              <w:rPr>
                <w:rFonts w:hint="eastAsia" w:ascii="仿宋_GB2312" w:hAnsi="宋体" w:eastAsia="仿宋_GB2312" w:cs="仿宋_GB2312"/>
                <w:kern w:val="0"/>
                <w:sz w:val="18"/>
                <w:szCs w:val="18"/>
                <w:lang w:val="en-US" w:eastAsia="zh-CN" w:bidi="ar"/>
              </w:rPr>
              <w:t>.3</w:t>
            </w:r>
            <w:r>
              <w:rPr>
                <w:rFonts w:hint="eastAsia" w:ascii="仿宋_GB2312" w:hAnsi="宋体" w:eastAsia="仿宋_GB2312" w:cs="仿宋_GB2312"/>
                <w:kern w:val="0"/>
                <w:sz w:val="18"/>
                <w:szCs w:val="18"/>
                <w:lang w:bidi="ar"/>
              </w:rPr>
              <w:t>m的邻近突出煤层,预抽钻孔控制范围与本煤层相同</w:t>
            </w:r>
            <w:r>
              <w:rPr>
                <w:rFonts w:hint="eastAsia" w:ascii="仿宋_GB2312" w:hAnsi="宋体" w:eastAsia="仿宋_GB2312" w:cs="仿宋_GB2312"/>
                <w:kern w:val="0"/>
                <w:sz w:val="18"/>
                <w:szCs w:val="18"/>
                <w:lang w:eastAsia="zh-CN" w:bidi="ar"/>
              </w:rPr>
              <w:t>。</w:t>
            </w:r>
          </w:p>
          <w:p w14:paraId="6E411ED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val="en-US" w:eastAsia="zh-CN" w:bidi="ar"/>
              </w:rPr>
              <w:t>三</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存在下列未按照规定采取工作面防治突出措施情形之一的:１</w:t>
            </w:r>
            <w:r>
              <w:rPr>
                <w:rFonts w:hint="eastAsia" w:ascii="仿宋_GB2312" w:hAnsi="宋体" w:eastAsia="仿宋_GB2312" w:cs="仿宋_GB2312"/>
                <w:kern w:val="0"/>
                <w:sz w:val="18"/>
                <w:szCs w:val="18"/>
                <w:lang w:val="en-US" w:eastAsia="zh-CN" w:bidi="ar"/>
              </w:rPr>
              <w:t>.</w:t>
            </w:r>
            <w:r>
              <w:rPr>
                <w:rFonts w:hint="eastAsia" w:ascii="仿宋_GB2312" w:hAnsi="宋体" w:eastAsia="仿宋_GB2312" w:cs="仿宋_GB2312"/>
                <w:kern w:val="0"/>
                <w:sz w:val="18"/>
                <w:szCs w:val="18"/>
                <w:lang w:bidi="ar"/>
              </w:rPr>
              <w:t>预测为突出危险工作面未采取工作面防突措施</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２</w:t>
            </w:r>
            <w:r>
              <w:rPr>
                <w:rFonts w:hint="eastAsia" w:ascii="仿宋_GB2312" w:hAnsi="宋体" w:eastAsia="仿宋_GB2312" w:cs="仿宋_GB2312"/>
                <w:kern w:val="0"/>
                <w:sz w:val="18"/>
                <w:szCs w:val="18"/>
                <w:lang w:val="en-US" w:eastAsia="zh-CN" w:bidi="ar"/>
              </w:rPr>
              <w:t>.</w:t>
            </w:r>
            <w:r>
              <w:rPr>
                <w:rFonts w:hint="eastAsia" w:ascii="仿宋_GB2312" w:hAnsi="宋体" w:eastAsia="仿宋_GB2312" w:cs="仿宋_GB2312"/>
                <w:kern w:val="0"/>
                <w:sz w:val="18"/>
                <w:szCs w:val="18"/>
                <w:lang w:bidi="ar"/>
              </w:rPr>
              <w:t>揭煤作业不符合下列规定之一的:(１)揭煤作业包括从距突出煤层底(顶)板的最小法向距离５m开始,直至揭穿煤层进入顶(底)板２m(最小法向距离)的全过</w:t>
            </w:r>
          </w:p>
          <w:p w14:paraId="60DEE24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程,应当采取局部综合防突措施;在距煤层底(顶)板最小法向距离５m至２m范围,掘进工作面应当采用远距离爆破</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(２)揭煤作业前应当编制井巷揭煤防突专项设计并经煤矿企业技术负责人批准</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(３)揭煤作业应当按照下列程序进行:①探明揭煤工作面和煤层的相对位置;②在与煤层保持适当距离的位置进行工作面预测</w:t>
            </w:r>
          </w:p>
          <w:p w14:paraId="4F456F8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或者区域验证;③工作面预测或者区域验证有突出危险时采取工作面防突措施;④实施工作面措施效果检验;⑤采用工作面预测方法进行揭煤验证;⑥采取安全防护措施并采用远距离爆破揭开或者穿过煤层</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３</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采掘作业进入最小防突措施超前距(煤巷掘进工作面５m,采煤工作面３m;在地质构造破坏严重地带煤巷掘进工作面不小于７m,采煤工作面不小于５m)以内</w:t>
            </w:r>
            <w:r>
              <w:rPr>
                <w:rFonts w:hint="eastAsia" w:ascii="仿宋_GB2312" w:hAnsi="宋体" w:eastAsia="仿宋_GB2312" w:cs="仿宋_GB2312"/>
                <w:kern w:val="0"/>
                <w:sz w:val="18"/>
                <w:szCs w:val="18"/>
                <w:lang w:eastAsia="zh-CN" w:bidi="ar"/>
              </w:rPr>
              <w:t>。</w:t>
            </w:r>
          </w:p>
          <w:p w14:paraId="7AD88B4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(四)存在下列未按照规定进行防突措施效果检验和验证情形之一的:１</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未按照«煤矿安全规程»规定进行防突措施效果检验和验证</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２</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防突措施效果检验和验证任一指标达到表４至表７规定的临界值以上或者达到实际考察的临界值以上,未采取防突措施</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３</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残余瓦斯含量、残余瓦斯压力、钻屑量、钻屑瓦斯解吸指标、</w:t>
            </w:r>
          </w:p>
          <w:p w14:paraId="496AFF0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钻孔瓦斯涌出初速度数据人为造假</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(五)在采掘生产、实施防突措施、防突措施效果检验和验证过程中,发现有喷孔、顶钻等明显突出预兆时,未补充采取防突措施继续作业</w:t>
            </w:r>
            <w:r>
              <w:rPr>
                <w:rFonts w:hint="eastAsia" w:ascii="仿宋_GB2312" w:hAnsi="宋体" w:eastAsia="仿宋_GB2312" w:cs="仿宋_GB2312"/>
                <w:kern w:val="0"/>
                <w:sz w:val="18"/>
                <w:szCs w:val="18"/>
                <w:lang w:eastAsia="zh-CN" w:bidi="ar"/>
              </w:rPr>
              <w:t>。</w:t>
            </w:r>
          </w:p>
          <w:p w14:paraId="2575A33E">
            <w:pPr>
              <w:keepNext w:val="0"/>
              <w:keepLines w:val="0"/>
              <w:pageBreakBefore w:val="0"/>
              <w:widowControl w:val="0"/>
              <w:numPr>
                <w:ilvl w:val="0"/>
                <w:numId w:val="3"/>
                <w:ins w:id="1406" w:author="LV" w:date="2026-07-14T16:20:43Z"/>
              </w:numPr>
              <w:kinsoku/>
              <w:wordWrap/>
              <w:overflowPunct w:val="0"/>
              <w:topLinePunct w:val="0"/>
              <w:autoSpaceDE/>
              <w:autoSpaceDN/>
              <w:bidi w:val="0"/>
              <w:adjustRightInd/>
              <w:snapToGrid/>
              <w:spacing w:line="280" w:lineRule="exact"/>
              <w:textAlignment w:val="center"/>
              <w:rPr>
                <w:ins w:id="1407" w:author="LV" w:date="2026-07-14T16:20:43Z"/>
                <w:rFonts w:hint="eastAsia" w:ascii="仿宋_GB2312" w:hAnsi="宋体" w:eastAsia="仿宋_GB2312" w:cs="仿宋_GB2312"/>
                <w:kern w:val="0"/>
                <w:sz w:val="18"/>
                <w:szCs w:val="18"/>
                <w:lang w:eastAsia="zh-CN" w:bidi="ar"/>
              </w:rPr>
              <w:pPrChange w:id="1405" w:author="LV" w:date="2026-07-14T16:20:43Z">
                <w:pPr>
                  <w:keepNext w:val="0"/>
                  <w:keepLines w:val="0"/>
                  <w:pageBreakBefore w:val="0"/>
                  <w:widowControl w:val="0"/>
                  <w:kinsoku/>
                  <w:wordWrap/>
                  <w:overflowPunct w:val="0"/>
                  <w:topLinePunct w:val="0"/>
                  <w:autoSpaceDE/>
                  <w:autoSpaceDN/>
                  <w:bidi w:val="0"/>
                  <w:adjustRightInd/>
                  <w:snapToGrid/>
                  <w:spacing w:line="280" w:lineRule="exact"/>
                  <w:textAlignment w:val="center"/>
                </w:pPr>
              </w:pPrChange>
            </w:pPr>
            <w:del w:id="1408" w:author="LV" w:date="2026-07-14T16:20:43Z">
              <w:r>
                <w:rPr>
                  <w:rFonts w:hint="eastAsia" w:ascii="仿宋_GB2312" w:hAnsi="宋体" w:eastAsia="仿宋_GB2312" w:cs="仿宋_GB2312"/>
                  <w:kern w:val="0"/>
                  <w:sz w:val="18"/>
                  <w:szCs w:val="18"/>
                  <w:lang w:eastAsia="zh-CN" w:bidi="ar"/>
                </w:rPr>
                <w:delText>（</w:delText>
              </w:r>
            </w:del>
            <w:del w:id="1409" w:author="LV" w:date="2026-07-14T16:20:43Z">
              <w:r>
                <w:rPr>
                  <w:rFonts w:hint="eastAsia" w:ascii="仿宋_GB2312" w:hAnsi="宋体" w:eastAsia="仿宋_GB2312" w:cs="仿宋_GB2312"/>
                  <w:kern w:val="0"/>
                  <w:sz w:val="18"/>
                  <w:szCs w:val="18"/>
                  <w:lang w:val="en-US" w:eastAsia="zh-CN" w:bidi="ar"/>
                </w:rPr>
                <w:delText>六</w:delText>
              </w:r>
            </w:del>
            <w:del w:id="1410" w:author="LV" w:date="2026-07-14T16:20:43Z">
              <w:r>
                <w:rPr>
                  <w:rFonts w:hint="eastAsia" w:ascii="仿宋_GB2312" w:hAnsi="宋体" w:eastAsia="仿宋_GB2312" w:cs="仿宋_GB2312"/>
                  <w:kern w:val="0"/>
                  <w:sz w:val="18"/>
                  <w:szCs w:val="18"/>
                  <w:lang w:eastAsia="zh-CN" w:bidi="ar"/>
                </w:rPr>
                <w:delText>）</w:delText>
              </w:r>
            </w:del>
            <w:r>
              <w:rPr>
                <w:rFonts w:hint="eastAsia" w:ascii="仿宋_GB2312" w:hAnsi="宋体" w:eastAsia="仿宋_GB2312" w:cs="仿宋_GB2312"/>
                <w:kern w:val="0"/>
                <w:sz w:val="18"/>
                <w:szCs w:val="18"/>
                <w:lang w:bidi="ar"/>
              </w:rPr>
              <w:t>井巷揭穿突出煤层和在突出煤层中进行采掘作业时,未采取避难硐室、反向风门、压风自救装置、隔绝式自救器、远距离爆破安全防护措施</w:t>
            </w:r>
            <w:r>
              <w:rPr>
                <w:rFonts w:hint="eastAsia" w:ascii="仿宋_GB2312" w:hAnsi="宋体" w:eastAsia="仿宋_GB2312" w:cs="仿宋_GB2312"/>
                <w:kern w:val="0"/>
                <w:sz w:val="18"/>
                <w:szCs w:val="18"/>
                <w:lang w:eastAsia="zh-CN" w:bidi="ar"/>
              </w:rPr>
              <w:t>。</w:t>
            </w:r>
          </w:p>
          <w:p w14:paraId="20037CA6">
            <w:pPr>
              <w:keepNext w:val="0"/>
              <w:keepLines w:val="0"/>
              <w:pageBreakBefore w:val="0"/>
              <w:widowControl w:val="0"/>
              <w:numPr>
                <w:ilvl w:val="0"/>
                <w:numId w:val="0"/>
              </w:numPr>
              <w:kinsoku/>
              <w:wordWrap/>
              <w:overflowPunct w:val="0"/>
              <w:topLinePunct w:val="0"/>
              <w:autoSpaceDE/>
              <w:autoSpaceDN/>
              <w:bidi w:val="0"/>
              <w:adjustRightInd/>
              <w:snapToGrid/>
              <w:spacing w:line="280" w:lineRule="exact"/>
              <w:textAlignment w:val="center"/>
              <w:rPr>
                <w:ins w:id="1412" w:author="LV" w:date="2026-07-14T16:20:46Z"/>
                <w:rFonts w:hint="eastAsia" w:ascii="仿宋_GB2312" w:hAnsi="宋体" w:eastAsia="仿宋_GB2312" w:cs="仿宋_GB2312"/>
                <w:kern w:val="0"/>
                <w:sz w:val="18"/>
                <w:szCs w:val="18"/>
                <w:lang w:eastAsia="zh-CN" w:bidi="ar"/>
              </w:rPr>
              <w:pPrChange w:id="1411" w:author="LV" w:date="2026-07-14T16:20:43Z">
                <w:pPr>
                  <w:keepNext w:val="0"/>
                  <w:keepLines w:val="0"/>
                  <w:pageBreakBefore w:val="0"/>
                  <w:widowControl w:val="0"/>
                  <w:kinsoku/>
                  <w:wordWrap/>
                  <w:overflowPunct w:val="0"/>
                  <w:topLinePunct w:val="0"/>
                  <w:autoSpaceDE/>
                  <w:autoSpaceDN/>
                  <w:bidi w:val="0"/>
                  <w:adjustRightInd/>
                  <w:snapToGrid/>
                  <w:spacing w:line="280" w:lineRule="exact"/>
                  <w:textAlignment w:val="center"/>
                </w:pPr>
              </w:pPrChange>
            </w:pPr>
          </w:p>
          <w:p w14:paraId="7715D514">
            <w:pPr>
              <w:keepNext w:val="0"/>
              <w:keepLines w:val="0"/>
              <w:pageBreakBefore w:val="0"/>
              <w:widowControl w:val="0"/>
              <w:numPr>
                <w:ilvl w:val="0"/>
                <w:numId w:val="0"/>
              </w:numPr>
              <w:kinsoku/>
              <w:wordWrap/>
              <w:overflowPunct w:val="0"/>
              <w:topLinePunct w:val="0"/>
              <w:autoSpaceDE/>
              <w:autoSpaceDN/>
              <w:bidi w:val="0"/>
              <w:adjustRightInd/>
              <w:snapToGrid/>
              <w:spacing w:line="280" w:lineRule="exact"/>
              <w:textAlignment w:val="center"/>
              <w:rPr>
                <w:ins w:id="1414" w:author="LV" w:date="2026-07-27T15:39:29Z"/>
                <w:rFonts w:hint="eastAsia" w:ascii="仿宋_GB2312" w:hAnsi="宋体" w:eastAsia="仿宋_GB2312" w:cs="仿宋_GB2312"/>
                <w:kern w:val="0"/>
                <w:sz w:val="18"/>
                <w:szCs w:val="18"/>
                <w:lang w:eastAsia="zh-CN" w:bidi="ar"/>
              </w:rPr>
              <w:pPrChange w:id="1413" w:author="LV" w:date="2026-07-14T16:20:43Z">
                <w:pPr>
                  <w:keepNext w:val="0"/>
                  <w:keepLines w:val="0"/>
                  <w:pageBreakBefore w:val="0"/>
                  <w:widowControl w:val="0"/>
                  <w:kinsoku/>
                  <w:wordWrap/>
                  <w:overflowPunct w:val="0"/>
                  <w:topLinePunct w:val="0"/>
                  <w:autoSpaceDE/>
                  <w:autoSpaceDN/>
                  <w:bidi w:val="0"/>
                  <w:adjustRightInd/>
                  <w:snapToGrid/>
                  <w:spacing w:line="280" w:lineRule="exact"/>
                  <w:textAlignment w:val="center"/>
                </w:pPr>
              </w:pPrChange>
            </w:pPr>
          </w:p>
          <w:p w14:paraId="335DF05F">
            <w:pPr>
              <w:keepNext w:val="0"/>
              <w:keepLines w:val="0"/>
              <w:pageBreakBefore w:val="0"/>
              <w:widowControl w:val="0"/>
              <w:numPr>
                <w:ilvl w:val="0"/>
                <w:numId w:val="0"/>
              </w:numPr>
              <w:kinsoku/>
              <w:wordWrap/>
              <w:overflowPunct w:val="0"/>
              <w:topLinePunct w:val="0"/>
              <w:autoSpaceDE/>
              <w:autoSpaceDN/>
              <w:bidi w:val="0"/>
              <w:adjustRightInd/>
              <w:snapToGrid/>
              <w:spacing w:line="280" w:lineRule="exact"/>
              <w:textAlignment w:val="center"/>
              <w:rPr>
                <w:ins w:id="1416" w:author="LV" w:date="2026-07-27T15:39:29Z"/>
                <w:rFonts w:hint="eastAsia" w:ascii="仿宋_GB2312" w:hAnsi="宋体" w:eastAsia="仿宋_GB2312" w:cs="仿宋_GB2312"/>
                <w:kern w:val="0"/>
                <w:sz w:val="18"/>
                <w:szCs w:val="18"/>
                <w:lang w:eastAsia="zh-CN" w:bidi="ar"/>
              </w:rPr>
              <w:pPrChange w:id="1415" w:author="LV" w:date="2026-07-14T16:20:43Z">
                <w:pPr>
                  <w:keepNext w:val="0"/>
                  <w:keepLines w:val="0"/>
                  <w:pageBreakBefore w:val="0"/>
                  <w:widowControl w:val="0"/>
                  <w:kinsoku/>
                  <w:wordWrap/>
                  <w:overflowPunct w:val="0"/>
                  <w:topLinePunct w:val="0"/>
                  <w:autoSpaceDE/>
                  <w:autoSpaceDN/>
                  <w:bidi w:val="0"/>
                  <w:adjustRightInd/>
                  <w:snapToGrid/>
                  <w:spacing w:line="280" w:lineRule="exact"/>
                  <w:textAlignment w:val="center"/>
                </w:pPr>
              </w:pPrChange>
            </w:pPr>
          </w:p>
          <w:p w14:paraId="28F850E4">
            <w:pPr>
              <w:keepNext w:val="0"/>
              <w:keepLines w:val="0"/>
              <w:pageBreakBefore w:val="0"/>
              <w:widowControl w:val="0"/>
              <w:numPr>
                <w:ilvl w:val="0"/>
                <w:numId w:val="0"/>
              </w:numPr>
              <w:kinsoku/>
              <w:wordWrap/>
              <w:overflowPunct w:val="0"/>
              <w:topLinePunct w:val="0"/>
              <w:autoSpaceDE/>
              <w:autoSpaceDN/>
              <w:bidi w:val="0"/>
              <w:adjustRightInd/>
              <w:snapToGrid/>
              <w:spacing w:line="280" w:lineRule="exact"/>
              <w:textAlignment w:val="center"/>
              <w:rPr>
                <w:ins w:id="1418" w:author="LV" w:date="2026-07-27T15:39:30Z"/>
                <w:rFonts w:hint="eastAsia" w:ascii="仿宋_GB2312" w:hAnsi="宋体" w:eastAsia="仿宋_GB2312" w:cs="仿宋_GB2312"/>
                <w:kern w:val="0"/>
                <w:sz w:val="18"/>
                <w:szCs w:val="18"/>
                <w:lang w:eastAsia="zh-CN" w:bidi="ar"/>
              </w:rPr>
              <w:pPrChange w:id="1417" w:author="LV" w:date="2026-07-14T16:20:43Z">
                <w:pPr>
                  <w:keepNext w:val="0"/>
                  <w:keepLines w:val="0"/>
                  <w:pageBreakBefore w:val="0"/>
                  <w:widowControl w:val="0"/>
                  <w:kinsoku/>
                  <w:wordWrap/>
                  <w:overflowPunct w:val="0"/>
                  <w:topLinePunct w:val="0"/>
                  <w:autoSpaceDE/>
                  <w:autoSpaceDN/>
                  <w:bidi w:val="0"/>
                  <w:adjustRightInd/>
                  <w:snapToGrid/>
                  <w:spacing w:line="280" w:lineRule="exact"/>
                  <w:textAlignment w:val="center"/>
                </w:pPr>
              </w:pPrChange>
            </w:pPr>
          </w:p>
          <w:p w14:paraId="7C18E76F">
            <w:pPr>
              <w:keepNext w:val="0"/>
              <w:keepLines w:val="0"/>
              <w:pageBreakBefore w:val="0"/>
              <w:widowControl w:val="0"/>
              <w:numPr>
                <w:ilvl w:val="0"/>
                <w:numId w:val="0"/>
              </w:numPr>
              <w:kinsoku/>
              <w:wordWrap/>
              <w:overflowPunct w:val="0"/>
              <w:topLinePunct w:val="0"/>
              <w:autoSpaceDE/>
              <w:autoSpaceDN/>
              <w:bidi w:val="0"/>
              <w:adjustRightInd/>
              <w:snapToGrid/>
              <w:spacing w:line="280" w:lineRule="exact"/>
              <w:textAlignment w:val="center"/>
              <w:rPr>
                <w:ins w:id="1420" w:author="LV" w:date="2026-07-27T15:39:30Z"/>
                <w:rFonts w:hint="eastAsia" w:ascii="仿宋_GB2312" w:hAnsi="宋体" w:eastAsia="仿宋_GB2312" w:cs="仿宋_GB2312"/>
                <w:kern w:val="0"/>
                <w:sz w:val="18"/>
                <w:szCs w:val="18"/>
                <w:lang w:eastAsia="zh-CN" w:bidi="ar"/>
              </w:rPr>
              <w:pPrChange w:id="1419" w:author="LV" w:date="2026-07-14T16:20:43Z">
                <w:pPr>
                  <w:keepNext w:val="0"/>
                  <w:keepLines w:val="0"/>
                  <w:pageBreakBefore w:val="0"/>
                  <w:widowControl w:val="0"/>
                  <w:kinsoku/>
                  <w:wordWrap/>
                  <w:overflowPunct w:val="0"/>
                  <w:topLinePunct w:val="0"/>
                  <w:autoSpaceDE/>
                  <w:autoSpaceDN/>
                  <w:bidi w:val="0"/>
                  <w:adjustRightInd/>
                  <w:snapToGrid/>
                  <w:spacing w:line="280" w:lineRule="exact"/>
                  <w:textAlignment w:val="center"/>
                </w:pPr>
              </w:pPrChange>
            </w:pPr>
          </w:p>
          <w:p w14:paraId="65F079E5">
            <w:pPr>
              <w:keepNext w:val="0"/>
              <w:keepLines w:val="0"/>
              <w:pageBreakBefore w:val="0"/>
              <w:widowControl w:val="0"/>
              <w:numPr>
                <w:ilvl w:val="0"/>
                <w:numId w:val="0"/>
              </w:numPr>
              <w:kinsoku/>
              <w:wordWrap/>
              <w:overflowPunct w:val="0"/>
              <w:topLinePunct w:val="0"/>
              <w:autoSpaceDE/>
              <w:autoSpaceDN/>
              <w:bidi w:val="0"/>
              <w:adjustRightInd/>
              <w:snapToGrid/>
              <w:spacing w:line="280" w:lineRule="exact"/>
              <w:textAlignment w:val="center"/>
              <w:rPr>
                <w:ins w:id="1422" w:author="LV" w:date="2026-07-27T15:39:30Z"/>
                <w:rFonts w:hint="eastAsia" w:ascii="仿宋_GB2312" w:hAnsi="宋体" w:eastAsia="仿宋_GB2312" w:cs="仿宋_GB2312"/>
                <w:kern w:val="0"/>
                <w:sz w:val="18"/>
                <w:szCs w:val="18"/>
                <w:lang w:eastAsia="zh-CN" w:bidi="ar"/>
              </w:rPr>
              <w:pPrChange w:id="1421" w:author="LV" w:date="2026-07-14T16:20:43Z">
                <w:pPr>
                  <w:keepNext w:val="0"/>
                  <w:keepLines w:val="0"/>
                  <w:pageBreakBefore w:val="0"/>
                  <w:widowControl w:val="0"/>
                  <w:kinsoku/>
                  <w:wordWrap/>
                  <w:overflowPunct w:val="0"/>
                  <w:topLinePunct w:val="0"/>
                  <w:autoSpaceDE/>
                  <w:autoSpaceDN/>
                  <w:bidi w:val="0"/>
                  <w:adjustRightInd/>
                  <w:snapToGrid/>
                  <w:spacing w:line="280" w:lineRule="exact"/>
                  <w:textAlignment w:val="center"/>
                </w:pPr>
              </w:pPrChange>
            </w:pPr>
          </w:p>
          <w:p w14:paraId="6C8FB63E">
            <w:pPr>
              <w:keepNext w:val="0"/>
              <w:keepLines w:val="0"/>
              <w:pageBreakBefore w:val="0"/>
              <w:widowControl w:val="0"/>
              <w:numPr>
                <w:ilvl w:val="0"/>
                <w:numId w:val="0"/>
              </w:numPr>
              <w:kinsoku/>
              <w:wordWrap/>
              <w:overflowPunct w:val="0"/>
              <w:topLinePunct w:val="0"/>
              <w:autoSpaceDE/>
              <w:autoSpaceDN/>
              <w:bidi w:val="0"/>
              <w:adjustRightInd/>
              <w:snapToGrid/>
              <w:spacing w:line="280" w:lineRule="exact"/>
              <w:textAlignment w:val="center"/>
              <w:rPr>
                <w:ins w:id="1424" w:author="LV" w:date="2026-07-27T15:39:31Z"/>
                <w:rFonts w:hint="eastAsia" w:ascii="仿宋_GB2312" w:hAnsi="宋体" w:eastAsia="仿宋_GB2312" w:cs="仿宋_GB2312"/>
                <w:kern w:val="0"/>
                <w:sz w:val="18"/>
                <w:szCs w:val="18"/>
                <w:lang w:eastAsia="zh-CN" w:bidi="ar"/>
              </w:rPr>
              <w:pPrChange w:id="1423" w:author="LV" w:date="2026-07-14T16:20:43Z">
                <w:pPr>
                  <w:keepNext w:val="0"/>
                  <w:keepLines w:val="0"/>
                  <w:pageBreakBefore w:val="0"/>
                  <w:widowControl w:val="0"/>
                  <w:kinsoku/>
                  <w:wordWrap/>
                  <w:overflowPunct w:val="0"/>
                  <w:topLinePunct w:val="0"/>
                  <w:autoSpaceDE/>
                  <w:autoSpaceDN/>
                  <w:bidi w:val="0"/>
                  <w:adjustRightInd/>
                  <w:snapToGrid/>
                  <w:spacing w:line="280" w:lineRule="exact"/>
                  <w:textAlignment w:val="center"/>
                </w:pPr>
              </w:pPrChange>
            </w:pPr>
          </w:p>
          <w:p w14:paraId="6A88D052">
            <w:pPr>
              <w:keepNext w:val="0"/>
              <w:keepLines w:val="0"/>
              <w:pageBreakBefore w:val="0"/>
              <w:widowControl w:val="0"/>
              <w:numPr>
                <w:ilvl w:val="0"/>
                <w:numId w:val="0"/>
              </w:numPr>
              <w:kinsoku/>
              <w:wordWrap/>
              <w:overflowPunct w:val="0"/>
              <w:topLinePunct w:val="0"/>
              <w:autoSpaceDE/>
              <w:autoSpaceDN/>
              <w:bidi w:val="0"/>
              <w:adjustRightInd/>
              <w:snapToGrid/>
              <w:spacing w:line="280" w:lineRule="exact"/>
              <w:textAlignment w:val="center"/>
              <w:rPr>
                <w:ins w:id="1426" w:author="LV" w:date="2026-07-27T15:39:31Z"/>
                <w:rFonts w:hint="eastAsia" w:ascii="仿宋_GB2312" w:hAnsi="宋体" w:eastAsia="仿宋_GB2312" w:cs="仿宋_GB2312"/>
                <w:kern w:val="0"/>
                <w:sz w:val="18"/>
                <w:szCs w:val="18"/>
                <w:lang w:eastAsia="zh-CN" w:bidi="ar"/>
              </w:rPr>
              <w:pPrChange w:id="1425" w:author="LV" w:date="2026-07-14T16:20:43Z">
                <w:pPr>
                  <w:keepNext w:val="0"/>
                  <w:keepLines w:val="0"/>
                  <w:pageBreakBefore w:val="0"/>
                  <w:widowControl w:val="0"/>
                  <w:kinsoku/>
                  <w:wordWrap/>
                  <w:overflowPunct w:val="0"/>
                  <w:topLinePunct w:val="0"/>
                  <w:autoSpaceDE/>
                  <w:autoSpaceDN/>
                  <w:bidi w:val="0"/>
                  <w:adjustRightInd/>
                  <w:snapToGrid/>
                  <w:spacing w:line="280" w:lineRule="exact"/>
                  <w:textAlignment w:val="center"/>
                </w:pPr>
              </w:pPrChange>
            </w:pPr>
          </w:p>
          <w:p w14:paraId="6B95AD6E">
            <w:pPr>
              <w:keepNext w:val="0"/>
              <w:keepLines w:val="0"/>
              <w:pageBreakBefore w:val="0"/>
              <w:widowControl w:val="0"/>
              <w:numPr>
                <w:ilvl w:val="0"/>
                <w:numId w:val="0"/>
              </w:numPr>
              <w:kinsoku/>
              <w:wordWrap/>
              <w:overflowPunct w:val="0"/>
              <w:topLinePunct w:val="0"/>
              <w:autoSpaceDE/>
              <w:autoSpaceDN/>
              <w:bidi w:val="0"/>
              <w:adjustRightInd/>
              <w:snapToGrid/>
              <w:spacing w:line="280" w:lineRule="exact"/>
              <w:textAlignment w:val="center"/>
              <w:rPr>
                <w:ins w:id="1428" w:author="LV" w:date="2026-07-14T16:20:47Z"/>
                <w:rFonts w:hint="eastAsia" w:ascii="仿宋_GB2312" w:hAnsi="宋体" w:eastAsia="仿宋_GB2312" w:cs="仿宋_GB2312"/>
                <w:kern w:val="0"/>
                <w:sz w:val="18"/>
                <w:szCs w:val="18"/>
                <w:lang w:eastAsia="zh-CN" w:bidi="ar"/>
              </w:rPr>
              <w:pPrChange w:id="1427" w:author="LV" w:date="2026-07-14T16:20:43Z">
                <w:pPr>
                  <w:keepNext w:val="0"/>
                  <w:keepLines w:val="0"/>
                  <w:pageBreakBefore w:val="0"/>
                  <w:widowControl w:val="0"/>
                  <w:kinsoku/>
                  <w:wordWrap/>
                  <w:overflowPunct w:val="0"/>
                  <w:topLinePunct w:val="0"/>
                  <w:autoSpaceDE/>
                  <w:autoSpaceDN/>
                  <w:bidi w:val="0"/>
                  <w:adjustRightInd/>
                  <w:snapToGrid/>
                  <w:spacing w:line="280" w:lineRule="exact"/>
                  <w:textAlignment w:val="center"/>
                </w:pPr>
              </w:pPrChange>
            </w:pPr>
          </w:p>
          <w:p w14:paraId="49B1B911">
            <w:pPr>
              <w:keepNext w:val="0"/>
              <w:keepLines w:val="0"/>
              <w:pageBreakBefore w:val="0"/>
              <w:widowControl w:val="0"/>
              <w:numPr>
                <w:ilvl w:val="0"/>
                <w:numId w:val="0"/>
              </w:numPr>
              <w:kinsoku/>
              <w:wordWrap/>
              <w:overflowPunct w:val="0"/>
              <w:topLinePunct w:val="0"/>
              <w:autoSpaceDE/>
              <w:autoSpaceDN/>
              <w:bidi w:val="0"/>
              <w:adjustRightInd/>
              <w:snapToGrid/>
              <w:spacing w:line="280" w:lineRule="exact"/>
              <w:textAlignment w:val="center"/>
              <w:rPr>
                <w:del w:id="1430" w:author="LV" w:date="2026-07-14T16:20:28Z"/>
                <w:rFonts w:hint="eastAsia" w:ascii="仿宋_GB2312" w:hAnsi="宋体" w:eastAsia="仿宋_GB2312" w:cs="仿宋_GB2312"/>
                <w:kern w:val="0"/>
                <w:sz w:val="18"/>
                <w:szCs w:val="18"/>
                <w:lang w:eastAsia="zh-CN" w:bidi="ar"/>
              </w:rPr>
              <w:pPrChange w:id="1429" w:author="LV" w:date="2026-07-14T16:20:43Z">
                <w:pPr>
                  <w:keepNext w:val="0"/>
                  <w:keepLines w:val="0"/>
                  <w:pageBreakBefore w:val="0"/>
                  <w:widowControl w:val="0"/>
                  <w:kinsoku/>
                  <w:wordWrap/>
                  <w:overflowPunct w:val="0"/>
                  <w:topLinePunct w:val="0"/>
                  <w:autoSpaceDE/>
                  <w:autoSpaceDN/>
                  <w:bidi w:val="0"/>
                  <w:adjustRightInd/>
                  <w:snapToGrid/>
                  <w:spacing w:line="280" w:lineRule="exact"/>
                  <w:textAlignment w:val="center"/>
                </w:pPr>
              </w:pPrChange>
            </w:pPr>
          </w:p>
          <w:p w14:paraId="58DF66C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tc>
        <w:tc>
          <w:tcPr>
            <w:tcW w:w="4082" w:type="dxa"/>
            <w:vMerge w:val="restart"/>
            <w:tcBorders>
              <w:tl2br w:val="nil"/>
              <w:tr2bl w:val="nil"/>
            </w:tcBorders>
            <w:shd w:val="clear" w:color="auto" w:fill="auto"/>
            <w:tcMar>
              <w:top w:w="15" w:type="dxa"/>
              <w:left w:w="15" w:type="dxa"/>
              <w:right w:w="15" w:type="dxa"/>
            </w:tcMar>
            <w:vAlign w:val="center"/>
          </w:tcPr>
          <w:p w14:paraId="79E3A90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《煤矿安全生产条例》第六十四条  对存在重大事故隐患仍然进行生产的煤矿企业，责令停产整顿，明确整顿的内容、时间等具体要求，并处50万元以上200万元以下的罚款；对煤矿企业主要负责人处3万元以上15万元以下的罚款。</w:t>
            </w:r>
          </w:p>
        </w:tc>
        <w:tc>
          <w:tcPr>
            <w:tcW w:w="459" w:type="dxa"/>
            <w:tcBorders>
              <w:tl2br w:val="nil"/>
              <w:tr2bl w:val="nil"/>
            </w:tcBorders>
            <w:shd w:val="clear" w:color="auto" w:fill="auto"/>
            <w:noWrap/>
            <w:tcMar>
              <w:top w:w="15" w:type="dxa"/>
              <w:left w:w="15" w:type="dxa"/>
              <w:right w:w="15" w:type="dxa"/>
            </w:tcMar>
            <w:vAlign w:val="center"/>
          </w:tcPr>
          <w:p w14:paraId="78C2476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0390EC4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7402A98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A05FE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3580DA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D55078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64E01A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4C8CED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bottom w:val="single" w:color="auto" w:sz="4" w:space="0"/>
              <w:tl2br w:val="nil"/>
              <w:tr2bl w:val="nil"/>
            </w:tcBorders>
            <w:shd w:val="clear" w:color="auto" w:fill="auto"/>
            <w:noWrap/>
            <w:tcMar>
              <w:top w:w="15" w:type="dxa"/>
              <w:left w:w="15" w:type="dxa"/>
              <w:right w:w="15" w:type="dxa"/>
            </w:tcMar>
            <w:vAlign w:val="center"/>
          </w:tcPr>
          <w:p w14:paraId="17D9A2A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bottom w:val="single" w:color="auto" w:sz="4" w:space="0"/>
              <w:tl2br w:val="nil"/>
              <w:tr2bl w:val="nil"/>
            </w:tcBorders>
            <w:shd w:val="clear" w:color="auto" w:fill="auto"/>
            <w:tcMar>
              <w:top w:w="15" w:type="dxa"/>
              <w:left w:w="15" w:type="dxa"/>
              <w:right w:w="15" w:type="dxa"/>
            </w:tcMar>
            <w:vAlign w:val="center"/>
          </w:tcPr>
          <w:p w14:paraId="1CECE34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bottom w:val="single" w:color="auto" w:sz="4" w:space="0"/>
              <w:tl2br w:val="nil"/>
              <w:tr2bl w:val="nil"/>
            </w:tcBorders>
            <w:shd w:val="clear" w:color="auto" w:fill="auto"/>
            <w:noWrap/>
            <w:tcMar>
              <w:top w:w="15" w:type="dxa"/>
              <w:left w:w="15" w:type="dxa"/>
              <w:right w:w="15" w:type="dxa"/>
            </w:tcMar>
            <w:vAlign w:val="center"/>
          </w:tcPr>
          <w:p w14:paraId="3700076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A742C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2"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B1DA90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DF2B5F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8D86EC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EC4E10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4AD6EF0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减轻处罚</w:t>
            </w:r>
          </w:p>
        </w:tc>
        <w:tc>
          <w:tcPr>
            <w:tcW w:w="1829"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7928F42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655"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13F84D5F">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776A1F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9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D3BA31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F98CB8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B8DEAF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2F3807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0D585F7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从轻处罚</w:t>
            </w:r>
          </w:p>
        </w:tc>
        <w:tc>
          <w:tcPr>
            <w:tcW w:w="1829"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2F54DB70">
            <w:pPr>
              <w:keepNext w:val="0"/>
              <w:keepLines w:val="0"/>
              <w:pageBreakBefore w:val="0"/>
              <w:widowControl w:val="0"/>
              <w:kinsoku/>
              <w:wordWrap/>
              <w:overflowPunct w:val="0"/>
              <w:topLinePunct w:val="0"/>
              <w:autoSpaceDE/>
              <w:autoSpaceDN/>
              <w:bidi w:val="0"/>
              <w:adjustRightInd/>
              <w:snapToGrid/>
              <w:spacing w:line="23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val="en-US" w:eastAsia="zh-CN" w:bidi="ar"/>
              </w:rPr>
              <w:t>符合</w:t>
            </w:r>
            <w:r>
              <w:rPr>
                <w:rFonts w:hint="eastAsia" w:ascii="仿宋_GB2312" w:hAnsi="宋体" w:eastAsia="仿宋_GB2312" w:cs="仿宋_GB2312"/>
                <w:kern w:val="0"/>
                <w:sz w:val="18"/>
                <w:szCs w:val="18"/>
                <w:lang w:bidi="ar"/>
              </w:rPr>
              <w:t>《煤矿重大事故隐患判定标准》第六条</w:t>
            </w:r>
            <w:r>
              <w:rPr>
                <w:rFonts w:hint="eastAsia" w:ascii="仿宋_GB2312" w:hAnsi="宋体" w:eastAsia="仿宋_GB2312" w:cs="仿宋_GB2312"/>
                <w:kern w:val="0"/>
                <w:sz w:val="18"/>
                <w:szCs w:val="18"/>
                <w:lang w:val="en-US" w:eastAsia="zh-CN" w:bidi="ar"/>
              </w:rPr>
              <w:t>第六项情形的</w:t>
            </w:r>
          </w:p>
        </w:tc>
        <w:tc>
          <w:tcPr>
            <w:tcW w:w="2655"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7E08B1E6">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责令停产整顿，提出整顿的内容、时间等具体要求，处50万元以上100万元以下的罚款；对煤矿企业负责人处3万元以上5万元以下的罚款。</w:t>
            </w:r>
          </w:p>
        </w:tc>
      </w:tr>
      <w:tr w14:paraId="549681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9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CBD8A4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CA79AE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6A3C92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2F89FE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4BDD1E0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一般处罚</w:t>
            </w:r>
          </w:p>
        </w:tc>
        <w:tc>
          <w:tcPr>
            <w:tcW w:w="1829"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607FFBDE">
            <w:pPr>
              <w:keepNext w:val="0"/>
              <w:keepLines w:val="0"/>
              <w:pageBreakBefore w:val="0"/>
              <w:widowControl w:val="0"/>
              <w:kinsoku/>
              <w:wordWrap/>
              <w:overflowPunct w:val="0"/>
              <w:topLinePunct w:val="0"/>
              <w:autoSpaceDE/>
              <w:autoSpaceDN/>
              <w:bidi w:val="0"/>
              <w:adjustRightInd/>
              <w:snapToGrid/>
              <w:spacing w:line="23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val="en-US" w:eastAsia="zh-CN" w:bidi="ar"/>
              </w:rPr>
              <w:t>符合</w:t>
            </w:r>
            <w:r>
              <w:rPr>
                <w:rFonts w:hint="eastAsia" w:ascii="仿宋_GB2312" w:hAnsi="宋体" w:eastAsia="仿宋_GB2312" w:cs="仿宋_GB2312"/>
                <w:kern w:val="0"/>
                <w:sz w:val="18"/>
                <w:szCs w:val="18"/>
                <w:lang w:bidi="ar"/>
              </w:rPr>
              <w:t>《煤矿重大事故隐患判定标准》第六条</w:t>
            </w:r>
            <w:r>
              <w:rPr>
                <w:rFonts w:hint="eastAsia" w:ascii="仿宋_GB2312" w:hAnsi="宋体" w:eastAsia="仿宋_GB2312" w:cs="仿宋_GB2312"/>
                <w:kern w:val="0"/>
                <w:sz w:val="18"/>
                <w:szCs w:val="18"/>
                <w:lang w:val="en-US" w:eastAsia="zh-CN" w:bidi="ar"/>
              </w:rPr>
              <w:t>第一项情形的</w:t>
            </w:r>
          </w:p>
        </w:tc>
        <w:tc>
          <w:tcPr>
            <w:tcW w:w="2655"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6FA09341">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责令停产整顿，提出整顿的内容、时间等具体要求，处100万元以上150万元以下的罚款；对煤矿企业负责人处5万元以上10万元以下的罚款。</w:t>
            </w:r>
          </w:p>
        </w:tc>
      </w:tr>
      <w:tr w14:paraId="15728C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1431" w:author="LV" w:date="2026-07-14T16:20:26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wBefore w:w="0" w:type="auto"/>
          <w:trHeight w:val="165" w:hRule="atLeast"/>
          <w:jc w:val="center"/>
          <w:trPrChange w:id="1431" w:author="LV" w:date="2026-07-14T16:20:26Z">
            <w:trPr>
              <w:gridBefore w:val="2"/>
              <w:wBefore w:w="15" w:type="dxa"/>
              <w:trHeight w:val="1956" w:hRule="atLeast"/>
              <w:jc w:val="center"/>
            </w:trPr>
          </w:trPrChange>
        </w:trPr>
        <w:tc>
          <w:tcPr>
            <w:tcW w:w="418" w:type="dxa"/>
            <w:vMerge w:val="continue"/>
            <w:tcBorders>
              <w:tl2br w:val="nil"/>
              <w:tr2bl w:val="nil"/>
            </w:tcBorders>
            <w:shd w:val="clear" w:color="auto" w:fill="auto"/>
            <w:noWrap/>
            <w:tcMar>
              <w:top w:w="15" w:type="dxa"/>
              <w:left w:w="15" w:type="dxa"/>
              <w:right w:w="15" w:type="dxa"/>
            </w:tcMar>
            <w:vAlign w:val="center"/>
            <w:tcPrChange w:id="1432" w:author="LV" w:date="2026-07-14T16:20:26Z">
              <w:tcPr>
                <w:tcW w:w="418" w:type="dxa"/>
                <w:gridSpan w:val="3"/>
                <w:vMerge w:val="continue"/>
                <w:tcBorders>
                  <w:tl2br w:val="nil"/>
                  <w:tr2bl w:val="nil"/>
                </w:tcBorders>
                <w:shd w:val="clear" w:color="auto" w:fill="auto"/>
                <w:noWrap/>
                <w:tcMar>
                  <w:top w:w="15" w:type="dxa"/>
                  <w:left w:w="15" w:type="dxa"/>
                  <w:right w:w="15" w:type="dxa"/>
                </w:tcMar>
                <w:vAlign w:val="center"/>
              </w:tcPr>
            </w:tcPrChange>
          </w:tcPr>
          <w:p w14:paraId="5BF64C1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Change w:id="1433" w:author="LV" w:date="2026-07-14T16:20:26Z">
              <w:tcPr>
                <w:tcW w:w="1005" w:type="dxa"/>
                <w:gridSpan w:val="3"/>
                <w:vMerge w:val="continue"/>
                <w:tcBorders>
                  <w:tl2br w:val="nil"/>
                  <w:tr2bl w:val="nil"/>
                </w:tcBorders>
                <w:shd w:val="clear" w:color="auto" w:fill="auto"/>
                <w:tcMar>
                  <w:top w:w="15" w:type="dxa"/>
                  <w:left w:w="15" w:type="dxa"/>
                  <w:right w:w="15" w:type="dxa"/>
                </w:tcMar>
                <w:vAlign w:val="center"/>
              </w:tcPr>
            </w:tcPrChange>
          </w:tcPr>
          <w:p w14:paraId="14CFB79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Change w:id="1434" w:author="LV" w:date="2026-07-14T16:20:26Z">
              <w:tcPr>
                <w:tcW w:w="3667" w:type="dxa"/>
                <w:gridSpan w:val="3"/>
                <w:vMerge w:val="continue"/>
                <w:tcBorders>
                  <w:tl2br w:val="nil"/>
                  <w:tr2bl w:val="nil"/>
                </w:tcBorders>
                <w:shd w:val="clear" w:color="auto" w:fill="auto"/>
                <w:tcMar>
                  <w:top w:w="15" w:type="dxa"/>
                  <w:left w:w="15" w:type="dxa"/>
                  <w:right w:w="15" w:type="dxa"/>
                </w:tcMar>
                <w:vAlign w:val="center"/>
              </w:tcPr>
            </w:tcPrChange>
          </w:tcPr>
          <w:p w14:paraId="6783892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Change w:id="1435" w:author="LV" w:date="2026-07-14T16:20:26Z">
              <w:tcPr>
                <w:tcW w:w="4082" w:type="dxa"/>
                <w:gridSpan w:val="3"/>
                <w:vMerge w:val="continue"/>
                <w:tcBorders>
                  <w:tl2br w:val="nil"/>
                  <w:tr2bl w:val="nil"/>
                </w:tcBorders>
                <w:shd w:val="clear" w:color="auto" w:fill="auto"/>
                <w:tcMar>
                  <w:top w:w="15" w:type="dxa"/>
                  <w:left w:w="15" w:type="dxa"/>
                  <w:right w:w="15" w:type="dxa"/>
                </w:tcMar>
                <w:vAlign w:val="center"/>
              </w:tcPr>
            </w:tcPrChange>
          </w:tcPr>
          <w:p w14:paraId="0CF88E9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op w:val="single" w:color="auto" w:sz="4" w:space="0"/>
              <w:tl2br w:val="nil"/>
              <w:tr2bl w:val="nil"/>
            </w:tcBorders>
            <w:shd w:val="clear" w:color="auto" w:fill="auto"/>
            <w:noWrap/>
            <w:tcMar>
              <w:top w:w="15" w:type="dxa"/>
              <w:left w:w="15" w:type="dxa"/>
              <w:right w:w="15" w:type="dxa"/>
            </w:tcMar>
            <w:vAlign w:val="center"/>
            <w:tcPrChange w:id="1436" w:author="LV" w:date="2026-07-14T16:20:26Z">
              <w:tcPr>
                <w:tcW w:w="459" w:type="dxa"/>
                <w:gridSpan w:val="3"/>
                <w:tcBorders>
                  <w:top w:val="single" w:color="auto" w:sz="4" w:space="0"/>
                  <w:tl2br w:val="nil"/>
                  <w:tr2bl w:val="nil"/>
                </w:tcBorders>
                <w:shd w:val="clear" w:color="auto" w:fill="auto"/>
                <w:noWrap/>
                <w:tcMar>
                  <w:top w:w="15" w:type="dxa"/>
                  <w:left w:w="15" w:type="dxa"/>
                  <w:right w:w="15" w:type="dxa"/>
                </w:tcMar>
                <w:vAlign w:val="center"/>
              </w:tcPr>
            </w:tcPrChange>
          </w:tcPr>
          <w:p w14:paraId="26C1AB1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从重处罚</w:t>
            </w:r>
          </w:p>
        </w:tc>
        <w:tc>
          <w:tcPr>
            <w:tcW w:w="1829" w:type="dxa"/>
            <w:tcBorders>
              <w:top w:val="single" w:color="auto" w:sz="4" w:space="0"/>
              <w:tl2br w:val="nil"/>
              <w:tr2bl w:val="nil"/>
            </w:tcBorders>
            <w:shd w:val="clear" w:color="auto" w:fill="auto"/>
            <w:tcMar>
              <w:top w:w="15" w:type="dxa"/>
              <w:left w:w="15" w:type="dxa"/>
              <w:right w:w="15" w:type="dxa"/>
            </w:tcMar>
            <w:vAlign w:val="center"/>
            <w:tcPrChange w:id="1437" w:author="LV" w:date="2026-07-14T16:20:26Z">
              <w:tcPr>
                <w:tcW w:w="1829" w:type="dxa"/>
                <w:gridSpan w:val="3"/>
                <w:tcBorders>
                  <w:top w:val="single" w:color="auto" w:sz="4" w:space="0"/>
                  <w:tl2br w:val="nil"/>
                  <w:tr2bl w:val="nil"/>
                </w:tcBorders>
                <w:shd w:val="clear" w:color="auto" w:fill="auto"/>
                <w:tcMar>
                  <w:top w:w="15" w:type="dxa"/>
                  <w:left w:w="15" w:type="dxa"/>
                  <w:right w:w="15" w:type="dxa"/>
                </w:tcMar>
                <w:vAlign w:val="center"/>
              </w:tcPr>
            </w:tcPrChange>
          </w:tcPr>
          <w:p w14:paraId="314E25DF">
            <w:pPr>
              <w:keepNext w:val="0"/>
              <w:keepLines w:val="0"/>
              <w:pageBreakBefore w:val="0"/>
              <w:widowControl w:val="0"/>
              <w:kinsoku/>
              <w:wordWrap/>
              <w:overflowPunct w:val="0"/>
              <w:topLinePunct w:val="0"/>
              <w:autoSpaceDE/>
              <w:autoSpaceDN/>
              <w:bidi w:val="0"/>
              <w:adjustRightInd/>
              <w:snapToGrid/>
              <w:spacing w:line="23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val="en-US" w:eastAsia="zh-CN" w:bidi="ar"/>
              </w:rPr>
              <w:t>符合</w:t>
            </w:r>
            <w:r>
              <w:rPr>
                <w:rFonts w:hint="eastAsia" w:ascii="仿宋_GB2312" w:hAnsi="宋体" w:eastAsia="仿宋_GB2312" w:cs="仿宋_GB2312"/>
                <w:kern w:val="0"/>
                <w:sz w:val="18"/>
                <w:szCs w:val="18"/>
                <w:lang w:bidi="ar"/>
              </w:rPr>
              <w:t>《煤矿重大事故隐患判定标准》第六条</w:t>
            </w:r>
            <w:r>
              <w:rPr>
                <w:rFonts w:hint="eastAsia" w:ascii="仿宋_GB2312" w:hAnsi="宋体" w:eastAsia="仿宋_GB2312" w:cs="仿宋_GB2312"/>
                <w:kern w:val="0"/>
                <w:sz w:val="18"/>
                <w:szCs w:val="18"/>
                <w:lang w:val="en-US" w:eastAsia="zh-CN" w:bidi="ar"/>
              </w:rPr>
              <w:t>第二至五项情形的</w:t>
            </w:r>
          </w:p>
        </w:tc>
        <w:tc>
          <w:tcPr>
            <w:tcW w:w="2655" w:type="dxa"/>
            <w:tcBorders>
              <w:top w:val="single" w:color="auto" w:sz="4" w:space="0"/>
              <w:tl2br w:val="nil"/>
              <w:tr2bl w:val="nil"/>
            </w:tcBorders>
            <w:shd w:val="clear" w:color="auto" w:fill="auto"/>
            <w:noWrap/>
            <w:tcMar>
              <w:top w:w="15" w:type="dxa"/>
              <w:left w:w="15" w:type="dxa"/>
              <w:right w:w="15" w:type="dxa"/>
            </w:tcMar>
            <w:vAlign w:val="center"/>
            <w:tcPrChange w:id="1438" w:author="LV" w:date="2026-07-14T16:20:26Z">
              <w:tcPr>
                <w:tcW w:w="2655" w:type="dxa"/>
                <w:gridSpan w:val="3"/>
                <w:tcBorders>
                  <w:top w:val="single" w:color="auto" w:sz="4" w:space="0"/>
                  <w:tl2br w:val="nil"/>
                  <w:tr2bl w:val="nil"/>
                </w:tcBorders>
                <w:shd w:val="clear" w:color="auto" w:fill="auto"/>
                <w:noWrap/>
                <w:tcMar>
                  <w:top w:w="15" w:type="dxa"/>
                  <w:left w:w="15" w:type="dxa"/>
                  <w:right w:w="15" w:type="dxa"/>
                </w:tcMar>
                <w:vAlign w:val="center"/>
              </w:tcPr>
            </w:tcPrChange>
          </w:tcPr>
          <w:p w14:paraId="59C278DF">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责令停产整顿，提出整顿的内容、时间等具体要求，处150万元以上200万元以下的罚款；对煤矿企业负责人处10万元以上15万元以下的罚款。</w:t>
            </w:r>
          </w:p>
        </w:tc>
      </w:tr>
      <w:tr w14:paraId="13F35B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3B0FBC5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del w:id="1439" w:author="LV" w:date="2026-07-14T16:19:58Z">
              <w:r>
                <w:rPr>
                  <w:rFonts w:hint="default" w:ascii="仿宋_GB2312" w:hAnsi="宋体" w:eastAsia="仿宋_GB2312" w:cs="仿宋_GB2312"/>
                  <w:kern w:val="0"/>
                  <w:sz w:val="18"/>
                  <w:szCs w:val="18"/>
                  <w:lang w:val="en-US" w:bidi="ar"/>
                </w:rPr>
                <w:delText>38</w:delText>
              </w:r>
            </w:del>
            <w:ins w:id="1440" w:author="LV" w:date="2026-07-14T16:19:58Z">
              <w:r>
                <w:rPr>
                  <w:rFonts w:hint="eastAsia" w:ascii="仿宋_GB2312" w:hAnsi="宋体" w:eastAsia="仿宋_GB2312" w:cs="仿宋_GB2312"/>
                  <w:kern w:val="0"/>
                  <w:sz w:val="18"/>
                  <w:szCs w:val="18"/>
                  <w:lang w:val="en-US" w:eastAsia="zh-CN" w:bidi="ar"/>
                </w:rPr>
                <w:t>4</w:t>
              </w:r>
            </w:ins>
            <w:ins w:id="1441" w:author="LV" w:date="2026-07-14T16:19:59Z">
              <w:r>
                <w:rPr>
                  <w:rFonts w:hint="eastAsia" w:ascii="仿宋_GB2312" w:hAnsi="宋体" w:eastAsia="仿宋_GB2312" w:cs="仿宋_GB2312"/>
                  <w:kern w:val="0"/>
                  <w:sz w:val="18"/>
                  <w:szCs w:val="18"/>
                  <w:lang w:val="en-US" w:eastAsia="zh-CN" w:bidi="ar"/>
                </w:rPr>
                <w:t>0</w:t>
              </w:r>
            </w:ins>
          </w:p>
        </w:tc>
        <w:tc>
          <w:tcPr>
            <w:tcW w:w="1005" w:type="dxa"/>
            <w:vMerge w:val="restart"/>
            <w:tcBorders>
              <w:tl2br w:val="nil"/>
              <w:tr2bl w:val="nil"/>
            </w:tcBorders>
            <w:shd w:val="clear" w:color="auto" w:fill="auto"/>
            <w:tcMar>
              <w:top w:w="15" w:type="dxa"/>
              <w:left w:w="15" w:type="dxa"/>
              <w:right w:w="15" w:type="dxa"/>
            </w:tcMar>
            <w:vAlign w:val="center"/>
          </w:tcPr>
          <w:p w14:paraId="5C6B0C5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煤（岩）与瓦斯（二氧化碳）突出矿井、高瓦斯矿井未按照规定建立瓦斯抽采系统，或者系统不能正常运行的</w:t>
            </w:r>
          </w:p>
        </w:tc>
        <w:tc>
          <w:tcPr>
            <w:tcW w:w="3667" w:type="dxa"/>
            <w:vMerge w:val="restart"/>
            <w:tcBorders>
              <w:tl2br w:val="nil"/>
              <w:tr2bl w:val="nil"/>
            </w:tcBorders>
            <w:shd w:val="clear" w:color="auto" w:fill="auto"/>
            <w:tcMar>
              <w:top w:w="15" w:type="dxa"/>
              <w:left w:w="15" w:type="dxa"/>
              <w:right w:w="15" w:type="dxa"/>
            </w:tcMar>
            <w:vAlign w:val="center"/>
          </w:tcPr>
          <w:p w14:paraId="2585FEE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《煤矿安全生产条例》第三十六条第四项  煤矿企业有下列情形之一的，属于重大事故隐患，应当立即停止受影响区域生产、建设，并及时消除事故隐患：（四）煤（岩）与瓦斯（二氧化碳）突出矿井、高瓦斯矿井未按照规定建立瓦斯抽采系统，或者系统不能正常运行的；</w:t>
            </w:r>
          </w:p>
          <w:p w14:paraId="7B65F20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《煤矿重大事故隐患判定标准》第七条 “高瓦斯矿井未建立瓦斯抽采系统和监控系统，或者系统不能正常运行”重大事故隐患，是指有下列情形之一的:</w:t>
            </w:r>
          </w:p>
          <w:p w14:paraId="3BCB0B0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val="en-US" w:eastAsia="zh-CN" w:bidi="ar"/>
              </w:rPr>
              <w:t>一</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生产矿井、建设矿井建井期间未按照</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煤矿安全规程</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规定建立瓦斯抽采系统</w:t>
            </w:r>
            <w:r>
              <w:rPr>
                <w:rFonts w:hint="eastAsia" w:ascii="仿宋_GB2312" w:hAnsi="宋体" w:eastAsia="仿宋_GB2312" w:cs="仿宋_GB2312"/>
                <w:kern w:val="0"/>
                <w:sz w:val="18"/>
                <w:szCs w:val="18"/>
                <w:lang w:eastAsia="zh-CN" w:bidi="ar"/>
              </w:rPr>
              <w:t>。</w:t>
            </w:r>
          </w:p>
          <w:p w14:paraId="38DD6D4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val="en-US" w:eastAsia="zh-CN" w:bidi="ar"/>
              </w:rPr>
              <w:t>二</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瓦斯抽采系统不能正常运行</w:t>
            </w:r>
            <w:r>
              <w:rPr>
                <w:rFonts w:hint="eastAsia" w:ascii="仿宋_GB2312" w:hAnsi="宋体" w:eastAsia="仿宋_GB2312" w:cs="仿宋_GB2312"/>
                <w:kern w:val="0"/>
                <w:sz w:val="18"/>
                <w:szCs w:val="18"/>
                <w:lang w:eastAsia="zh-CN" w:bidi="ar"/>
              </w:rPr>
              <w:t>。</w:t>
            </w:r>
          </w:p>
          <w:p w14:paraId="5710B70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val="en-US" w:eastAsia="zh-CN" w:bidi="ar"/>
              </w:rPr>
              <w:t>三</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地面抽采瓦斯泵无备用泵或者备用泵能力小于运行泵中最大一台单泵能力</w:t>
            </w:r>
            <w:r>
              <w:rPr>
                <w:rFonts w:hint="eastAsia" w:ascii="仿宋_GB2312" w:hAnsi="宋体" w:eastAsia="仿宋_GB2312" w:cs="仿宋_GB2312"/>
                <w:kern w:val="0"/>
                <w:sz w:val="18"/>
                <w:szCs w:val="18"/>
                <w:lang w:eastAsia="zh-CN" w:bidi="ar"/>
              </w:rPr>
              <w:t>。</w:t>
            </w:r>
          </w:p>
          <w:p w14:paraId="2D3DC08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val="en-US" w:eastAsia="zh-CN" w:bidi="ar"/>
              </w:rPr>
              <w:t>四</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抽采瓦斯运行泵的装机能力小于瓦斯抽采达标时应抽采瓦斯量对应工况流量２倍</w:t>
            </w:r>
            <w:r>
              <w:rPr>
                <w:rFonts w:hint="eastAsia" w:ascii="仿宋_GB2312" w:hAnsi="宋体" w:eastAsia="仿宋_GB2312" w:cs="仿宋_GB2312"/>
                <w:kern w:val="0"/>
                <w:sz w:val="18"/>
                <w:szCs w:val="18"/>
                <w:lang w:eastAsia="zh-CN" w:bidi="ar"/>
              </w:rPr>
              <w:t>。</w:t>
            </w:r>
          </w:p>
          <w:p w14:paraId="094AB09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eastAsia="zh-CN" w:bidi="ar"/>
              </w:rPr>
            </w:pP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val="en-US" w:eastAsia="zh-CN" w:bidi="ar"/>
              </w:rPr>
              <w:t>五</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干式抽采瓦斯泵吸气侧管路系统中未装设有防回火、防回流和防爆炸作用安全装置</w:t>
            </w:r>
            <w:r>
              <w:rPr>
                <w:rFonts w:hint="eastAsia" w:ascii="仿宋_GB2312" w:hAnsi="宋体" w:eastAsia="仿宋_GB2312" w:cs="仿宋_GB2312"/>
                <w:kern w:val="0"/>
                <w:sz w:val="18"/>
                <w:szCs w:val="18"/>
                <w:lang w:eastAsia="zh-CN" w:bidi="ar"/>
              </w:rPr>
              <w:t>。</w:t>
            </w:r>
          </w:p>
          <w:p w14:paraId="4E05EA3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tc>
        <w:tc>
          <w:tcPr>
            <w:tcW w:w="4082" w:type="dxa"/>
            <w:vMerge w:val="restart"/>
            <w:tcBorders>
              <w:tl2br w:val="nil"/>
              <w:tr2bl w:val="nil"/>
            </w:tcBorders>
            <w:shd w:val="clear" w:color="auto" w:fill="auto"/>
            <w:tcMar>
              <w:top w:w="15" w:type="dxa"/>
              <w:left w:w="15" w:type="dxa"/>
              <w:right w:w="15" w:type="dxa"/>
            </w:tcMar>
            <w:vAlign w:val="center"/>
          </w:tcPr>
          <w:p w14:paraId="2A42BCD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《煤矿安全生产条例》第六十四条  对存在重大事故隐患仍然进行生产的煤矿企业，责令停产整顿，明确整顿的内容、时间等具体要求，并处50万元以上200万元以下的罚款；对煤矿企业主要负责人处3万元以上15万元以下的罚款。</w:t>
            </w:r>
          </w:p>
        </w:tc>
        <w:tc>
          <w:tcPr>
            <w:tcW w:w="459" w:type="dxa"/>
            <w:tcBorders>
              <w:tl2br w:val="nil"/>
              <w:tr2bl w:val="nil"/>
            </w:tcBorders>
            <w:shd w:val="clear" w:color="auto" w:fill="auto"/>
            <w:noWrap/>
            <w:tcMar>
              <w:top w:w="15" w:type="dxa"/>
              <w:left w:w="15" w:type="dxa"/>
              <w:right w:w="15" w:type="dxa"/>
            </w:tcMar>
            <w:vAlign w:val="center"/>
          </w:tcPr>
          <w:p w14:paraId="3FD8171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1BD5ACC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00A5A4E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27E88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5"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543CEF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7C4E28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398E8B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392E72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16B805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0CD19FB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3FD0DDB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FD8A5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5"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6938EA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DD09AE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C2706C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CA376E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6FF823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3E27B9B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7356EEE">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EB5F1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2BD4AE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9A0B93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D61909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6C3671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54B8C0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0325527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eastAsia="zh-CN" w:bidi="ar"/>
              </w:rPr>
            </w:pPr>
            <w:r>
              <w:rPr>
                <w:rFonts w:hint="eastAsia" w:ascii="仿宋_GB2312" w:hAnsi="宋体" w:eastAsia="仿宋_GB2312" w:cs="仿宋_GB2312"/>
                <w:kern w:val="0"/>
                <w:sz w:val="18"/>
                <w:szCs w:val="18"/>
                <w:lang w:val="en-US" w:eastAsia="zh-CN" w:bidi="ar"/>
              </w:rPr>
              <w:t>①</w:t>
            </w:r>
            <w:r>
              <w:rPr>
                <w:rFonts w:hint="eastAsia" w:ascii="仿宋_GB2312" w:hAnsi="宋体" w:eastAsia="仿宋_GB2312" w:cs="仿宋_GB2312"/>
                <w:kern w:val="0"/>
                <w:sz w:val="18"/>
                <w:szCs w:val="18"/>
                <w:lang w:bidi="ar"/>
              </w:rPr>
              <w:t>地面抽采瓦斯泵无备用泵或者备用泵能力小于运行泵中最大一台单泵能力</w:t>
            </w:r>
            <w:r>
              <w:rPr>
                <w:rFonts w:hint="eastAsia" w:ascii="仿宋_GB2312" w:hAnsi="宋体" w:eastAsia="仿宋_GB2312" w:cs="仿宋_GB2312"/>
                <w:kern w:val="0"/>
                <w:sz w:val="18"/>
                <w:szCs w:val="18"/>
                <w:lang w:eastAsia="zh-CN" w:bidi="ar"/>
              </w:rPr>
              <w:t>。</w:t>
            </w:r>
          </w:p>
          <w:p w14:paraId="43895E9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val="en-US" w:eastAsia="zh-CN" w:bidi="ar"/>
              </w:rPr>
              <w:t>②</w:t>
            </w:r>
            <w:r>
              <w:rPr>
                <w:rFonts w:hint="eastAsia" w:ascii="仿宋_GB2312" w:hAnsi="宋体" w:eastAsia="仿宋_GB2312" w:cs="仿宋_GB2312"/>
                <w:kern w:val="0"/>
                <w:sz w:val="18"/>
                <w:szCs w:val="18"/>
                <w:lang w:bidi="ar"/>
              </w:rPr>
              <w:t>抽采瓦斯运行泵的装机能力小于瓦斯抽采达标时应抽采瓦斯量对应工况流量２倍</w:t>
            </w:r>
            <w:r>
              <w:rPr>
                <w:rFonts w:hint="eastAsia" w:ascii="仿宋_GB2312" w:hAnsi="宋体" w:eastAsia="仿宋_GB2312" w:cs="仿宋_GB2312"/>
                <w:kern w:val="0"/>
                <w:sz w:val="18"/>
                <w:szCs w:val="18"/>
                <w:lang w:eastAsia="zh-CN" w:bidi="ar"/>
              </w:rPr>
              <w:t>。</w:t>
            </w:r>
          </w:p>
        </w:tc>
        <w:tc>
          <w:tcPr>
            <w:tcW w:w="2655" w:type="dxa"/>
            <w:tcBorders>
              <w:tl2br w:val="nil"/>
              <w:tr2bl w:val="nil"/>
            </w:tcBorders>
            <w:shd w:val="clear" w:color="auto" w:fill="auto"/>
            <w:tcMar>
              <w:top w:w="15" w:type="dxa"/>
              <w:left w:w="15" w:type="dxa"/>
              <w:right w:w="15" w:type="dxa"/>
            </w:tcMar>
            <w:vAlign w:val="center"/>
          </w:tcPr>
          <w:p w14:paraId="7088842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责令停产整顿，提出整顿的内容、时间等具体要求，处50万元以上100万元以下的罚款；对煤矿企业负责人处3万元以上5万元以下的罚款。</w:t>
            </w:r>
          </w:p>
        </w:tc>
      </w:tr>
      <w:tr w14:paraId="3DB005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0FF567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B1DB34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DF53EB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4FB902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1BABB3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5F6A199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干式抽采瓦斯泵吸气侧管路系统中未装设有防回火、防回流和防爆炸作用安全装置</w:t>
            </w:r>
            <w:r>
              <w:rPr>
                <w:rFonts w:hint="eastAsia" w:ascii="仿宋_GB2312" w:hAnsi="宋体" w:eastAsia="仿宋_GB2312" w:cs="仿宋_GB2312"/>
                <w:kern w:val="0"/>
                <w:sz w:val="18"/>
                <w:szCs w:val="18"/>
                <w:lang w:eastAsia="zh-CN" w:bidi="ar"/>
              </w:rPr>
              <w:t>。</w:t>
            </w:r>
          </w:p>
        </w:tc>
        <w:tc>
          <w:tcPr>
            <w:tcW w:w="2655" w:type="dxa"/>
            <w:tcBorders>
              <w:tl2br w:val="nil"/>
              <w:tr2bl w:val="nil"/>
            </w:tcBorders>
            <w:shd w:val="clear" w:color="auto" w:fill="auto"/>
            <w:tcMar>
              <w:top w:w="15" w:type="dxa"/>
              <w:left w:w="15" w:type="dxa"/>
              <w:right w:w="15" w:type="dxa"/>
            </w:tcMar>
            <w:vAlign w:val="center"/>
          </w:tcPr>
          <w:p w14:paraId="60EAB5C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责令停产整顿，提出整顿的内容、时间等具体要求，处100万元以上150万元以下的罚款；对煤矿企业负责人处5万元以上10万元以下的罚款。</w:t>
            </w:r>
          </w:p>
        </w:tc>
      </w:tr>
      <w:tr w14:paraId="0E2834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7361BD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A2A8B1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2A28A5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8193DF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D1473A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7AFD2BE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eastAsia="zh-CN" w:bidi="ar"/>
              </w:rPr>
            </w:pPr>
            <w:r>
              <w:rPr>
                <w:rFonts w:hint="eastAsia" w:ascii="仿宋_GB2312" w:hAnsi="宋体" w:eastAsia="仿宋_GB2312" w:cs="仿宋_GB2312"/>
                <w:kern w:val="0"/>
                <w:sz w:val="18"/>
                <w:szCs w:val="18"/>
                <w:lang w:val="en-US" w:eastAsia="zh-CN" w:bidi="ar"/>
              </w:rPr>
              <w:t>①</w:t>
            </w:r>
            <w:r>
              <w:rPr>
                <w:rFonts w:hint="eastAsia" w:ascii="仿宋_GB2312" w:hAnsi="宋体" w:eastAsia="仿宋_GB2312" w:cs="仿宋_GB2312"/>
                <w:kern w:val="0"/>
                <w:sz w:val="18"/>
                <w:szCs w:val="18"/>
                <w:lang w:bidi="ar"/>
              </w:rPr>
              <w:t>生产矿井、建设矿井建井期间未按照</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煤矿安全规程</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规定建立瓦斯抽采系统</w:t>
            </w:r>
            <w:r>
              <w:rPr>
                <w:rFonts w:hint="eastAsia" w:ascii="仿宋_GB2312" w:hAnsi="宋体" w:eastAsia="仿宋_GB2312" w:cs="仿宋_GB2312"/>
                <w:kern w:val="0"/>
                <w:sz w:val="18"/>
                <w:szCs w:val="18"/>
                <w:lang w:eastAsia="zh-CN" w:bidi="ar"/>
              </w:rPr>
              <w:t>。</w:t>
            </w:r>
          </w:p>
          <w:p w14:paraId="751C5ED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val="en-US" w:eastAsia="zh-CN" w:bidi="ar"/>
              </w:rPr>
              <w:t>②</w:t>
            </w:r>
            <w:r>
              <w:rPr>
                <w:rFonts w:hint="eastAsia" w:ascii="仿宋_GB2312" w:hAnsi="宋体" w:eastAsia="仿宋_GB2312" w:cs="仿宋_GB2312"/>
                <w:kern w:val="0"/>
                <w:sz w:val="18"/>
                <w:szCs w:val="18"/>
                <w:lang w:bidi="ar"/>
              </w:rPr>
              <w:t>瓦斯抽采系统不能正常运行</w:t>
            </w:r>
            <w:r>
              <w:rPr>
                <w:rFonts w:hint="eastAsia" w:ascii="仿宋_GB2312" w:hAnsi="宋体" w:eastAsia="仿宋_GB2312" w:cs="仿宋_GB2312"/>
                <w:kern w:val="0"/>
                <w:sz w:val="18"/>
                <w:szCs w:val="18"/>
                <w:lang w:eastAsia="zh-CN" w:bidi="ar"/>
              </w:rPr>
              <w:t>。</w:t>
            </w:r>
          </w:p>
        </w:tc>
        <w:tc>
          <w:tcPr>
            <w:tcW w:w="2655" w:type="dxa"/>
            <w:tcBorders>
              <w:tl2br w:val="nil"/>
              <w:tr2bl w:val="nil"/>
            </w:tcBorders>
            <w:shd w:val="clear" w:color="auto" w:fill="auto"/>
            <w:tcMar>
              <w:top w:w="15" w:type="dxa"/>
              <w:left w:w="15" w:type="dxa"/>
              <w:right w:w="15" w:type="dxa"/>
            </w:tcMar>
            <w:vAlign w:val="center"/>
          </w:tcPr>
          <w:p w14:paraId="7548F9C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责令停产整顿，提出整顿的内容、时间等具体要求，处150万元以上200万元以下的罚款；对煤矿企业负责人处10万元以上15万元以下的罚款。</w:t>
            </w:r>
          </w:p>
        </w:tc>
      </w:tr>
      <w:tr w14:paraId="3B69C5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039DCCAC">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del w:id="1442" w:author="LV" w:date="2026-07-14T16:21:02Z">
              <w:r>
                <w:rPr>
                  <w:rFonts w:hint="default" w:ascii="仿宋_GB2312" w:hAnsi="宋体" w:eastAsia="仿宋_GB2312" w:cs="仿宋_GB2312"/>
                  <w:kern w:val="0"/>
                  <w:sz w:val="18"/>
                  <w:szCs w:val="18"/>
                  <w:lang w:val="en-US" w:bidi="ar"/>
                </w:rPr>
                <w:delText>39</w:delText>
              </w:r>
            </w:del>
            <w:ins w:id="1443" w:author="LV" w:date="2026-07-14T16:21:02Z">
              <w:r>
                <w:rPr>
                  <w:rFonts w:hint="eastAsia" w:ascii="仿宋_GB2312" w:hAnsi="宋体" w:eastAsia="仿宋_GB2312" w:cs="仿宋_GB2312"/>
                  <w:kern w:val="0"/>
                  <w:sz w:val="18"/>
                  <w:szCs w:val="18"/>
                  <w:lang w:val="en-US" w:eastAsia="zh-CN" w:bidi="ar"/>
                </w:rPr>
                <w:t>4</w:t>
              </w:r>
            </w:ins>
            <w:ins w:id="1444" w:author="LV" w:date="2026-07-14T16:21:03Z">
              <w:r>
                <w:rPr>
                  <w:rFonts w:hint="eastAsia" w:ascii="仿宋_GB2312" w:hAnsi="宋体" w:eastAsia="仿宋_GB2312" w:cs="仿宋_GB2312"/>
                  <w:kern w:val="0"/>
                  <w:sz w:val="18"/>
                  <w:szCs w:val="18"/>
                  <w:lang w:val="en-US" w:eastAsia="zh-CN" w:bidi="ar"/>
                </w:rPr>
                <w:t>1</w:t>
              </w:r>
            </w:ins>
          </w:p>
        </w:tc>
        <w:tc>
          <w:tcPr>
            <w:tcW w:w="1005" w:type="dxa"/>
            <w:vMerge w:val="restart"/>
            <w:tcBorders>
              <w:tl2br w:val="nil"/>
              <w:tr2bl w:val="nil"/>
            </w:tcBorders>
            <w:shd w:val="clear" w:color="auto" w:fill="auto"/>
            <w:tcMar>
              <w:top w:w="15" w:type="dxa"/>
              <w:left w:w="15" w:type="dxa"/>
              <w:right w:w="15" w:type="dxa"/>
            </w:tcMar>
            <w:vAlign w:val="center"/>
          </w:tcPr>
          <w:p w14:paraId="6547519E">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煤矿通风系统不完善、不可靠的</w:t>
            </w:r>
          </w:p>
        </w:tc>
        <w:tc>
          <w:tcPr>
            <w:tcW w:w="3667" w:type="dxa"/>
            <w:vMerge w:val="restart"/>
            <w:tcBorders>
              <w:tl2br w:val="nil"/>
              <w:tr2bl w:val="nil"/>
            </w:tcBorders>
            <w:shd w:val="clear" w:color="auto" w:fill="auto"/>
            <w:tcMar>
              <w:top w:w="15" w:type="dxa"/>
              <w:left w:w="15" w:type="dxa"/>
              <w:right w:w="15" w:type="dxa"/>
            </w:tcMar>
            <w:vAlign w:val="center"/>
          </w:tcPr>
          <w:p w14:paraId="74640BE5">
            <w:pPr>
              <w:keepNext w:val="0"/>
              <w:keepLines w:val="0"/>
              <w:pageBreakBefore w:val="0"/>
              <w:widowControl w:val="0"/>
              <w:kinsoku/>
              <w:wordWrap/>
              <w:overflowPunct w:val="0"/>
              <w:topLinePunct w:val="0"/>
              <w:autoSpaceDE/>
              <w:autoSpaceDN/>
              <w:bidi w:val="0"/>
              <w:adjustRightInd/>
              <w:snapToGrid/>
              <w:spacing w:line="256" w:lineRule="exact"/>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bidi="ar"/>
              </w:rPr>
              <w:t>《煤矿安全生产条例》第三十六条第五项  煤矿企业有下列情形之一的，属于重大事故隐患，应当立即停止受影响区域生产、建设，并及时消除事故隐患：（五）通风系统不完善、不可靠的；</w:t>
            </w:r>
          </w:p>
          <w:p w14:paraId="5B444EE5">
            <w:pPr>
              <w:keepNext w:val="0"/>
              <w:keepLines w:val="0"/>
              <w:pageBreakBefore w:val="0"/>
              <w:widowControl w:val="0"/>
              <w:kinsoku/>
              <w:wordWrap/>
              <w:overflowPunct w:val="0"/>
              <w:topLinePunct w:val="0"/>
              <w:autoSpaceDE/>
              <w:autoSpaceDN/>
              <w:bidi w:val="0"/>
              <w:adjustRightInd/>
              <w:snapToGrid/>
              <w:spacing w:line="256" w:lineRule="exact"/>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bidi="ar"/>
              </w:rPr>
              <w:t>《煤矿重大事故隐患判定标准》第八条</w:t>
            </w:r>
            <w:r>
              <w:rPr>
                <w:rFonts w:ascii="仿宋_GB2312" w:hAnsi="宋体" w:eastAsia="仿宋_GB2312" w:cs="仿宋_GB2312"/>
                <w:spacing w:val="-5"/>
                <w:kern w:val="0"/>
                <w:sz w:val="18"/>
                <w:szCs w:val="18"/>
                <w:lang w:bidi="ar"/>
              </w:rPr>
              <w:t xml:space="preserve"> </w:t>
            </w:r>
            <w:r>
              <w:rPr>
                <w:rFonts w:hint="eastAsia" w:ascii="仿宋_GB2312" w:hAnsi="宋体" w:eastAsia="仿宋_GB2312" w:cs="仿宋_GB2312"/>
                <w:spacing w:val="-5"/>
                <w:kern w:val="0"/>
                <w:sz w:val="18"/>
                <w:szCs w:val="18"/>
                <w:lang w:bidi="ar"/>
              </w:rPr>
              <w:t>“通风系统不完善、不可靠”重大事故隐患，是指有下</w:t>
            </w:r>
          </w:p>
          <w:p w14:paraId="524C0916">
            <w:pPr>
              <w:keepNext w:val="0"/>
              <w:keepLines w:val="0"/>
              <w:pageBreakBefore w:val="0"/>
              <w:widowControl w:val="0"/>
              <w:kinsoku/>
              <w:wordWrap/>
              <w:overflowPunct w:val="0"/>
              <w:topLinePunct w:val="0"/>
              <w:autoSpaceDE/>
              <w:autoSpaceDN/>
              <w:bidi w:val="0"/>
              <w:adjustRightInd/>
              <w:snapToGrid/>
              <w:spacing w:line="256" w:lineRule="exact"/>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bidi="ar"/>
              </w:rPr>
              <w:t>列情形之一的:</w:t>
            </w:r>
          </w:p>
          <w:p w14:paraId="05F211B8">
            <w:pPr>
              <w:keepNext w:val="0"/>
              <w:keepLines w:val="0"/>
              <w:pageBreakBefore w:val="0"/>
              <w:widowControl w:val="0"/>
              <w:kinsoku/>
              <w:wordWrap/>
              <w:overflowPunct w:val="0"/>
              <w:topLinePunct w:val="0"/>
              <w:autoSpaceDE/>
              <w:autoSpaceDN/>
              <w:bidi w:val="0"/>
              <w:adjustRightInd/>
              <w:snapToGrid/>
              <w:spacing w:line="256" w:lineRule="exact"/>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eastAsia="zh-CN" w:bidi="ar"/>
              </w:rPr>
              <w:t>（</w:t>
            </w:r>
            <w:r>
              <w:rPr>
                <w:rFonts w:hint="eastAsia" w:ascii="仿宋_GB2312" w:hAnsi="宋体" w:eastAsia="仿宋_GB2312" w:cs="仿宋_GB2312"/>
                <w:spacing w:val="-5"/>
                <w:kern w:val="0"/>
                <w:sz w:val="18"/>
                <w:szCs w:val="18"/>
                <w:lang w:val="en-US" w:eastAsia="zh-CN" w:bidi="ar"/>
              </w:rPr>
              <w:t>一</w:t>
            </w:r>
            <w:r>
              <w:rPr>
                <w:rFonts w:hint="eastAsia" w:ascii="仿宋_GB2312" w:hAnsi="宋体" w:eastAsia="仿宋_GB2312" w:cs="仿宋_GB2312"/>
                <w:spacing w:val="-5"/>
                <w:kern w:val="0"/>
                <w:sz w:val="18"/>
                <w:szCs w:val="18"/>
                <w:lang w:eastAsia="zh-CN" w:bidi="ar"/>
              </w:rPr>
              <w:t>）</w:t>
            </w:r>
            <w:r>
              <w:rPr>
                <w:rFonts w:hint="eastAsia" w:ascii="仿宋_GB2312" w:hAnsi="宋体" w:eastAsia="仿宋_GB2312" w:cs="仿宋_GB2312"/>
                <w:spacing w:val="-5"/>
                <w:kern w:val="0"/>
                <w:sz w:val="18"/>
                <w:szCs w:val="18"/>
                <w:lang w:bidi="ar"/>
              </w:rPr>
              <w:t>矿井总风量不足,或者采掘工作面实际供风量小于需风量</w:t>
            </w:r>
            <w:r>
              <w:rPr>
                <w:rFonts w:hint="eastAsia" w:ascii="仿宋_GB2312" w:hAnsi="宋体" w:eastAsia="仿宋_GB2312" w:cs="仿宋_GB2312"/>
                <w:spacing w:val="-5"/>
                <w:kern w:val="0"/>
                <w:sz w:val="18"/>
                <w:szCs w:val="18"/>
                <w:lang w:eastAsia="zh-CN" w:bidi="ar"/>
              </w:rPr>
              <w:t>7</w:t>
            </w:r>
            <w:r>
              <w:rPr>
                <w:rFonts w:hint="eastAsia" w:ascii="仿宋_GB2312" w:hAnsi="宋体" w:eastAsia="仿宋_GB2312" w:cs="仿宋_GB2312"/>
                <w:spacing w:val="-5"/>
                <w:kern w:val="0"/>
                <w:sz w:val="18"/>
                <w:szCs w:val="18"/>
                <w:lang w:val="en-US" w:eastAsia="zh-CN" w:bidi="ar"/>
              </w:rPr>
              <w:t>5</w:t>
            </w:r>
            <w:r>
              <w:rPr>
                <w:rFonts w:hint="eastAsia" w:ascii="仿宋_GB2312" w:hAnsi="宋体" w:eastAsia="仿宋_GB2312" w:cs="仿宋_GB2312"/>
                <w:spacing w:val="-5"/>
                <w:kern w:val="0"/>
                <w:sz w:val="18"/>
                <w:szCs w:val="18"/>
                <w:lang w:bidi="ar"/>
              </w:rPr>
              <w:t>％</w:t>
            </w:r>
            <w:r>
              <w:rPr>
                <w:rFonts w:hint="eastAsia" w:ascii="仿宋_GB2312" w:hAnsi="宋体" w:eastAsia="仿宋_GB2312" w:cs="仿宋_GB2312"/>
                <w:spacing w:val="-5"/>
                <w:kern w:val="0"/>
                <w:sz w:val="18"/>
                <w:szCs w:val="18"/>
                <w:lang w:eastAsia="zh-CN" w:bidi="ar"/>
              </w:rPr>
              <w:t>。</w:t>
            </w:r>
          </w:p>
          <w:p w14:paraId="15953D34">
            <w:pPr>
              <w:keepNext w:val="0"/>
              <w:keepLines w:val="0"/>
              <w:pageBreakBefore w:val="0"/>
              <w:widowControl w:val="0"/>
              <w:kinsoku/>
              <w:wordWrap/>
              <w:overflowPunct w:val="0"/>
              <w:topLinePunct w:val="0"/>
              <w:autoSpaceDE/>
              <w:autoSpaceDN/>
              <w:bidi w:val="0"/>
              <w:adjustRightInd/>
              <w:snapToGrid/>
              <w:spacing w:line="256" w:lineRule="exact"/>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eastAsia="zh-CN" w:bidi="ar"/>
              </w:rPr>
              <w:t>（</w:t>
            </w:r>
            <w:r>
              <w:rPr>
                <w:rFonts w:hint="eastAsia" w:ascii="仿宋_GB2312" w:hAnsi="宋体" w:eastAsia="仿宋_GB2312" w:cs="仿宋_GB2312"/>
                <w:spacing w:val="-5"/>
                <w:kern w:val="0"/>
                <w:sz w:val="18"/>
                <w:szCs w:val="18"/>
                <w:lang w:val="en-US" w:eastAsia="zh-CN" w:bidi="ar"/>
              </w:rPr>
              <w:t>二</w:t>
            </w:r>
            <w:r>
              <w:rPr>
                <w:rFonts w:hint="eastAsia" w:ascii="仿宋_GB2312" w:hAnsi="宋体" w:eastAsia="仿宋_GB2312" w:cs="仿宋_GB2312"/>
                <w:spacing w:val="-5"/>
                <w:kern w:val="0"/>
                <w:sz w:val="18"/>
                <w:szCs w:val="18"/>
                <w:lang w:eastAsia="zh-CN" w:bidi="ar"/>
              </w:rPr>
              <w:t>）</w:t>
            </w:r>
            <w:r>
              <w:rPr>
                <w:rFonts w:hint="eastAsia" w:ascii="仿宋_GB2312" w:hAnsi="宋体" w:eastAsia="仿宋_GB2312" w:cs="仿宋_GB2312"/>
                <w:spacing w:val="-5"/>
                <w:kern w:val="0"/>
                <w:sz w:val="18"/>
                <w:szCs w:val="18"/>
                <w:lang w:bidi="ar"/>
              </w:rPr>
              <w:t>没有备用主要通风机,或者两台主要通风机不具有同等能力(主要通风机升级改造、更换期间,制定并落实安全技术措施的除外)</w:t>
            </w:r>
            <w:r>
              <w:rPr>
                <w:rFonts w:hint="eastAsia" w:ascii="仿宋_GB2312" w:hAnsi="宋体" w:eastAsia="仿宋_GB2312" w:cs="仿宋_GB2312"/>
                <w:spacing w:val="-5"/>
                <w:kern w:val="0"/>
                <w:sz w:val="18"/>
                <w:szCs w:val="18"/>
                <w:lang w:eastAsia="zh-CN" w:bidi="ar"/>
              </w:rPr>
              <w:t>。</w:t>
            </w:r>
          </w:p>
          <w:p w14:paraId="394B34CB">
            <w:pPr>
              <w:keepNext w:val="0"/>
              <w:keepLines w:val="0"/>
              <w:pageBreakBefore w:val="0"/>
              <w:widowControl w:val="0"/>
              <w:kinsoku/>
              <w:wordWrap/>
              <w:overflowPunct w:val="0"/>
              <w:topLinePunct w:val="0"/>
              <w:autoSpaceDE/>
              <w:autoSpaceDN/>
              <w:bidi w:val="0"/>
              <w:adjustRightInd/>
              <w:snapToGrid/>
              <w:spacing w:line="256" w:lineRule="exact"/>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eastAsia="zh-CN" w:bidi="ar"/>
              </w:rPr>
              <w:t>（</w:t>
            </w:r>
            <w:r>
              <w:rPr>
                <w:rFonts w:hint="eastAsia" w:ascii="仿宋_GB2312" w:hAnsi="宋体" w:eastAsia="仿宋_GB2312" w:cs="仿宋_GB2312"/>
                <w:spacing w:val="-5"/>
                <w:kern w:val="0"/>
                <w:sz w:val="18"/>
                <w:szCs w:val="18"/>
                <w:lang w:val="en-US" w:eastAsia="zh-CN" w:bidi="ar"/>
              </w:rPr>
              <w:t>三</w:t>
            </w:r>
            <w:r>
              <w:rPr>
                <w:rFonts w:hint="eastAsia" w:ascii="仿宋_GB2312" w:hAnsi="宋体" w:eastAsia="仿宋_GB2312" w:cs="仿宋_GB2312"/>
                <w:spacing w:val="-5"/>
                <w:kern w:val="0"/>
                <w:sz w:val="18"/>
                <w:szCs w:val="18"/>
                <w:lang w:eastAsia="zh-CN" w:bidi="ar"/>
              </w:rPr>
              <w:t>）</w:t>
            </w:r>
            <w:r>
              <w:rPr>
                <w:rFonts w:hint="eastAsia" w:ascii="仿宋_GB2312" w:hAnsi="宋体" w:eastAsia="仿宋_GB2312" w:cs="仿宋_GB2312"/>
                <w:spacing w:val="-5"/>
                <w:kern w:val="0"/>
                <w:sz w:val="18"/>
                <w:szCs w:val="18"/>
                <w:lang w:bidi="ar"/>
              </w:rPr>
              <w:t>违反</w:t>
            </w:r>
            <w:r>
              <w:rPr>
                <w:rFonts w:hint="eastAsia" w:ascii="仿宋_GB2312" w:hAnsi="宋体" w:eastAsia="仿宋_GB2312" w:cs="仿宋_GB2312"/>
                <w:spacing w:val="-5"/>
                <w:kern w:val="0"/>
                <w:sz w:val="18"/>
                <w:szCs w:val="18"/>
                <w:lang w:eastAsia="zh-CN" w:bidi="ar"/>
              </w:rPr>
              <w:t>《</w:t>
            </w:r>
            <w:r>
              <w:rPr>
                <w:rFonts w:hint="eastAsia" w:ascii="仿宋_GB2312" w:hAnsi="宋体" w:eastAsia="仿宋_GB2312" w:cs="仿宋_GB2312"/>
                <w:spacing w:val="-5"/>
                <w:kern w:val="0"/>
                <w:sz w:val="18"/>
                <w:szCs w:val="18"/>
                <w:lang w:bidi="ar"/>
              </w:rPr>
              <w:t>煤矿安全规程</w:t>
            </w:r>
            <w:r>
              <w:rPr>
                <w:rFonts w:hint="eastAsia" w:ascii="仿宋_GB2312" w:hAnsi="宋体" w:eastAsia="仿宋_GB2312" w:cs="仿宋_GB2312"/>
                <w:spacing w:val="-5"/>
                <w:kern w:val="0"/>
                <w:sz w:val="18"/>
                <w:szCs w:val="18"/>
                <w:lang w:eastAsia="zh-CN" w:bidi="ar"/>
              </w:rPr>
              <w:t>》</w:t>
            </w:r>
            <w:r>
              <w:rPr>
                <w:rFonts w:hint="eastAsia" w:ascii="仿宋_GB2312" w:hAnsi="宋体" w:eastAsia="仿宋_GB2312" w:cs="仿宋_GB2312"/>
                <w:spacing w:val="-5"/>
                <w:kern w:val="0"/>
                <w:sz w:val="18"/>
                <w:szCs w:val="18"/>
                <w:lang w:bidi="ar"/>
              </w:rPr>
              <w:t>规定采用串联通风</w:t>
            </w:r>
            <w:r>
              <w:rPr>
                <w:rFonts w:hint="eastAsia" w:ascii="仿宋_GB2312" w:hAnsi="宋体" w:eastAsia="仿宋_GB2312" w:cs="仿宋_GB2312"/>
                <w:spacing w:val="-5"/>
                <w:kern w:val="0"/>
                <w:sz w:val="18"/>
                <w:szCs w:val="18"/>
                <w:lang w:eastAsia="zh-CN" w:bidi="ar"/>
              </w:rPr>
              <w:t>。</w:t>
            </w:r>
          </w:p>
          <w:p w14:paraId="3F407AD2">
            <w:pPr>
              <w:keepNext w:val="0"/>
              <w:keepLines w:val="0"/>
              <w:pageBreakBefore w:val="0"/>
              <w:widowControl w:val="0"/>
              <w:kinsoku/>
              <w:wordWrap/>
              <w:overflowPunct w:val="0"/>
              <w:topLinePunct w:val="0"/>
              <w:autoSpaceDE/>
              <w:autoSpaceDN/>
              <w:bidi w:val="0"/>
              <w:adjustRightInd/>
              <w:snapToGrid/>
              <w:spacing w:line="256" w:lineRule="exact"/>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eastAsia="zh-CN" w:bidi="ar"/>
              </w:rPr>
              <w:t>（</w:t>
            </w:r>
            <w:r>
              <w:rPr>
                <w:rFonts w:hint="eastAsia" w:ascii="仿宋_GB2312" w:hAnsi="宋体" w:eastAsia="仿宋_GB2312" w:cs="仿宋_GB2312"/>
                <w:spacing w:val="-5"/>
                <w:kern w:val="0"/>
                <w:sz w:val="18"/>
                <w:szCs w:val="18"/>
                <w:lang w:val="en-US" w:eastAsia="zh-CN" w:bidi="ar"/>
              </w:rPr>
              <w:t>四</w:t>
            </w:r>
            <w:r>
              <w:rPr>
                <w:rFonts w:hint="eastAsia" w:ascii="仿宋_GB2312" w:hAnsi="宋体" w:eastAsia="仿宋_GB2312" w:cs="仿宋_GB2312"/>
                <w:spacing w:val="-5"/>
                <w:kern w:val="0"/>
                <w:sz w:val="18"/>
                <w:szCs w:val="18"/>
                <w:lang w:eastAsia="zh-CN" w:bidi="ar"/>
              </w:rPr>
              <w:t>）</w:t>
            </w:r>
            <w:r>
              <w:rPr>
                <w:rFonts w:hint="eastAsia" w:ascii="仿宋_GB2312" w:hAnsi="宋体" w:eastAsia="仿宋_GB2312" w:cs="仿宋_GB2312"/>
                <w:spacing w:val="-5"/>
                <w:kern w:val="0"/>
                <w:sz w:val="18"/>
                <w:szCs w:val="18"/>
                <w:lang w:bidi="ar"/>
              </w:rPr>
              <w:t>未按照设计形成矿井或者采(盘)区通风系统</w:t>
            </w:r>
            <w:r>
              <w:rPr>
                <w:rFonts w:hint="eastAsia" w:ascii="仿宋_GB2312" w:hAnsi="宋体" w:eastAsia="仿宋_GB2312" w:cs="仿宋_GB2312"/>
                <w:spacing w:val="-5"/>
                <w:kern w:val="0"/>
                <w:sz w:val="18"/>
                <w:szCs w:val="18"/>
                <w:lang w:eastAsia="zh-CN" w:bidi="ar"/>
              </w:rPr>
              <w:t>。</w:t>
            </w:r>
          </w:p>
          <w:p w14:paraId="69101403">
            <w:pPr>
              <w:keepNext w:val="0"/>
              <w:keepLines w:val="0"/>
              <w:pageBreakBefore w:val="0"/>
              <w:widowControl w:val="0"/>
              <w:kinsoku/>
              <w:wordWrap/>
              <w:overflowPunct w:val="0"/>
              <w:topLinePunct w:val="0"/>
              <w:autoSpaceDE/>
              <w:autoSpaceDN/>
              <w:bidi w:val="0"/>
              <w:adjustRightInd/>
              <w:snapToGrid/>
              <w:spacing w:line="256" w:lineRule="exact"/>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eastAsia="zh-CN" w:bidi="ar"/>
              </w:rPr>
              <w:t>（</w:t>
            </w:r>
            <w:r>
              <w:rPr>
                <w:rFonts w:hint="eastAsia" w:ascii="仿宋_GB2312" w:hAnsi="宋体" w:eastAsia="仿宋_GB2312" w:cs="仿宋_GB2312"/>
                <w:spacing w:val="-5"/>
                <w:kern w:val="0"/>
                <w:sz w:val="18"/>
                <w:szCs w:val="18"/>
                <w:lang w:val="en-US" w:eastAsia="zh-CN" w:bidi="ar"/>
              </w:rPr>
              <w:t>五</w:t>
            </w:r>
            <w:r>
              <w:rPr>
                <w:rFonts w:hint="eastAsia" w:ascii="仿宋_GB2312" w:hAnsi="宋体" w:eastAsia="仿宋_GB2312" w:cs="仿宋_GB2312"/>
                <w:spacing w:val="-5"/>
                <w:kern w:val="0"/>
                <w:sz w:val="18"/>
                <w:szCs w:val="18"/>
                <w:lang w:eastAsia="zh-CN" w:bidi="ar"/>
              </w:rPr>
              <w:t>）</w:t>
            </w:r>
            <w:r>
              <w:rPr>
                <w:rFonts w:hint="eastAsia" w:ascii="仿宋_GB2312" w:hAnsi="宋体" w:eastAsia="仿宋_GB2312" w:cs="仿宋_GB2312"/>
                <w:spacing w:val="-5"/>
                <w:kern w:val="0"/>
                <w:sz w:val="18"/>
                <w:szCs w:val="18"/>
                <w:lang w:bidi="ar"/>
              </w:rPr>
              <w:t>生产水平或者生产采(盘)区未实现分区通风</w:t>
            </w:r>
            <w:r>
              <w:rPr>
                <w:rFonts w:hint="eastAsia" w:ascii="仿宋_GB2312" w:hAnsi="宋体" w:eastAsia="仿宋_GB2312" w:cs="仿宋_GB2312"/>
                <w:spacing w:val="-5"/>
                <w:kern w:val="0"/>
                <w:sz w:val="18"/>
                <w:szCs w:val="18"/>
                <w:lang w:eastAsia="zh-CN" w:bidi="ar"/>
              </w:rPr>
              <w:t>。</w:t>
            </w:r>
          </w:p>
          <w:p w14:paraId="40A046E8">
            <w:pPr>
              <w:keepNext w:val="0"/>
              <w:keepLines w:val="0"/>
              <w:pageBreakBefore w:val="0"/>
              <w:widowControl w:val="0"/>
              <w:kinsoku/>
              <w:wordWrap/>
              <w:overflowPunct w:val="0"/>
              <w:topLinePunct w:val="0"/>
              <w:autoSpaceDE/>
              <w:autoSpaceDN/>
              <w:bidi w:val="0"/>
              <w:adjustRightInd/>
              <w:snapToGrid/>
              <w:spacing w:line="256" w:lineRule="exact"/>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eastAsia="zh-CN" w:bidi="ar"/>
              </w:rPr>
              <w:t>（</w:t>
            </w:r>
            <w:r>
              <w:rPr>
                <w:rFonts w:hint="eastAsia" w:ascii="仿宋_GB2312" w:hAnsi="宋体" w:eastAsia="仿宋_GB2312" w:cs="仿宋_GB2312"/>
                <w:spacing w:val="-5"/>
                <w:kern w:val="0"/>
                <w:sz w:val="18"/>
                <w:szCs w:val="18"/>
                <w:lang w:val="en-US" w:eastAsia="zh-CN" w:bidi="ar"/>
              </w:rPr>
              <w:t>六</w:t>
            </w:r>
            <w:r>
              <w:rPr>
                <w:rFonts w:hint="eastAsia" w:ascii="仿宋_GB2312" w:hAnsi="宋体" w:eastAsia="仿宋_GB2312" w:cs="仿宋_GB2312"/>
                <w:spacing w:val="-5"/>
                <w:kern w:val="0"/>
                <w:sz w:val="18"/>
                <w:szCs w:val="18"/>
                <w:lang w:eastAsia="zh-CN" w:bidi="ar"/>
              </w:rPr>
              <w:t>）</w:t>
            </w:r>
            <w:r>
              <w:rPr>
                <w:rFonts w:hint="eastAsia" w:ascii="仿宋_GB2312" w:hAnsi="宋体" w:eastAsia="仿宋_GB2312" w:cs="仿宋_GB2312"/>
                <w:spacing w:val="-5"/>
                <w:kern w:val="0"/>
                <w:sz w:val="18"/>
                <w:szCs w:val="18"/>
                <w:lang w:bidi="ar"/>
              </w:rPr>
              <w:t>高瓦斯、煤(岩)与瓦斯(二氧化碳)突出矿井的每个采(盘)区和开采容易自燃煤层的采(盘)区未设置专用回风巷</w:t>
            </w:r>
            <w:r>
              <w:rPr>
                <w:rFonts w:hint="eastAsia" w:ascii="仿宋_GB2312" w:hAnsi="宋体" w:eastAsia="仿宋_GB2312" w:cs="仿宋_GB2312"/>
                <w:spacing w:val="-5"/>
                <w:kern w:val="0"/>
                <w:sz w:val="18"/>
                <w:szCs w:val="18"/>
                <w:lang w:eastAsia="zh-CN" w:bidi="ar"/>
              </w:rPr>
              <w:t>。</w:t>
            </w:r>
          </w:p>
          <w:p w14:paraId="7D8D3FBA">
            <w:pPr>
              <w:keepNext w:val="0"/>
              <w:keepLines w:val="0"/>
              <w:pageBreakBefore w:val="0"/>
              <w:widowControl w:val="0"/>
              <w:kinsoku/>
              <w:wordWrap/>
              <w:overflowPunct w:val="0"/>
              <w:topLinePunct w:val="0"/>
              <w:autoSpaceDE/>
              <w:autoSpaceDN/>
              <w:bidi w:val="0"/>
              <w:adjustRightInd/>
              <w:snapToGrid/>
              <w:spacing w:line="256" w:lineRule="exact"/>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eastAsia="zh-CN" w:bidi="ar"/>
              </w:rPr>
              <w:t>（</w:t>
            </w:r>
            <w:r>
              <w:rPr>
                <w:rFonts w:hint="eastAsia" w:ascii="仿宋_GB2312" w:hAnsi="宋体" w:eastAsia="仿宋_GB2312" w:cs="仿宋_GB2312"/>
                <w:spacing w:val="-5"/>
                <w:kern w:val="0"/>
                <w:sz w:val="18"/>
                <w:szCs w:val="18"/>
                <w:lang w:val="en-US" w:eastAsia="zh-CN" w:bidi="ar"/>
              </w:rPr>
              <w:t>七</w:t>
            </w:r>
            <w:r>
              <w:rPr>
                <w:rFonts w:hint="eastAsia" w:ascii="仿宋_GB2312" w:hAnsi="宋体" w:eastAsia="仿宋_GB2312" w:cs="仿宋_GB2312"/>
                <w:spacing w:val="-5"/>
                <w:kern w:val="0"/>
                <w:sz w:val="18"/>
                <w:szCs w:val="18"/>
                <w:lang w:eastAsia="zh-CN" w:bidi="ar"/>
              </w:rPr>
              <w:t>）</w:t>
            </w:r>
            <w:r>
              <w:rPr>
                <w:rFonts w:hint="eastAsia" w:ascii="仿宋_GB2312" w:hAnsi="宋体" w:eastAsia="仿宋_GB2312" w:cs="仿宋_GB2312"/>
                <w:spacing w:val="-5"/>
                <w:kern w:val="0"/>
                <w:sz w:val="18"/>
                <w:szCs w:val="18"/>
                <w:lang w:bidi="ar"/>
              </w:rPr>
              <w:t>低瓦斯矿井开采煤层群、分层开采采用联合布置的采(盘)区未设置专用回风巷</w:t>
            </w:r>
            <w:r>
              <w:rPr>
                <w:rFonts w:hint="eastAsia" w:ascii="仿宋_GB2312" w:hAnsi="宋体" w:eastAsia="仿宋_GB2312" w:cs="仿宋_GB2312"/>
                <w:spacing w:val="-5"/>
                <w:kern w:val="0"/>
                <w:sz w:val="18"/>
                <w:szCs w:val="18"/>
                <w:lang w:eastAsia="zh-CN" w:bidi="ar"/>
              </w:rPr>
              <w:t>。</w:t>
            </w:r>
          </w:p>
          <w:p w14:paraId="0E4BECBC">
            <w:pPr>
              <w:keepNext w:val="0"/>
              <w:keepLines w:val="0"/>
              <w:pageBreakBefore w:val="0"/>
              <w:widowControl w:val="0"/>
              <w:kinsoku/>
              <w:wordWrap/>
              <w:overflowPunct w:val="0"/>
              <w:topLinePunct w:val="0"/>
              <w:autoSpaceDE/>
              <w:autoSpaceDN/>
              <w:bidi w:val="0"/>
              <w:adjustRightInd/>
              <w:snapToGrid/>
              <w:spacing w:line="256" w:lineRule="exact"/>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eastAsia="zh-CN" w:bidi="ar"/>
              </w:rPr>
              <w:t>（</w:t>
            </w:r>
            <w:r>
              <w:rPr>
                <w:rFonts w:hint="eastAsia" w:ascii="仿宋_GB2312" w:hAnsi="宋体" w:eastAsia="仿宋_GB2312" w:cs="仿宋_GB2312"/>
                <w:spacing w:val="-5"/>
                <w:kern w:val="0"/>
                <w:sz w:val="18"/>
                <w:szCs w:val="18"/>
                <w:lang w:val="en-US" w:eastAsia="zh-CN" w:bidi="ar"/>
              </w:rPr>
              <w:t>八</w:t>
            </w:r>
            <w:r>
              <w:rPr>
                <w:rFonts w:hint="eastAsia" w:ascii="仿宋_GB2312" w:hAnsi="宋体" w:eastAsia="仿宋_GB2312" w:cs="仿宋_GB2312"/>
                <w:spacing w:val="-5"/>
                <w:kern w:val="0"/>
                <w:sz w:val="18"/>
                <w:szCs w:val="18"/>
                <w:lang w:eastAsia="zh-CN" w:bidi="ar"/>
              </w:rPr>
              <w:t>）</w:t>
            </w:r>
            <w:r>
              <w:rPr>
                <w:rFonts w:hint="eastAsia" w:ascii="仿宋_GB2312" w:hAnsi="宋体" w:eastAsia="仿宋_GB2312" w:cs="仿宋_GB2312"/>
                <w:spacing w:val="-5"/>
                <w:kern w:val="0"/>
                <w:sz w:val="18"/>
                <w:szCs w:val="18"/>
                <w:lang w:bidi="ar"/>
              </w:rPr>
              <w:t>突出煤层采掘工作面回风没有直接进入专用回风巷或者矿井总回风巷</w:t>
            </w:r>
            <w:r>
              <w:rPr>
                <w:rFonts w:hint="eastAsia" w:ascii="仿宋_GB2312" w:hAnsi="宋体" w:eastAsia="仿宋_GB2312" w:cs="仿宋_GB2312"/>
                <w:spacing w:val="-5"/>
                <w:kern w:val="0"/>
                <w:sz w:val="18"/>
                <w:szCs w:val="18"/>
                <w:lang w:eastAsia="zh-CN" w:bidi="ar"/>
              </w:rPr>
              <w:t>。</w:t>
            </w:r>
          </w:p>
          <w:p w14:paraId="59E57C5F">
            <w:pPr>
              <w:keepNext w:val="0"/>
              <w:keepLines w:val="0"/>
              <w:pageBreakBefore w:val="0"/>
              <w:widowControl w:val="0"/>
              <w:kinsoku/>
              <w:wordWrap/>
              <w:overflowPunct w:val="0"/>
              <w:topLinePunct w:val="0"/>
              <w:autoSpaceDE/>
              <w:autoSpaceDN/>
              <w:bidi w:val="0"/>
              <w:adjustRightInd/>
              <w:snapToGrid/>
              <w:spacing w:line="256" w:lineRule="exact"/>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eastAsia="zh-CN" w:bidi="ar"/>
              </w:rPr>
              <w:t>（</w:t>
            </w:r>
            <w:r>
              <w:rPr>
                <w:rFonts w:hint="eastAsia" w:ascii="仿宋_GB2312" w:hAnsi="宋体" w:eastAsia="仿宋_GB2312" w:cs="仿宋_GB2312"/>
                <w:spacing w:val="-5"/>
                <w:kern w:val="0"/>
                <w:sz w:val="18"/>
                <w:szCs w:val="18"/>
                <w:lang w:val="en-US" w:eastAsia="zh-CN" w:bidi="ar"/>
              </w:rPr>
              <w:t>九</w:t>
            </w:r>
            <w:r>
              <w:rPr>
                <w:rFonts w:hint="eastAsia" w:ascii="仿宋_GB2312" w:hAnsi="宋体" w:eastAsia="仿宋_GB2312" w:cs="仿宋_GB2312"/>
                <w:spacing w:val="-5"/>
                <w:kern w:val="0"/>
                <w:sz w:val="18"/>
                <w:szCs w:val="18"/>
                <w:lang w:eastAsia="zh-CN" w:bidi="ar"/>
              </w:rPr>
              <w:t>）</w:t>
            </w:r>
            <w:r>
              <w:rPr>
                <w:rFonts w:hint="eastAsia" w:ascii="仿宋_GB2312" w:hAnsi="宋体" w:eastAsia="仿宋_GB2312" w:cs="仿宋_GB2312"/>
                <w:spacing w:val="-5"/>
                <w:kern w:val="0"/>
                <w:sz w:val="18"/>
                <w:szCs w:val="18"/>
                <w:lang w:bidi="ar"/>
              </w:rPr>
              <w:t>进、回风井之间,总进、总回风巷之间和采(盘)区进、回风巷之间联络巷中的风墙、风门不符合</w:t>
            </w:r>
            <w:r>
              <w:rPr>
                <w:rFonts w:hint="eastAsia" w:ascii="仿宋_GB2312" w:hAnsi="宋体" w:eastAsia="仿宋_GB2312" w:cs="仿宋_GB2312"/>
                <w:spacing w:val="-5"/>
                <w:kern w:val="0"/>
                <w:sz w:val="18"/>
                <w:szCs w:val="18"/>
                <w:lang w:eastAsia="zh-CN" w:bidi="ar"/>
              </w:rPr>
              <w:t>《</w:t>
            </w:r>
            <w:r>
              <w:rPr>
                <w:rFonts w:hint="eastAsia" w:ascii="仿宋_GB2312" w:hAnsi="宋体" w:eastAsia="仿宋_GB2312" w:cs="仿宋_GB2312"/>
                <w:spacing w:val="-5"/>
                <w:kern w:val="0"/>
                <w:sz w:val="18"/>
                <w:szCs w:val="18"/>
                <w:lang w:bidi="ar"/>
              </w:rPr>
              <w:t>煤矿安全规程</w:t>
            </w:r>
            <w:r>
              <w:rPr>
                <w:rFonts w:hint="eastAsia" w:ascii="仿宋_GB2312" w:hAnsi="宋体" w:eastAsia="仿宋_GB2312" w:cs="仿宋_GB2312"/>
                <w:spacing w:val="-5"/>
                <w:kern w:val="0"/>
                <w:sz w:val="18"/>
                <w:szCs w:val="18"/>
                <w:lang w:eastAsia="zh-CN" w:bidi="ar"/>
              </w:rPr>
              <w:t>》</w:t>
            </w:r>
            <w:r>
              <w:rPr>
                <w:rFonts w:hint="eastAsia" w:ascii="仿宋_GB2312" w:hAnsi="宋体" w:eastAsia="仿宋_GB2312" w:cs="仿宋_GB2312"/>
                <w:spacing w:val="-5"/>
                <w:kern w:val="0"/>
                <w:sz w:val="18"/>
                <w:szCs w:val="18"/>
                <w:lang w:bidi="ar"/>
              </w:rPr>
              <w:t>规定,造成风流短路</w:t>
            </w:r>
            <w:r>
              <w:rPr>
                <w:rFonts w:hint="eastAsia" w:ascii="仿宋_GB2312" w:hAnsi="宋体" w:eastAsia="仿宋_GB2312" w:cs="仿宋_GB2312"/>
                <w:spacing w:val="-5"/>
                <w:kern w:val="0"/>
                <w:sz w:val="18"/>
                <w:szCs w:val="18"/>
                <w:lang w:eastAsia="zh-CN" w:bidi="ar"/>
              </w:rPr>
              <w:t>。</w:t>
            </w:r>
          </w:p>
          <w:p w14:paraId="3762B994">
            <w:pPr>
              <w:keepNext w:val="0"/>
              <w:keepLines w:val="0"/>
              <w:pageBreakBefore w:val="0"/>
              <w:widowControl w:val="0"/>
              <w:kinsoku/>
              <w:wordWrap/>
              <w:overflowPunct w:val="0"/>
              <w:topLinePunct w:val="0"/>
              <w:autoSpaceDE/>
              <w:autoSpaceDN/>
              <w:bidi w:val="0"/>
              <w:adjustRightInd/>
              <w:snapToGrid/>
              <w:spacing w:line="256" w:lineRule="exact"/>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eastAsia="zh-CN" w:bidi="ar"/>
              </w:rPr>
              <w:t>（</w:t>
            </w:r>
            <w:r>
              <w:rPr>
                <w:rFonts w:hint="eastAsia" w:ascii="仿宋_GB2312" w:hAnsi="宋体" w:eastAsia="仿宋_GB2312" w:cs="仿宋_GB2312"/>
                <w:spacing w:val="-5"/>
                <w:kern w:val="0"/>
                <w:sz w:val="18"/>
                <w:szCs w:val="18"/>
                <w:lang w:val="en-US" w:eastAsia="zh-CN" w:bidi="ar"/>
              </w:rPr>
              <w:t>十</w:t>
            </w:r>
            <w:r>
              <w:rPr>
                <w:rFonts w:hint="eastAsia" w:ascii="仿宋_GB2312" w:hAnsi="宋体" w:eastAsia="仿宋_GB2312" w:cs="仿宋_GB2312"/>
                <w:spacing w:val="-5"/>
                <w:kern w:val="0"/>
                <w:sz w:val="18"/>
                <w:szCs w:val="18"/>
                <w:lang w:eastAsia="zh-CN" w:bidi="ar"/>
              </w:rPr>
              <w:t>）</w:t>
            </w:r>
            <w:r>
              <w:rPr>
                <w:rFonts w:hint="eastAsia" w:ascii="仿宋_GB2312" w:hAnsi="宋体" w:eastAsia="仿宋_GB2312" w:cs="仿宋_GB2312"/>
                <w:spacing w:val="-5"/>
                <w:kern w:val="0"/>
                <w:sz w:val="18"/>
                <w:szCs w:val="18"/>
                <w:lang w:bidi="ar"/>
              </w:rPr>
              <w:t>采煤工作面风流短路造成瓦斯积聚、超限</w:t>
            </w:r>
            <w:r>
              <w:rPr>
                <w:rFonts w:hint="eastAsia" w:ascii="仿宋_GB2312" w:hAnsi="宋体" w:eastAsia="仿宋_GB2312" w:cs="仿宋_GB2312"/>
                <w:spacing w:val="-5"/>
                <w:kern w:val="0"/>
                <w:sz w:val="18"/>
                <w:szCs w:val="18"/>
                <w:lang w:eastAsia="zh-CN" w:bidi="ar"/>
              </w:rPr>
              <w:t>。</w:t>
            </w:r>
          </w:p>
          <w:p w14:paraId="7CAFFCE7">
            <w:pPr>
              <w:keepNext w:val="0"/>
              <w:keepLines w:val="0"/>
              <w:pageBreakBefore w:val="0"/>
              <w:widowControl w:val="0"/>
              <w:kinsoku/>
              <w:wordWrap/>
              <w:overflowPunct w:val="0"/>
              <w:topLinePunct w:val="0"/>
              <w:autoSpaceDE/>
              <w:autoSpaceDN/>
              <w:bidi w:val="0"/>
              <w:adjustRightInd/>
              <w:snapToGrid/>
              <w:spacing w:line="256" w:lineRule="exact"/>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eastAsia="zh-CN" w:bidi="ar"/>
              </w:rPr>
              <w:t>（</w:t>
            </w:r>
            <w:r>
              <w:rPr>
                <w:rFonts w:hint="eastAsia" w:ascii="仿宋_GB2312" w:hAnsi="宋体" w:eastAsia="仿宋_GB2312" w:cs="仿宋_GB2312"/>
                <w:spacing w:val="-5"/>
                <w:kern w:val="0"/>
                <w:sz w:val="18"/>
                <w:szCs w:val="18"/>
                <w:lang w:val="en-US" w:eastAsia="zh-CN" w:bidi="ar"/>
              </w:rPr>
              <w:t>十一</w:t>
            </w:r>
            <w:r>
              <w:rPr>
                <w:rFonts w:hint="eastAsia" w:ascii="仿宋_GB2312" w:hAnsi="宋体" w:eastAsia="仿宋_GB2312" w:cs="仿宋_GB2312"/>
                <w:spacing w:val="-5"/>
                <w:kern w:val="0"/>
                <w:sz w:val="18"/>
                <w:szCs w:val="18"/>
                <w:lang w:eastAsia="zh-CN" w:bidi="ar"/>
              </w:rPr>
              <w:t>）</w:t>
            </w:r>
            <w:r>
              <w:rPr>
                <w:rFonts w:hint="eastAsia" w:ascii="仿宋_GB2312" w:hAnsi="宋体" w:eastAsia="仿宋_GB2312" w:cs="仿宋_GB2312"/>
                <w:spacing w:val="-5"/>
                <w:kern w:val="0"/>
                <w:sz w:val="18"/>
                <w:szCs w:val="18"/>
                <w:lang w:bidi="ar"/>
              </w:rPr>
              <w:t>生产采(盘)区进、回风巷未贯穿整个采(盘)区或者虽贯穿整个采(盘)区,但一段为进风巷、一段为回风巷</w:t>
            </w:r>
            <w:r>
              <w:rPr>
                <w:rFonts w:hint="eastAsia" w:ascii="仿宋_GB2312" w:hAnsi="宋体" w:eastAsia="仿宋_GB2312" w:cs="仿宋_GB2312"/>
                <w:spacing w:val="-5"/>
                <w:kern w:val="0"/>
                <w:sz w:val="18"/>
                <w:szCs w:val="18"/>
                <w:lang w:eastAsia="zh-CN" w:bidi="ar"/>
              </w:rPr>
              <w:t>。</w:t>
            </w:r>
          </w:p>
          <w:p w14:paraId="01EFA3AB">
            <w:pPr>
              <w:keepNext w:val="0"/>
              <w:keepLines w:val="0"/>
              <w:pageBreakBefore w:val="0"/>
              <w:widowControl w:val="0"/>
              <w:kinsoku/>
              <w:wordWrap/>
              <w:overflowPunct w:val="0"/>
              <w:topLinePunct w:val="0"/>
              <w:autoSpaceDE/>
              <w:autoSpaceDN/>
              <w:bidi w:val="0"/>
              <w:adjustRightInd/>
              <w:snapToGrid/>
              <w:spacing w:line="256" w:lineRule="exact"/>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eastAsia="zh-CN" w:bidi="ar"/>
              </w:rPr>
              <w:t>（</w:t>
            </w:r>
            <w:r>
              <w:rPr>
                <w:rFonts w:hint="eastAsia" w:ascii="仿宋_GB2312" w:hAnsi="宋体" w:eastAsia="仿宋_GB2312" w:cs="仿宋_GB2312"/>
                <w:spacing w:val="-5"/>
                <w:kern w:val="0"/>
                <w:sz w:val="18"/>
                <w:szCs w:val="18"/>
                <w:lang w:val="en-US" w:eastAsia="zh-CN" w:bidi="ar"/>
              </w:rPr>
              <w:t>十二</w:t>
            </w:r>
            <w:r>
              <w:rPr>
                <w:rFonts w:hint="eastAsia" w:ascii="仿宋_GB2312" w:hAnsi="宋体" w:eastAsia="仿宋_GB2312" w:cs="仿宋_GB2312"/>
                <w:spacing w:val="-5"/>
                <w:kern w:val="0"/>
                <w:sz w:val="18"/>
                <w:szCs w:val="18"/>
                <w:lang w:eastAsia="zh-CN" w:bidi="ar"/>
              </w:rPr>
              <w:t>）</w:t>
            </w:r>
            <w:r>
              <w:rPr>
                <w:rFonts w:hint="eastAsia" w:ascii="仿宋_GB2312" w:hAnsi="宋体" w:eastAsia="仿宋_GB2312" w:cs="仿宋_GB2312"/>
                <w:spacing w:val="-5"/>
                <w:kern w:val="0"/>
                <w:sz w:val="18"/>
                <w:szCs w:val="18"/>
                <w:lang w:bidi="ar"/>
              </w:rPr>
              <w:t>准备采(盘)区在未构成贯穿整个采(盘)区的通风系统时,开掘回采巷道</w:t>
            </w:r>
            <w:r>
              <w:rPr>
                <w:rFonts w:hint="eastAsia" w:ascii="仿宋_GB2312" w:hAnsi="宋体" w:eastAsia="仿宋_GB2312" w:cs="仿宋_GB2312"/>
                <w:spacing w:val="-5"/>
                <w:kern w:val="0"/>
                <w:sz w:val="18"/>
                <w:szCs w:val="18"/>
                <w:lang w:eastAsia="zh-CN" w:bidi="ar"/>
              </w:rPr>
              <w:t>。</w:t>
            </w:r>
          </w:p>
          <w:p w14:paraId="63D0836C">
            <w:pPr>
              <w:keepNext w:val="0"/>
              <w:keepLines w:val="0"/>
              <w:pageBreakBefore w:val="0"/>
              <w:widowControl w:val="0"/>
              <w:kinsoku/>
              <w:wordWrap/>
              <w:overflowPunct w:val="0"/>
              <w:topLinePunct w:val="0"/>
              <w:autoSpaceDE/>
              <w:autoSpaceDN/>
              <w:bidi w:val="0"/>
              <w:adjustRightInd/>
              <w:snapToGrid/>
              <w:spacing w:line="256" w:lineRule="exact"/>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eastAsia="zh-CN" w:bidi="ar"/>
              </w:rPr>
              <w:t>（</w:t>
            </w:r>
            <w:r>
              <w:rPr>
                <w:rFonts w:hint="eastAsia" w:ascii="仿宋_GB2312" w:hAnsi="宋体" w:eastAsia="仿宋_GB2312" w:cs="仿宋_GB2312"/>
                <w:spacing w:val="-5"/>
                <w:kern w:val="0"/>
                <w:sz w:val="18"/>
                <w:szCs w:val="18"/>
                <w:lang w:val="en-US" w:eastAsia="zh-CN" w:bidi="ar"/>
              </w:rPr>
              <w:t>十三</w:t>
            </w:r>
            <w:r>
              <w:rPr>
                <w:rFonts w:hint="eastAsia" w:ascii="仿宋_GB2312" w:hAnsi="宋体" w:eastAsia="仿宋_GB2312" w:cs="仿宋_GB2312"/>
                <w:spacing w:val="-5"/>
                <w:kern w:val="0"/>
                <w:sz w:val="18"/>
                <w:szCs w:val="18"/>
                <w:lang w:eastAsia="zh-CN" w:bidi="ar"/>
              </w:rPr>
              <w:t>）</w:t>
            </w:r>
            <w:r>
              <w:rPr>
                <w:rFonts w:hint="eastAsia" w:ascii="仿宋_GB2312" w:hAnsi="宋体" w:eastAsia="仿宋_GB2312" w:cs="仿宋_GB2312"/>
                <w:spacing w:val="-5"/>
                <w:kern w:val="0"/>
                <w:sz w:val="18"/>
                <w:szCs w:val="18"/>
                <w:lang w:bidi="ar"/>
              </w:rPr>
              <w:t>采用倾斜长壁布置,大巷未超前至少２个区段构成通风系统即开掘回采巷道</w:t>
            </w:r>
            <w:r>
              <w:rPr>
                <w:rFonts w:hint="eastAsia" w:ascii="仿宋_GB2312" w:hAnsi="宋体" w:eastAsia="仿宋_GB2312" w:cs="仿宋_GB2312"/>
                <w:spacing w:val="-5"/>
                <w:kern w:val="0"/>
                <w:sz w:val="18"/>
                <w:szCs w:val="18"/>
                <w:lang w:eastAsia="zh-CN" w:bidi="ar"/>
              </w:rPr>
              <w:t>。</w:t>
            </w:r>
          </w:p>
          <w:p w14:paraId="29B3C638">
            <w:pPr>
              <w:keepNext w:val="0"/>
              <w:keepLines w:val="0"/>
              <w:pageBreakBefore w:val="0"/>
              <w:widowControl w:val="0"/>
              <w:kinsoku/>
              <w:wordWrap/>
              <w:overflowPunct w:val="0"/>
              <w:topLinePunct w:val="0"/>
              <w:autoSpaceDE/>
              <w:autoSpaceDN/>
              <w:bidi w:val="0"/>
              <w:adjustRightInd/>
              <w:snapToGrid/>
              <w:spacing w:line="256" w:lineRule="exact"/>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eastAsia="zh-CN" w:bidi="ar"/>
              </w:rPr>
              <w:t>（</w:t>
            </w:r>
            <w:r>
              <w:rPr>
                <w:rFonts w:hint="eastAsia" w:ascii="仿宋_GB2312" w:hAnsi="宋体" w:eastAsia="仿宋_GB2312" w:cs="仿宋_GB2312"/>
                <w:spacing w:val="-5"/>
                <w:kern w:val="0"/>
                <w:sz w:val="18"/>
                <w:szCs w:val="18"/>
                <w:lang w:val="en-US" w:eastAsia="zh-CN" w:bidi="ar"/>
              </w:rPr>
              <w:t>十四</w:t>
            </w:r>
            <w:r>
              <w:rPr>
                <w:rFonts w:hint="eastAsia" w:ascii="仿宋_GB2312" w:hAnsi="宋体" w:eastAsia="仿宋_GB2312" w:cs="仿宋_GB2312"/>
                <w:spacing w:val="-5"/>
                <w:kern w:val="0"/>
                <w:sz w:val="18"/>
                <w:szCs w:val="18"/>
                <w:lang w:eastAsia="zh-CN" w:bidi="ar"/>
              </w:rPr>
              <w:t>）</w:t>
            </w:r>
            <w:r>
              <w:rPr>
                <w:rFonts w:hint="eastAsia" w:ascii="仿宋_GB2312" w:hAnsi="宋体" w:eastAsia="仿宋_GB2312" w:cs="仿宋_GB2312"/>
                <w:spacing w:val="-5"/>
                <w:kern w:val="0"/>
                <w:sz w:val="18"/>
                <w:szCs w:val="18"/>
                <w:lang w:bidi="ar"/>
              </w:rPr>
              <w:t>高瓦斯、煤(岩)与瓦斯(二氧化碳)突出矿井的煤巷、半煤岩巷和有瓦斯涌出的岩巷掘进工作面采用局部通风机通风时,不能实现双风机、双电源且自动切换,或者出现局部通风机循环风</w:t>
            </w:r>
            <w:r>
              <w:rPr>
                <w:rFonts w:hint="eastAsia" w:ascii="仿宋_GB2312" w:hAnsi="宋体" w:eastAsia="仿宋_GB2312" w:cs="仿宋_GB2312"/>
                <w:spacing w:val="-5"/>
                <w:kern w:val="0"/>
                <w:sz w:val="18"/>
                <w:szCs w:val="18"/>
                <w:lang w:eastAsia="zh-CN" w:bidi="ar"/>
              </w:rPr>
              <w:t>。</w:t>
            </w:r>
          </w:p>
          <w:p w14:paraId="64A575B0">
            <w:pPr>
              <w:keepNext w:val="0"/>
              <w:keepLines w:val="0"/>
              <w:pageBreakBefore w:val="0"/>
              <w:widowControl w:val="0"/>
              <w:kinsoku/>
              <w:wordWrap/>
              <w:overflowPunct w:val="0"/>
              <w:topLinePunct w:val="0"/>
              <w:autoSpaceDE/>
              <w:autoSpaceDN/>
              <w:bidi w:val="0"/>
              <w:adjustRightInd/>
              <w:snapToGrid/>
              <w:spacing w:line="256" w:lineRule="exact"/>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eastAsia="zh-CN" w:bidi="ar"/>
              </w:rPr>
              <w:t>（</w:t>
            </w:r>
            <w:r>
              <w:rPr>
                <w:rFonts w:hint="eastAsia" w:ascii="仿宋_GB2312" w:hAnsi="宋体" w:eastAsia="仿宋_GB2312" w:cs="仿宋_GB2312"/>
                <w:spacing w:val="-5"/>
                <w:kern w:val="0"/>
                <w:sz w:val="18"/>
                <w:szCs w:val="18"/>
                <w:lang w:val="en-US" w:eastAsia="zh-CN" w:bidi="ar"/>
              </w:rPr>
              <w:t>十五</w:t>
            </w:r>
            <w:r>
              <w:rPr>
                <w:rFonts w:hint="eastAsia" w:ascii="仿宋_GB2312" w:hAnsi="宋体" w:eastAsia="仿宋_GB2312" w:cs="仿宋_GB2312"/>
                <w:spacing w:val="-5"/>
                <w:kern w:val="0"/>
                <w:sz w:val="18"/>
                <w:szCs w:val="18"/>
                <w:lang w:eastAsia="zh-CN" w:bidi="ar"/>
              </w:rPr>
              <w:t>）</w:t>
            </w:r>
            <w:r>
              <w:rPr>
                <w:rFonts w:hint="eastAsia" w:ascii="仿宋_GB2312" w:hAnsi="宋体" w:eastAsia="仿宋_GB2312" w:cs="仿宋_GB2312"/>
                <w:spacing w:val="-5"/>
                <w:kern w:val="0"/>
                <w:sz w:val="18"/>
                <w:szCs w:val="18"/>
                <w:lang w:bidi="ar"/>
              </w:rPr>
              <w:t>高瓦斯、煤(岩)与瓦斯(二氧化碳)突出建设矿井进入二期工程前,其他建设矿井进入三期工程前,没有形成地面主要通风机供风的全风压通风系统</w:t>
            </w:r>
            <w:r>
              <w:rPr>
                <w:rFonts w:hint="eastAsia" w:ascii="仿宋_GB2312" w:hAnsi="宋体" w:eastAsia="仿宋_GB2312" w:cs="仿宋_GB2312"/>
                <w:spacing w:val="-5"/>
                <w:kern w:val="0"/>
                <w:sz w:val="18"/>
                <w:szCs w:val="18"/>
                <w:lang w:eastAsia="zh-CN" w:bidi="ar"/>
              </w:rPr>
              <w:t>。</w:t>
            </w:r>
          </w:p>
          <w:p w14:paraId="4DF6D0A9">
            <w:pPr>
              <w:keepNext w:val="0"/>
              <w:keepLines w:val="0"/>
              <w:pageBreakBefore w:val="0"/>
              <w:widowControl w:val="0"/>
              <w:kinsoku/>
              <w:wordWrap/>
              <w:overflowPunct w:val="0"/>
              <w:topLinePunct w:val="0"/>
              <w:autoSpaceDE/>
              <w:autoSpaceDN/>
              <w:bidi w:val="0"/>
              <w:adjustRightInd/>
              <w:snapToGrid/>
              <w:spacing w:line="256" w:lineRule="exact"/>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eastAsia="zh-CN" w:bidi="ar"/>
              </w:rPr>
              <w:t>（</w:t>
            </w:r>
            <w:r>
              <w:rPr>
                <w:rFonts w:hint="eastAsia" w:ascii="仿宋_GB2312" w:hAnsi="宋体" w:eastAsia="仿宋_GB2312" w:cs="仿宋_GB2312"/>
                <w:spacing w:val="-5"/>
                <w:kern w:val="0"/>
                <w:sz w:val="18"/>
                <w:szCs w:val="18"/>
                <w:lang w:val="en-US" w:eastAsia="zh-CN" w:bidi="ar"/>
              </w:rPr>
              <w:t>十六</w:t>
            </w:r>
            <w:r>
              <w:rPr>
                <w:rFonts w:hint="eastAsia" w:ascii="仿宋_GB2312" w:hAnsi="宋体" w:eastAsia="仿宋_GB2312" w:cs="仿宋_GB2312"/>
                <w:spacing w:val="-5"/>
                <w:kern w:val="0"/>
                <w:sz w:val="18"/>
                <w:szCs w:val="18"/>
                <w:lang w:eastAsia="zh-CN" w:bidi="ar"/>
              </w:rPr>
              <w:t>）</w:t>
            </w:r>
            <w:r>
              <w:rPr>
                <w:rFonts w:hint="eastAsia" w:ascii="仿宋_GB2312" w:hAnsi="宋体" w:eastAsia="仿宋_GB2312" w:cs="仿宋_GB2312"/>
                <w:spacing w:val="-5"/>
                <w:kern w:val="0"/>
                <w:sz w:val="18"/>
                <w:szCs w:val="18"/>
                <w:lang w:bidi="ar"/>
              </w:rPr>
              <w:t>巷道贯通时,综合机械化掘进巷道在相距</w:t>
            </w:r>
            <w:r>
              <w:rPr>
                <w:rFonts w:hint="eastAsia" w:ascii="仿宋_GB2312" w:hAnsi="宋体" w:eastAsia="仿宋_GB2312" w:cs="仿宋_GB2312"/>
                <w:spacing w:val="-5"/>
                <w:kern w:val="0"/>
                <w:sz w:val="18"/>
                <w:szCs w:val="18"/>
                <w:lang w:eastAsia="zh-CN" w:bidi="ar"/>
              </w:rPr>
              <w:t>5</w:t>
            </w:r>
            <w:r>
              <w:rPr>
                <w:rFonts w:hint="eastAsia" w:ascii="仿宋_GB2312" w:hAnsi="宋体" w:eastAsia="仿宋_GB2312" w:cs="仿宋_GB2312"/>
                <w:spacing w:val="-5"/>
                <w:kern w:val="0"/>
                <w:sz w:val="18"/>
                <w:szCs w:val="18"/>
                <w:lang w:val="en-US" w:eastAsia="zh-CN" w:bidi="ar"/>
              </w:rPr>
              <w:t>0</w:t>
            </w:r>
            <w:r>
              <w:rPr>
                <w:rFonts w:hint="eastAsia" w:ascii="仿宋_GB2312" w:hAnsi="宋体" w:eastAsia="仿宋_GB2312" w:cs="仿宋_GB2312"/>
                <w:spacing w:val="-5"/>
                <w:kern w:val="0"/>
                <w:sz w:val="18"/>
                <w:szCs w:val="18"/>
                <w:lang w:bidi="ar"/>
              </w:rPr>
              <w:t>m 前、其他巷道在相距</w:t>
            </w:r>
            <w:r>
              <w:rPr>
                <w:rFonts w:hint="eastAsia" w:ascii="仿宋_GB2312" w:hAnsi="宋体" w:eastAsia="仿宋_GB2312" w:cs="仿宋_GB2312"/>
                <w:spacing w:val="-5"/>
                <w:kern w:val="0"/>
                <w:sz w:val="18"/>
                <w:szCs w:val="18"/>
                <w:lang w:eastAsia="zh-CN" w:bidi="ar"/>
              </w:rPr>
              <w:t>2</w:t>
            </w:r>
            <w:r>
              <w:rPr>
                <w:rFonts w:hint="eastAsia" w:ascii="仿宋_GB2312" w:hAnsi="宋体" w:eastAsia="仿宋_GB2312" w:cs="仿宋_GB2312"/>
                <w:spacing w:val="-5"/>
                <w:kern w:val="0"/>
                <w:sz w:val="18"/>
                <w:szCs w:val="18"/>
                <w:lang w:val="en-US" w:eastAsia="zh-CN" w:bidi="ar"/>
              </w:rPr>
              <w:t>0</w:t>
            </w:r>
            <w:r>
              <w:rPr>
                <w:rFonts w:hint="eastAsia" w:ascii="仿宋_GB2312" w:hAnsi="宋体" w:eastAsia="仿宋_GB2312" w:cs="仿宋_GB2312"/>
                <w:spacing w:val="-5"/>
                <w:kern w:val="0"/>
                <w:sz w:val="18"/>
                <w:szCs w:val="18"/>
                <w:lang w:eastAsia="zh-CN" w:bidi="ar"/>
              </w:rPr>
              <w:t>m</w:t>
            </w:r>
            <w:r>
              <w:rPr>
                <w:rFonts w:hint="eastAsia" w:ascii="仿宋_GB2312" w:hAnsi="宋体" w:eastAsia="仿宋_GB2312" w:cs="仿宋_GB2312"/>
                <w:spacing w:val="-5"/>
                <w:kern w:val="0"/>
                <w:sz w:val="18"/>
                <w:szCs w:val="18"/>
                <w:lang w:bidi="ar"/>
              </w:rPr>
              <w:t>前,停掘的工作面未保持正常通风</w:t>
            </w:r>
            <w:r>
              <w:rPr>
                <w:rFonts w:hint="eastAsia" w:ascii="仿宋_GB2312" w:hAnsi="宋体" w:eastAsia="仿宋_GB2312" w:cs="仿宋_GB2312"/>
                <w:spacing w:val="-5"/>
                <w:kern w:val="0"/>
                <w:sz w:val="18"/>
                <w:szCs w:val="18"/>
                <w:lang w:eastAsia="zh-CN" w:bidi="ar"/>
              </w:rPr>
              <w:t>。</w:t>
            </w:r>
          </w:p>
          <w:p w14:paraId="1D4B4A12">
            <w:pPr>
              <w:keepNext w:val="0"/>
              <w:keepLines w:val="0"/>
              <w:pageBreakBefore w:val="0"/>
              <w:widowControl w:val="0"/>
              <w:kinsoku/>
              <w:wordWrap/>
              <w:overflowPunct w:val="0"/>
              <w:topLinePunct w:val="0"/>
              <w:autoSpaceDE/>
              <w:autoSpaceDN/>
              <w:bidi w:val="0"/>
              <w:adjustRightInd/>
              <w:snapToGrid/>
              <w:spacing w:line="256" w:lineRule="exact"/>
              <w:textAlignment w:val="center"/>
              <w:rPr>
                <w:rFonts w:hint="eastAsia" w:ascii="仿宋_GB2312" w:hAnsi="宋体" w:eastAsia="仿宋_GB2312" w:cs="仿宋_GB2312"/>
                <w:spacing w:val="-5"/>
                <w:kern w:val="0"/>
                <w:sz w:val="18"/>
                <w:szCs w:val="18"/>
                <w:lang w:eastAsia="zh-CN" w:bidi="ar"/>
              </w:rPr>
            </w:pPr>
            <w:r>
              <w:rPr>
                <w:rFonts w:hint="eastAsia" w:ascii="仿宋_GB2312" w:hAnsi="宋体" w:eastAsia="仿宋_GB2312" w:cs="仿宋_GB2312"/>
                <w:spacing w:val="-5"/>
                <w:kern w:val="0"/>
                <w:sz w:val="18"/>
                <w:szCs w:val="18"/>
                <w:lang w:eastAsia="zh-CN" w:bidi="ar"/>
              </w:rPr>
              <w:t>（</w:t>
            </w:r>
            <w:r>
              <w:rPr>
                <w:rFonts w:hint="eastAsia" w:ascii="仿宋_GB2312" w:hAnsi="宋体" w:eastAsia="仿宋_GB2312" w:cs="仿宋_GB2312"/>
                <w:spacing w:val="-5"/>
                <w:kern w:val="0"/>
                <w:sz w:val="18"/>
                <w:szCs w:val="18"/>
                <w:lang w:val="en-US" w:eastAsia="zh-CN" w:bidi="ar"/>
              </w:rPr>
              <w:t>十七</w:t>
            </w:r>
            <w:r>
              <w:rPr>
                <w:rFonts w:hint="eastAsia" w:ascii="仿宋_GB2312" w:hAnsi="宋体" w:eastAsia="仿宋_GB2312" w:cs="仿宋_GB2312"/>
                <w:spacing w:val="-5"/>
                <w:kern w:val="0"/>
                <w:sz w:val="18"/>
                <w:szCs w:val="18"/>
                <w:lang w:eastAsia="zh-CN" w:bidi="ar"/>
              </w:rPr>
              <w:t>）</w:t>
            </w:r>
            <w:r>
              <w:rPr>
                <w:rFonts w:hint="eastAsia" w:ascii="仿宋_GB2312" w:hAnsi="宋体" w:eastAsia="仿宋_GB2312" w:cs="仿宋_GB2312"/>
                <w:spacing w:val="-5"/>
                <w:kern w:val="0"/>
                <w:sz w:val="18"/>
                <w:szCs w:val="18"/>
                <w:lang w:bidi="ar"/>
              </w:rPr>
              <w:t>未按照</w:t>
            </w:r>
            <w:r>
              <w:rPr>
                <w:rFonts w:hint="eastAsia" w:ascii="仿宋_GB2312" w:hAnsi="宋体" w:eastAsia="仿宋_GB2312" w:cs="仿宋_GB2312"/>
                <w:spacing w:val="-5"/>
                <w:kern w:val="0"/>
                <w:sz w:val="18"/>
                <w:szCs w:val="18"/>
                <w:lang w:eastAsia="zh-CN" w:bidi="ar"/>
              </w:rPr>
              <w:t>《</w:t>
            </w:r>
            <w:r>
              <w:rPr>
                <w:rFonts w:hint="eastAsia" w:ascii="仿宋_GB2312" w:hAnsi="宋体" w:eastAsia="仿宋_GB2312" w:cs="仿宋_GB2312"/>
                <w:spacing w:val="-5"/>
                <w:kern w:val="0"/>
                <w:sz w:val="18"/>
                <w:szCs w:val="18"/>
                <w:lang w:bidi="ar"/>
              </w:rPr>
              <w:t>煤矿安全规程</w:t>
            </w:r>
            <w:r>
              <w:rPr>
                <w:rFonts w:hint="eastAsia" w:ascii="仿宋_GB2312" w:hAnsi="宋体" w:eastAsia="仿宋_GB2312" w:cs="仿宋_GB2312"/>
                <w:spacing w:val="-5"/>
                <w:kern w:val="0"/>
                <w:sz w:val="18"/>
                <w:szCs w:val="18"/>
                <w:lang w:eastAsia="zh-CN" w:bidi="ar"/>
              </w:rPr>
              <w:t>》</w:t>
            </w:r>
            <w:r>
              <w:rPr>
                <w:rFonts w:hint="eastAsia" w:ascii="仿宋_GB2312" w:hAnsi="宋体" w:eastAsia="仿宋_GB2312" w:cs="仿宋_GB2312"/>
                <w:spacing w:val="-5"/>
                <w:kern w:val="0"/>
                <w:sz w:val="18"/>
                <w:szCs w:val="18"/>
                <w:lang w:bidi="ar"/>
              </w:rPr>
              <w:t>规定启封井下永久密闭墙</w:t>
            </w:r>
            <w:r>
              <w:rPr>
                <w:rFonts w:hint="eastAsia" w:ascii="仿宋_GB2312" w:hAnsi="宋体" w:eastAsia="仿宋_GB2312" w:cs="仿宋_GB2312"/>
                <w:spacing w:val="-5"/>
                <w:kern w:val="0"/>
                <w:sz w:val="18"/>
                <w:szCs w:val="18"/>
                <w:lang w:eastAsia="zh-CN" w:bidi="ar"/>
              </w:rPr>
              <w:t>。</w:t>
            </w:r>
          </w:p>
          <w:p w14:paraId="0C312CD9">
            <w:pPr>
              <w:keepNext w:val="0"/>
              <w:keepLines w:val="0"/>
              <w:pageBreakBefore w:val="0"/>
              <w:widowControl w:val="0"/>
              <w:kinsoku/>
              <w:wordWrap/>
              <w:overflowPunct w:val="0"/>
              <w:topLinePunct w:val="0"/>
              <w:autoSpaceDE/>
              <w:autoSpaceDN/>
              <w:bidi w:val="0"/>
              <w:adjustRightInd/>
              <w:snapToGrid/>
              <w:spacing w:line="256" w:lineRule="exact"/>
              <w:textAlignment w:val="center"/>
              <w:rPr>
                <w:ins w:id="1445" w:author="LV" w:date="2026-07-27T15:39:58Z"/>
                <w:rFonts w:hint="eastAsia" w:ascii="仿宋_GB2312" w:hAnsi="宋体" w:eastAsia="仿宋_GB2312" w:cs="仿宋_GB2312"/>
                <w:spacing w:val="-5"/>
                <w:kern w:val="0"/>
                <w:sz w:val="18"/>
                <w:szCs w:val="18"/>
                <w:lang w:bidi="ar"/>
              </w:rPr>
            </w:pPr>
          </w:p>
          <w:p w14:paraId="7EFD2358">
            <w:pPr>
              <w:pStyle w:val="2"/>
              <w:rPr>
                <w:ins w:id="1446" w:author="LV" w:date="2026-07-27T15:39:58Z"/>
                <w:rFonts w:hint="eastAsia" w:ascii="仿宋_GB2312" w:hAnsi="宋体" w:eastAsia="仿宋_GB2312" w:cs="仿宋_GB2312"/>
                <w:spacing w:val="-5"/>
                <w:kern w:val="0"/>
                <w:sz w:val="18"/>
                <w:szCs w:val="18"/>
                <w:lang w:bidi="ar"/>
              </w:rPr>
            </w:pPr>
          </w:p>
          <w:p w14:paraId="46F836DF">
            <w:pPr>
              <w:rPr>
                <w:ins w:id="1447" w:author="LV" w:date="2026-07-27T15:39:59Z"/>
                <w:rFonts w:hint="eastAsia" w:ascii="仿宋_GB2312" w:hAnsi="宋体" w:eastAsia="仿宋_GB2312" w:cs="仿宋_GB2312"/>
                <w:spacing w:val="-5"/>
                <w:kern w:val="0"/>
                <w:sz w:val="18"/>
                <w:szCs w:val="18"/>
                <w:lang w:bidi="ar"/>
              </w:rPr>
            </w:pPr>
          </w:p>
          <w:p w14:paraId="20A62D3F">
            <w:pPr>
              <w:rPr>
                <w:ins w:id="1448" w:author="LV" w:date="2026-07-27T15:40:01Z"/>
                <w:rFonts w:hint="eastAsia"/>
              </w:rPr>
            </w:pPr>
          </w:p>
          <w:p w14:paraId="163AF896">
            <w:pPr>
              <w:pStyle w:val="2"/>
              <w:rPr>
                <w:rFonts w:hint="eastAsia"/>
              </w:rPr>
            </w:pPr>
          </w:p>
          <w:p w14:paraId="7552E237">
            <w:pPr>
              <w:keepNext w:val="0"/>
              <w:keepLines w:val="0"/>
              <w:pageBreakBefore w:val="0"/>
              <w:widowControl w:val="0"/>
              <w:kinsoku/>
              <w:wordWrap/>
              <w:overflowPunct w:val="0"/>
              <w:topLinePunct w:val="0"/>
              <w:autoSpaceDE/>
              <w:autoSpaceDN/>
              <w:bidi w:val="0"/>
              <w:adjustRightInd/>
              <w:snapToGrid/>
              <w:spacing w:line="256" w:lineRule="exact"/>
              <w:textAlignment w:val="center"/>
              <w:rPr>
                <w:rFonts w:hint="eastAsia" w:ascii="仿宋_GB2312" w:hAnsi="宋体" w:eastAsia="仿宋_GB2312" w:cs="仿宋_GB2312"/>
                <w:kern w:val="0"/>
                <w:sz w:val="18"/>
                <w:szCs w:val="18"/>
                <w:lang w:val="en-US" w:eastAsia="zh-CN" w:bidi="ar"/>
              </w:rPr>
            </w:pPr>
          </w:p>
        </w:tc>
        <w:tc>
          <w:tcPr>
            <w:tcW w:w="4082" w:type="dxa"/>
            <w:vMerge w:val="restart"/>
            <w:tcBorders>
              <w:tl2br w:val="nil"/>
              <w:tr2bl w:val="nil"/>
            </w:tcBorders>
            <w:shd w:val="clear" w:color="auto" w:fill="auto"/>
            <w:tcMar>
              <w:top w:w="15" w:type="dxa"/>
              <w:left w:w="15" w:type="dxa"/>
              <w:right w:w="15" w:type="dxa"/>
            </w:tcMar>
            <w:vAlign w:val="center"/>
          </w:tcPr>
          <w:p w14:paraId="2E66AF1A">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《煤矿安全生产条例》第六十四条  对存在重大事故隐患仍然进行生产的煤矿企业，责令停产整顿，明确整顿的内容、时间等具体要求，并处50万元以上200万元以下的罚款；对煤矿企业主要负责人处3万元以上15万元以下的罚款。</w:t>
            </w:r>
          </w:p>
        </w:tc>
        <w:tc>
          <w:tcPr>
            <w:tcW w:w="459" w:type="dxa"/>
            <w:tcBorders>
              <w:tl2br w:val="nil"/>
              <w:tr2bl w:val="nil"/>
            </w:tcBorders>
            <w:shd w:val="clear" w:color="auto" w:fill="auto"/>
            <w:noWrap/>
            <w:tcMar>
              <w:top w:w="15" w:type="dxa"/>
              <w:left w:w="15" w:type="dxa"/>
              <w:right w:w="15" w:type="dxa"/>
            </w:tcMar>
            <w:vAlign w:val="center"/>
          </w:tcPr>
          <w:p w14:paraId="07622B18">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61AFC6D2">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3C74CB78">
            <w:pPr>
              <w:keepNext w:val="0"/>
              <w:keepLines w:val="0"/>
              <w:pageBreakBefore w:val="0"/>
              <w:widowControl w:val="0"/>
              <w:kinsoku/>
              <w:wordWrap/>
              <w:overflowPunct w:val="0"/>
              <w:topLinePunct w:val="0"/>
              <w:autoSpaceDE/>
              <w:autoSpaceDN/>
              <w:bidi w:val="0"/>
              <w:adjustRightInd/>
              <w:snapToGrid/>
              <w:spacing w:line="26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CCEDF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9A5CDEC">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0329267">
            <w:pPr>
              <w:keepNext w:val="0"/>
              <w:keepLines w:val="0"/>
              <w:pageBreakBefore w:val="0"/>
              <w:widowControl w:val="0"/>
              <w:kinsoku/>
              <w:wordWrap/>
              <w:overflowPunct w:val="0"/>
              <w:topLinePunct w:val="0"/>
              <w:autoSpaceDE/>
              <w:autoSpaceDN/>
              <w:bidi w:val="0"/>
              <w:adjustRightInd/>
              <w:snapToGrid/>
              <w:spacing w:line="26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CED3B07">
            <w:pPr>
              <w:keepNext w:val="0"/>
              <w:keepLines w:val="0"/>
              <w:pageBreakBefore w:val="0"/>
              <w:widowControl w:val="0"/>
              <w:kinsoku/>
              <w:wordWrap/>
              <w:overflowPunct w:val="0"/>
              <w:topLinePunct w:val="0"/>
              <w:autoSpaceDE/>
              <w:autoSpaceDN/>
              <w:bidi w:val="0"/>
              <w:adjustRightInd/>
              <w:snapToGrid/>
              <w:spacing w:line="26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9B0470C">
            <w:pPr>
              <w:keepNext w:val="0"/>
              <w:keepLines w:val="0"/>
              <w:pageBreakBefore w:val="0"/>
              <w:widowControl w:val="0"/>
              <w:kinsoku/>
              <w:wordWrap/>
              <w:overflowPunct w:val="0"/>
              <w:topLinePunct w:val="0"/>
              <w:autoSpaceDE/>
              <w:autoSpaceDN/>
              <w:bidi w:val="0"/>
              <w:adjustRightInd/>
              <w:snapToGrid/>
              <w:spacing w:line="26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1FBC246">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1DC78F10">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7839BBA3">
            <w:pPr>
              <w:keepNext w:val="0"/>
              <w:keepLines w:val="0"/>
              <w:pageBreakBefore w:val="0"/>
              <w:widowControl w:val="0"/>
              <w:kinsoku/>
              <w:wordWrap/>
              <w:overflowPunct w:val="0"/>
              <w:topLinePunct w:val="0"/>
              <w:autoSpaceDE/>
              <w:autoSpaceDN/>
              <w:bidi w:val="0"/>
              <w:adjustRightInd/>
              <w:snapToGrid/>
              <w:spacing w:line="26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716D3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2852B0A">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BDAAA7E">
            <w:pPr>
              <w:keepNext w:val="0"/>
              <w:keepLines w:val="0"/>
              <w:pageBreakBefore w:val="0"/>
              <w:widowControl w:val="0"/>
              <w:kinsoku/>
              <w:wordWrap/>
              <w:overflowPunct w:val="0"/>
              <w:topLinePunct w:val="0"/>
              <w:autoSpaceDE/>
              <w:autoSpaceDN/>
              <w:bidi w:val="0"/>
              <w:adjustRightInd/>
              <w:snapToGrid/>
              <w:spacing w:line="26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9FBC41B">
            <w:pPr>
              <w:keepNext w:val="0"/>
              <w:keepLines w:val="0"/>
              <w:pageBreakBefore w:val="0"/>
              <w:widowControl w:val="0"/>
              <w:kinsoku/>
              <w:wordWrap/>
              <w:overflowPunct w:val="0"/>
              <w:topLinePunct w:val="0"/>
              <w:autoSpaceDE/>
              <w:autoSpaceDN/>
              <w:bidi w:val="0"/>
              <w:adjustRightInd/>
              <w:snapToGrid/>
              <w:spacing w:line="26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2C0E09B">
            <w:pPr>
              <w:keepNext w:val="0"/>
              <w:keepLines w:val="0"/>
              <w:pageBreakBefore w:val="0"/>
              <w:widowControl w:val="0"/>
              <w:kinsoku/>
              <w:wordWrap/>
              <w:overflowPunct w:val="0"/>
              <w:topLinePunct w:val="0"/>
              <w:autoSpaceDE/>
              <w:autoSpaceDN/>
              <w:bidi w:val="0"/>
              <w:adjustRightInd/>
              <w:snapToGrid/>
              <w:spacing w:line="26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A0B2896">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50498E1E">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185CC15">
            <w:pPr>
              <w:keepNext w:val="0"/>
              <w:keepLines w:val="0"/>
              <w:pageBreakBefore w:val="0"/>
              <w:widowControl w:val="0"/>
              <w:kinsoku/>
              <w:wordWrap/>
              <w:overflowPunct w:val="0"/>
              <w:topLinePunct w:val="0"/>
              <w:autoSpaceDE/>
              <w:autoSpaceDN/>
              <w:bidi w:val="0"/>
              <w:adjustRightInd/>
              <w:snapToGrid/>
              <w:spacing w:line="26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929CF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5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9FE40A0">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3AF667A">
            <w:pPr>
              <w:keepNext w:val="0"/>
              <w:keepLines w:val="0"/>
              <w:pageBreakBefore w:val="0"/>
              <w:widowControl w:val="0"/>
              <w:kinsoku/>
              <w:wordWrap/>
              <w:overflowPunct w:val="0"/>
              <w:topLinePunct w:val="0"/>
              <w:autoSpaceDE/>
              <w:autoSpaceDN/>
              <w:bidi w:val="0"/>
              <w:adjustRightInd/>
              <w:snapToGrid/>
              <w:spacing w:line="26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2A918B4">
            <w:pPr>
              <w:keepNext w:val="0"/>
              <w:keepLines w:val="0"/>
              <w:pageBreakBefore w:val="0"/>
              <w:widowControl w:val="0"/>
              <w:kinsoku/>
              <w:wordWrap/>
              <w:overflowPunct w:val="0"/>
              <w:topLinePunct w:val="0"/>
              <w:autoSpaceDE/>
              <w:autoSpaceDN/>
              <w:bidi w:val="0"/>
              <w:adjustRightInd/>
              <w:snapToGrid/>
              <w:spacing w:line="26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597AFCA">
            <w:pPr>
              <w:keepNext w:val="0"/>
              <w:keepLines w:val="0"/>
              <w:pageBreakBefore w:val="0"/>
              <w:widowControl w:val="0"/>
              <w:kinsoku/>
              <w:wordWrap/>
              <w:overflowPunct w:val="0"/>
              <w:topLinePunct w:val="0"/>
              <w:autoSpaceDE/>
              <w:autoSpaceDN/>
              <w:bidi w:val="0"/>
              <w:adjustRightInd/>
              <w:snapToGrid/>
              <w:spacing w:line="26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462DE4C">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7885CE0F">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spacing w:val="-5"/>
                <w:kern w:val="0"/>
                <w:sz w:val="18"/>
                <w:szCs w:val="18"/>
                <w:lang w:bidi="ar"/>
              </w:rPr>
              <w:t>没有备用主要通风机,或者两台主要通风机不具有同等能力(主要通风机升级改造、更换期间,制定并落实安全技术措施的除外)</w:t>
            </w:r>
            <w:r>
              <w:rPr>
                <w:rFonts w:hint="eastAsia" w:ascii="仿宋_GB2312" w:hAnsi="宋体" w:eastAsia="仿宋_GB2312" w:cs="仿宋_GB2312"/>
                <w:spacing w:val="-5"/>
                <w:kern w:val="0"/>
                <w:sz w:val="18"/>
                <w:szCs w:val="18"/>
                <w:lang w:eastAsia="zh-CN" w:bidi="ar"/>
              </w:rPr>
              <w:t>。</w:t>
            </w:r>
          </w:p>
        </w:tc>
        <w:tc>
          <w:tcPr>
            <w:tcW w:w="2655" w:type="dxa"/>
            <w:tcBorders>
              <w:tl2br w:val="nil"/>
              <w:tr2bl w:val="nil"/>
            </w:tcBorders>
            <w:shd w:val="clear" w:color="auto" w:fill="auto"/>
            <w:tcMar>
              <w:top w:w="15" w:type="dxa"/>
              <w:left w:w="15" w:type="dxa"/>
              <w:right w:w="15" w:type="dxa"/>
            </w:tcMar>
            <w:vAlign w:val="center"/>
          </w:tcPr>
          <w:p w14:paraId="73864131">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pacing w:val="-9"/>
                <w:sz w:val="18"/>
                <w:szCs w:val="18"/>
              </w:rPr>
            </w:pPr>
            <w:r>
              <w:rPr>
                <w:rFonts w:hint="eastAsia" w:ascii="仿宋_GB2312" w:hAnsi="宋体" w:eastAsia="仿宋_GB2312" w:cs="仿宋_GB2312"/>
                <w:spacing w:val="-9"/>
                <w:kern w:val="0"/>
                <w:sz w:val="18"/>
                <w:szCs w:val="18"/>
                <w:lang w:bidi="ar"/>
              </w:rPr>
              <w:t>责令停产整顿，提出整顿的内容、时间等具体要求，处50万元以上100万元以下的罚款；对煤矿企业负责人处3万元以上5万元以下的罚款。</w:t>
            </w:r>
          </w:p>
        </w:tc>
      </w:tr>
      <w:tr w14:paraId="4A6AB6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jc w:val="center"/>
        </w:trPr>
        <w:tc>
          <w:tcPr>
            <w:tcW w:w="418" w:type="dxa"/>
            <w:vMerge w:val="continue"/>
            <w:tcBorders>
              <w:bottom w:val="single" w:color="auto" w:sz="4" w:space="0"/>
              <w:tl2br w:val="nil"/>
              <w:tr2bl w:val="nil"/>
            </w:tcBorders>
            <w:shd w:val="clear" w:color="auto" w:fill="auto"/>
            <w:noWrap/>
            <w:tcMar>
              <w:top w:w="15" w:type="dxa"/>
              <w:left w:w="15" w:type="dxa"/>
              <w:right w:w="15" w:type="dxa"/>
            </w:tcMar>
            <w:vAlign w:val="center"/>
          </w:tcPr>
          <w:p w14:paraId="74D885EB">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bottom w:val="single" w:color="auto" w:sz="4" w:space="0"/>
              <w:tl2br w:val="nil"/>
              <w:tr2bl w:val="nil"/>
            </w:tcBorders>
            <w:shd w:val="clear" w:color="auto" w:fill="auto"/>
            <w:tcMar>
              <w:top w:w="15" w:type="dxa"/>
              <w:left w:w="15" w:type="dxa"/>
              <w:right w:w="15" w:type="dxa"/>
            </w:tcMar>
            <w:vAlign w:val="center"/>
          </w:tcPr>
          <w:p w14:paraId="78D3FA1E">
            <w:pPr>
              <w:keepNext w:val="0"/>
              <w:keepLines w:val="0"/>
              <w:pageBreakBefore w:val="0"/>
              <w:widowControl w:val="0"/>
              <w:kinsoku/>
              <w:wordWrap/>
              <w:overflowPunct w:val="0"/>
              <w:topLinePunct w:val="0"/>
              <w:autoSpaceDE/>
              <w:autoSpaceDN/>
              <w:bidi w:val="0"/>
              <w:adjustRightInd/>
              <w:snapToGrid/>
              <w:spacing w:line="26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BCD5969">
            <w:pPr>
              <w:keepNext w:val="0"/>
              <w:keepLines w:val="0"/>
              <w:pageBreakBefore w:val="0"/>
              <w:widowControl w:val="0"/>
              <w:kinsoku/>
              <w:wordWrap/>
              <w:overflowPunct w:val="0"/>
              <w:topLinePunct w:val="0"/>
              <w:autoSpaceDE/>
              <w:autoSpaceDN/>
              <w:bidi w:val="0"/>
              <w:adjustRightInd/>
              <w:snapToGrid/>
              <w:spacing w:line="260" w:lineRule="exact"/>
              <w:rPr>
                <w:rFonts w:ascii="仿宋_GB2312" w:hAnsi="宋体" w:eastAsia="仿宋_GB2312" w:cs="仿宋_GB2312"/>
                <w:sz w:val="18"/>
                <w:szCs w:val="18"/>
              </w:rPr>
            </w:pPr>
          </w:p>
        </w:tc>
        <w:tc>
          <w:tcPr>
            <w:tcW w:w="4082" w:type="dxa"/>
            <w:vMerge w:val="continue"/>
            <w:tcBorders>
              <w:bottom w:val="single" w:color="auto" w:sz="4" w:space="0"/>
              <w:tl2br w:val="nil"/>
              <w:tr2bl w:val="nil"/>
            </w:tcBorders>
            <w:shd w:val="clear" w:color="auto" w:fill="auto"/>
            <w:tcMar>
              <w:top w:w="15" w:type="dxa"/>
              <w:left w:w="15" w:type="dxa"/>
              <w:right w:w="15" w:type="dxa"/>
            </w:tcMar>
            <w:vAlign w:val="center"/>
          </w:tcPr>
          <w:p w14:paraId="54AAA81F">
            <w:pPr>
              <w:keepNext w:val="0"/>
              <w:keepLines w:val="0"/>
              <w:pageBreakBefore w:val="0"/>
              <w:widowControl w:val="0"/>
              <w:kinsoku/>
              <w:wordWrap/>
              <w:overflowPunct w:val="0"/>
              <w:topLinePunct w:val="0"/>
              <w:autoSpaceDE/>
              <w:autoSpaceDN/>
              <w:bidi w:val="0"/>
              <w:adjustRightInd/>
              <w:snapToGrid/>
              <w:spacing w:line="260" w:lineRule="exact"/>
              <w:rPr>
                <w:rFonts w:ascii="仿宋_GB2312" w:hAnsi="宋体" w:eastAsia="仿宋_GB2312" w:cs="仿宋_GB2312"/>
                <w:sz w:val="18"/>
                <w:szCs w:val="18"/>
              </w:rPr>
            </w:pPr>
          </w:p>
        </w:tc>
        <w:tc>
          <w:tcPr>
            <w:tcW w:w="459" w:type="dxa"/>
            <w:tcBorders>
              <w:bottom w:val="single" w:color="auto" w:sz="4" w:space="0"/>
              <w:tl2br w:val="nil"/>
              <w:tr2bl w:val="nil"/>
            </w:tcBorders>
            <w:shd w:val="clear" w:color="auto" w:fill="auto"/>
            <w:noWrap/>
            <w:tcMar>
              <w:top w:w="15" w:type="dxa"/>
              <w:left w:w="15" w:type="dxa"/>
              <w:right w:w="15" w:type="dxa"/>
            </w:tcMar>
            <w:vAlign w:val="center"/>
          </w:tcPr>
          <w:p w14:paraId="1E204740">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bottom w:val="single" w:color="auto" w:sz="4" w:space="0"/>
              <w:tl2br w:val="nil"/>
              <w:tr2bl w:val="nil"/>
            </w:tcBorders>
            <w:shd w:val="clear" w:color="auto" w:fill="auto"/>
            <w:tcMar>
              <w:top w:w="15" w:type="dxa"/>
              <w:left w:w="15" w:type="dxa"/>
              <w:right w:w="15" w:type="dxa"/>
            </w:tcMar>
            <w:vAlign w:val="center"/>
          </w:tcPr>
          <w:p w14:paraId="64502D56">
            <w:pPr>
              <w:keepNext w:val="0"/>
              <w:keepLines w:val="0"/>
              <w:pageBreakBefore w:val="0"/>
              <w:widowControl w:val="0"/>
              <w:kinsoku/>
              <w:wordWrap/>
              <w:overflowPunct w:val="0"/>
              <w:topLinePunct w:val="0"/>
              <w:autoSpaceDE/>
              <w:autoSpaceDN/>
              <w:bidi w:val="0"/>
              <w:adjustRightInd/>
              <w:snapToGrid/>
              <w:spacing w:line="256" w:lineRule="exact"/>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val="en-US" w:eastAsia="zh-CN" w:bidi="ar"/>
              </w:rPr>
              <w:t>①</w:t>
            </w:r>
            <w:r>
              <w:rPr>
                <w:rFonts w:hint="eastAsia" w:ascii="仿宋_GB2312" w:hAnsi="宋体" w:eastAsia="仿宋_GB2312" w:cs="仿宋_GB2312"/>
                <w:spacing w:val="-5"/>
                <w:kern w:val="0"/>
                <w:sz w:val="18"/>
                <w:szCs w:val="18"/>
                <w:lang w:bidi="ar"/>
              </w:rPr>
              <w:t>未按照设计形成矿井或者采(盘)区通风系统</w:t>
            </w:r>
            <w:r>
              <w:rPr>
                <w:rFonts w:hint="eastAsia" w:ascii="仿宋_GB2312" w:hAnsi="宋体" w:eastAsia="仿宋_GB2312" w:cs="仿宋_GB2312"/>
                <w:spacing w:val="-5"/>
                <w:kern w:val="0"/>
                <w:sz w:val="18"/>
                <w:szCs w:val="18"/>
                <w:lang w:eastAsia="zh-CN" w:bidi="ar"/>
              </w:rPr>
              <w:t>。</w:t>
            </w:r>
          </w:p>
          <w:p w14:paraId="7E7E9B0B">
            <w:pPr>
              <w:keepNext w:val="0"/>
              <w:keepLines w:val="0"/>
              <w:pageBreakBefore w:val="0"/>
              <w:widowControl w:val="0"/>
              <w:kinsoku/>
              <w:wordWrap/>
              <w:overflowPunct w:val="0"/>
              <w:topLinePunct w:val="0"/>
              <w:autoSpaceDE/>
              <w:autoSpaceDN/>
              <w:bidi w:val="0"/>
              <w:adjustRightInd/>
              <w:snapToGrid/>
              <w:spacing w:line="256" w:lineRule="exact"/>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val="en-US" w:eastAsia="zh-CN" w:bidi="ar"/>
              </w:rPr>
              <w:t>②</w:t>
            </w:r>
            <w:r>
              <w:rPr>
                <w:rFonts w:hint="eastAsia" w:ascii="仿宋_GB2312" w:hAnsi="宋体" w:eastAsia="仿宋_GB2312" w:cs="仿宋_GB2312"/>
                <w:spacing w:val="-5"/>
                <w:kern w:val="0"/>
                <w:sz w:val="18"/>
                <w:szCs w:val="18"/>
                <w:lang w:bidi="ar"/>
              </w:rPr>
              <w:t>生产水平或者生产采(盘)区未实现分区通风</w:t>
            </w:r>
            <w:r>
              <w:rPr>
                <w:rFonts w:hint="eastAsia" w:ascii="仿宋_GB2312" w:hAnsi="宋体" w:eastAsia="仿宋_GB2312" w:cs="仿宋_GB2312"/>
                <w:spacing w:val="-5"/>
                <w:kern w:val="0"/>
                <w:sz w:val="18"/>
                <w:szCs w:val="18"/>
                <w:lang w:eastAsia="zh-CN" w:bidi="ar"/>
              </w:rPr>
              <w:t>。</w:t>
            </w:r>
          </w:p>
          <w:p w14:paraId="79DB4A6D">
            <w:pPr>
              <w:keepNext w:val="0"/>
              <w:keepLines w:val="0"/>
              <w:pageBreakBefore w:val="0"/>
              <w:widowControl w:val="0"/>
              <w:kinsoku/>
              <w:wordWrap/>
              <w:overflowPunct w:val="0"/>
              <w:topLinePunct w:val="0"/>
              <w:autoSpaceDE/>
              <w:autoSpaceDN/>
              <w:bidi w:val="0"/>
              <w:adjustRightInd/>
              <w:snapToGrid/>
              <w:spacing w:line="256" w:lineRule="exact"/>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val="en-US" w:eastAsia="zh-CN" w:bidi="ar"/>
              </w:rPr>
              <w:t>③</w:t>
            </w:r>
            <w:r>
              <w:rPr>
                <w:rFonts w:hint="eastAsia" w:ascii="仿宋_GB2312" w:hAnsi="宋体" w:eastAsia="仿宋_GB2312" w:cs="仿宋_GB2312"/>
                <w:spacing w:val="-5"/>
                <w:kern w:val="0"/>
                <w:sz w:val="18"/>
                <w:szCs w:val="18"/>
                <w:lang w:bidi="ar"/>
              </w:rPr>
              <w:t>高瓦斯、煤(岩)与瓦斯(二氧化碳)突出矿井的煤巷、半煤岩巷和有瓦斯涌出的岩巷掘进工作面采用局部通风机通风时,不能实现双风机、双电源且自动切换,或者出现局部通风机循环风</w:t>
            </w:r>
            <w:r>
              <w:rPr>
                <w:rFonts w:hint="eastAsia" w:ascii="仿宋_GB2312" w:hAnsi="宋体" w:eastAsia="仿宋_GB2312" w:cs="仿宋_GB2312"/>
                <w:spacing w:val="-5"/>
                <w:kern w:val="0"/>
                <w:sz w:val="18"/>
                <w:szCs w:val="18"/>
                <w:lang w:eastAsia="zh-CN" w:bidi="ar"/>
              </w:rPr>
              <w:t>。</w:t>
            </w:r>
          </w:p>
          <w:p w14:paraId="0B0425A8">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pacing w:val="-6"/>
                <w:sz w:val="18"/>
                <w:szCs w:val="18"/>
              </w:rPr>
            </w:pPr>
          </w:p>
        </w:tc>
        <w:tc>
          <w:tcPr>
            <w:tcW w:w="2655" w:type="dxa"/>
            <w:tcBorders>
              <w:bottom w:val="single" w:color="auto" w:sz="4" w:space="0"/>
              <w:tl2br w:val="nil"/>
              <w:tr2bl w:val="nil"/>
            </w:tcBorders>
            <w:shd w:val="clear" w:color="auto" w:fill="auto"/>
            <w:tcMar>
              <w:top w:w="15" w:type="dxa"/>
              <w:left w:w="15" w:type="dxa"/>
              <w:right w:w="15" w:type="dxa"/>
            </w:tcMar>
            <w:vAlign w:val="center"/>
          </w:tcPr>
          <w:p w14:paraId="58E848E5">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责令停产整顿，提出整顿的内容、时间等具体要求，处100万元以上150万元以下的罚款；对煤矿企业负责人处5万元以上10万元以下的罚款。</w:t>
            </w:r>
          </w:p>
        </w:tc>
      </w:tr>
      <w:tr w14:paraId="380232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 w:hRule="atLeast"/>
          <w:jc w:val="center"/>
        </w:trPr>
        <w:tc>
          <w:tcPr>
            <w:tcW w:w="418" w:type="dxa"/>
            <w:tcBorders>
              <w:top w:val="single" w:color="auto" w:sz="4" w:space="0"/>
              <w:tl2br w:val="nil"/>
              <w:tr2bl w:val="nil"/>
            </w:tcBorders>
            <w:shd w:val="clear" w:color="auto" w:fill="auto"/>
            <w:noWrap/>
            <w:tcMar>
              <w:top w:w="15" w:type="dxa"/>
              <w:left w:w="15" w:type="dxa"/>
              <w:right w:w="15" w:type="dxa"/>
            </w:tcMar>
            <w:vAlign w:val="center"/>
          </w:tcPr>
          <w:p w14:paraId="51BDC987">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textAlignment w:val="center"/>
              <w:rPr>
                <w:rFonts w:ascii="仿宋_GB2312" w:hAnsi="宋体" w:eastAsia="仿宋_GB2312" w:cs="仿宋_GB2312"/>
                <w:kern w:val="2"/>
                <w:sz w:val="18"/>
                <w:szCs w:val="18"/>
                <w:lang w:val="en-US" w:eastAsia="zh-CN" w:bidi="ar-SA"/>
              </w:rPr>
            </w:pPr>
          </w:p>
        </w:tc>
        <w:tc>
          <w:tcPr>
            <w:tcW w:w="1005" w:type="dxa"/>
            <w:tcBorders>
              <w:top w:val="single" w:color="auto" w:sz="4" w:space="0"/>
              <w:tl2br w:val="nil"/>
              <w:tr2bl w:val="nil"/>
            </w:tcBorders>
            <w:shd w:val="clear" w:color="auto" w:fill="auto"/>
            <w:tcMar>
              <w:top w:w="15" w:type="dxa"/>
              <w:left w:w="15" w:type="dxa"/>
              <w:right w:w="15" w:type="dxa"/>
            </w:tcMar>
            <w:vAlign w:val="center"/>
          </w:tcPr>
          <w:p w14:paraId="434B5591">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kern w:val="2"/>
                <w:sz w:val="18"/>
                <w:szCs w:val="18"/>
                <w:lang w:val="en-US" w:eastAsia="zh-CN" w:bidi="ar-SA"/>
              </w:rPr>
            </w:pPr>
          </w:p>
        </w:tc>
        <w:tc>
          <w:tcPr>
            <w:tcW w:w="3667" w:type="dxa"/>
            <w:vMerge w:val="continue"/>
            <w:tcBorders>
              <w:tl2br w:val="nil"/>
              <w:tr2bl w:val="nil"/>
            </w:tcBorders>
            <w:shd w:val="clear" w:color="auto" w:fill="auto"/>
            <w:tcMar>
              <w:top w:w="15" w:type="dxa"/>
              <w:left w:w="15" w:type="dxa"/>
              <w:right w:w="15" w:type="dxa"/>
            </w:tcMar>
            <w:vAlign w:val="center"/>
          </w:tcPr>
          <w:p w14:paraId="4E52FE88">
            <w:pPr>
              <w:keepNext w:val="0"/>
              <w:keepLines w:val="0"/>
              <w:pageBreakBefore w:val="0"/>
              <w:widowControl w:val="0"/>
              <w:kinsoku/>
              <w:wordWrap/>
              <w:overflowPunct w:val="0"/>
              <w:topLinePunct w:val="0"/>
              <w:autoSpaceDE/>
              <w:autoSpaceDN/>
              <w:bidi w:val="0"/>
              <w:adjustRightInd/>
              <w:snapToGrid/>
              <w:spacing w:line="256" w:lineRule="exact"/>
              <w:textAlignment w:val="center"/>
              <w:rPr>
                <w:rFonts w:hint="eastAsia" w:ascii="仿宋_GB2312" w:hAnsi="宋体" w:eastAsia="仿宋_GB2312" w:cs="仿宋_GB2312"/>
                <w:kern w:val="0"/>
                <w:sz w:val="18"/>
                <w:szCs w:val="18"/>
                <w:lang w:val="en-US" w:eastAsia="zh-CN" w:bidi="ar"/>
              </w:rPr>
            </w:pPr>
          </w:p>
        </w:tc>
        <w:tc>
          <w:tcPr>
            <w:tcW w:w="4082" w:type="dxa"/>
            <w:tcBorders>
              <w:top w:val="single" w:color="auto" w:sz="4" w:space="0"/>
              <w:tl2br w:val="nil"/>
              <w:tr2bl w:val="nil"/>
            </w:tcBorders>
            <w:shd w:val="clear" w:color="auto" w:fill="auto"/>
            <w:tcMar>
              <w:top w:w="15" w:type="dxa"/>
              <w:left w:w="15" w:type="dxa"/>
              <w:right w:w="15" w:type="dxa"/>
            </w:tcMar>
            <w:vAlign w:val="center"/>
          </w:tcPr>
          <w:p w14:paraId="4C69C679">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kern w:val="2"/>
                <w:sz w:val="18"/>
                <w:szCs w:val="18"/>
                <w:lang w:val="en-US" w:eastAsia="zh-CN" w:bidi="ar-SA"/>
              </w:rPr>
            </w:pPr>
          </w:p>
        </w:tc>
        <w:tc>
          <w:tcPr>
            <w:tcW w:w="459" w:type="dxa"/>
            <w:tcBorders>
              <w:top w:val="single" w:color="auto" w:sz="4" w:space="0"/>
              <w:tl2br w:val="nil"/>
              <w:tr2bl w:val="nil"/>
            </w:tcBorders>
            <w:shd w:val="clear" w:color="auto" w:fill="auto"/>
            <w:noWrap/>
            <w:tcMar>
              <w:top w:w="15" w:type="dxa"/>
              <w:left w:w="15" w:type="dxa"/>
              <w:right w:w="15" w:type="dxa"/>
            </w:tcMar>
            <w:vAlign w:val="center"/>
          </w:tcPr>
          <w:p w14:paraId="7B354731">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op w:val="single" w:color="auto" w:sz="4" w:space="0"/>
              <w:tl2br w:val="nil"/>
              <w:tr2bl w:val="nil"/>
            </w:tcBorders>
            <w:shd w:val="clear" w:color="auto" w:fill="auto"/>
            <w:tcMar>
              <w:top w:w="15" w:type="dxa"/>
              <w:left w:w="15" w:type="dxa"/>
              <w:right w:w="15" w:type="dxa"/>
            </w:tcMar>
            <w:vAlign w:val="center"/>
          </w:tcPr>
          <w:p w14:paraId="04AD83E9">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hint="eastAsia" w:ascii="仿宋_GB2312" w:hAnsi="宋体" w:eastAsia="仿宋_GB2312" w:cs="仿宋_GB2312"/>
                <w:spacing w:val="-6"/>
                <w:kern w:val="0"/>
                <w:sz w:val="18"/>
                <w:szCs w:val="18"/>
                <w:lang w:bidi="ar"/>
              </w:rPr>
            </w:pPr>
            <w:r>
              <w:rPr>
                <w:rFonts w:hint="eastAsia" w:ascii="仿宋_GB2312" w:hAnsi="宋体" w:eastAsia="仿宋_GB2312" w:cs="仿宋_GB2312"/>
                <w:kern w:val="0"/>
                <w:sz w:val="18"/>
                <w:szCs w:val="18"/>
                <w:lang w:val="en-US" w:eastAsia="zh-CN" w:bidi="ar"/>
              </w:rPr>
              <w:t>符合</w:t>
            </w:r>
            <w:r>
              <w:rPr>
                <w:rFonts w:hint="eastAsia" w:ascii="仿宋_GB2312" w:hAnsi="宋体" w:eastAsia="仿宋_GB2312" w:cs="仿宋_GB2312"/>
                <w:kern w:val="0"/>
                <w:sz w:val="18"/>
                <w:szCs w:val="18"/>
                <w:lang w:bidi="ar"/>
              </w:rPr>
              <w:t>《煤矿重大事故隐患判定标准》第</w:t>
            </w:r>
            <w:r>
              <w:rPr>
                <w:rFonts w:hint="eastAsia" w:ascii="仿宋_GB2312" w:hAnsi="宋体" w:eastAsia="仿宋_GB2312" w:cs="仿宋_GB2312"/>
                <w:kern w:val="0"/>
                <w:sz w:val="18"/>
                <w:szCs w:val="18"/>
                <w:lang w:val="en-US" w:eastAsia="zh-CN" w:bidi="ar"/>
              </w:rPr>
              <w:t>八</w:t>
            </w:r>
            <w:r>
              <w:rPr>
                <w:rFonts w:hint="eastAsia" w:ascii="仿宋_GB2312" w:hAnsi="宋体" w:eastAsia="仿宋_GB2312" w:cs="仿宋_GB2312"/>
                <w:kern w:val="0"/>
                <w:sz w:val="18"/>
                <w:szCs w:val="18"/>
                <w:lang w:bidi="ar"/>
              </w:rPr>
              <w:t>条</w:t>
            </w:r>
            <w:r>
              <w:rPr>
                <w:rFonts w:hint="eastAsia" w:ascii="仿宋_GB2312" w:hAnsi="宋体" w:eastAsia="仿宋_GB2312" w:cs="仿宋_GB2312"/>
                <w:kern w:val="0"/>
                <w:sz w:val="18"/>
                <w:szCs w:val="18"/>
                <w:lang w:val="en-US" w:eastAsia="zh-CN" w:bidi="ar"/>
              </w:rPr>
              <w:t>第一项、第三项、第六至十三项、第十五至十七项情形的。</w:t>
            </w:r>
          </w:p>
        </w:tc>
        <w:tc>
          <w:tcPr>
            <w:tcW w:w="2655" w:type="dxa"/>
            <w:tcBorders>
              <w:top w:val="single" w:color="auto" w:sz="4" w:space="0"/>
              <w:tl2br w:val="nil"/>
              <w:tr2bl w:val="nil"/>
            </w:tcBorders>
            <w:shd w:val="clear" w:color="auto" w:fill="auto"/>
            <w:tcMar>
              <w:top w:w="15" w:type="dxa"/>
              <w:left w:w="15" w:type="dxa"/>
              <w:right w:w="15" w:type="dxa"/>
            </w:tcMar>
            <w:vAlign w:val="center"/>
          </w:tcPr>
          <w:p w14:paraId="59A0EE01">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责令停产整顿，提出整顿的内容、时间等具体要求，处150万元以上200万元以下的罚款；对煤矿企业负责人处10万元以上15万元以下的罚款。</w:t>
            </w:r>
          </w:p>
        </w:tc>
      </w:tr>
      <w:tr w14:paraId="20D3C7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69A8196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z w:val="18"/>
                <w:szCs w:val="18"/>
                <w:lang w:eastAsia="zh-CN"/>
              </w:rPr>
            </w:pPr>
            <w:r>
              <w:rPr>
                <w:rFonts w:hint="eastAsia" w:ascii="仿宋_GB2312" w:hAnsi="宋体" w:eastAsia="仿宋_GB2312" w:cs="仿宋_GB2312"/>
                <w:kern w:val="0"/>
                <w:sz w:val="18"/>
                <w:szCs w:val="18"/>
                <w:lang w:bidi="ar"/>
              </w:rPr>
              <w:t>4</w:t>
            </w:r>
            <w:del w:id="1449" w:author="LV" w:date="2026-07-14T16:21:17Z">
              <w:r>
                <w:rPr>
                  <w:rFonts w:hint="default" w:ascii="仿宋_GB2312" w:hAnsi="宋体" w:eastAsia="仿宋_GB2312" w:cs="仿宋_GB2312"/>
                  <w:kern w:val="0"/>
                  <w:sz w:val="18"/>
                  <w:szCs w:val="18"/>
                  <w:lang w:val="en-US" w:bidi="ar"/>
                </w:rPr>
                <w:delText>0</w:delText>
              </w:r>
            </w:del>
            <w:ins w:id="1450" w:author="LV" w:date="2026-07-14T16:21:17Z">
              <w:r>
                <w:rPr>
                  <w:rFonts w:hint="eastAsia" w:ascii="仿宋_GB2312" w:hAnsi="宋体" w:eastAsia="仿宋_GB2312" w:cs="仿宋_GB2312"/>
                  <w:kern w:val="0"/>
                  <w:sz w:val="18"/>
                  <w:szCs w:val="18"/>
                  <w:lang w:val="en-US" w:eastAsia="zh-CN" w:bidi="ar"/>
                </w:rPr>
                <w:t>2</w:t>
              </w:r>
            </w:ins>
          </w:p>
        </w:tc>
        <w:tc>
          <w:tcPr>
            <w:tcW w:w="1005" w:type="dxa"/>
            <w:vMerge w:val="restart"/>
            <w:tcBorders>
              <w:tl2br w:val="nil"/>
              <w:tr2bl w:val="nil"/>
            </w:tcBorders>
            <w:shd w:val="clear" w:color="auto" w:fill="auto"/>
            <w:tcMar>
              <w:top w:w="15" w:type="dxa"/>
              <w:left w:w="15" w:type="dxa"/>
              <w:right w:w="15" w:type="dxa"/>
            </w:tcMar>
            <w:vAlign w:val="center"/>
          </w:tcPr>
          <w:p w14:paraId="06ED3C7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超层、越界开采</w:t>
            </w:r>
            <w:r>
              <w:rPr>
                <w:rFonts w:hint="eastAsia" w:ascii="仿宋_GB2312" w:hAnsi="宋体" w:eastAsia="仿宋_GB2312" w:cs="仿宋_GB2312"/>
                <w:kern w:val="0"/>
                <w:sz w:val="18"/>
                <w:szCs w:val="18"/>
                <w:lang w:val="en-US" w:eastAsia="zh-CN" w:bidi="ar"/>
              </w:rPr>
              <w:t>的</w:t>
            </w:r>
          </w:p>
        </w:tc>
        <w:tc>
          <w:tcPr>
            <w:tcW w:w="3667" w:type="dxa"/>
            <w:vMerge w:val="restart"/>
            <w:tcBorders>
              <w:tl2br w:val="nil"/>
              <w:tr2bl w:val="nil"/>
            </w:tcBorders>
            <w:shd w:val="clear" w:color="auto" w:fill="auto"/>
            <w:tcMar>
              <w:top w:w="15" w:type="dxa"/>
              <w:left w:w="15" w:type="dxa"/>
              <w:right w:w="15" w:type="dxa"/>
            </w:tcMar>
            <w:vAlign w:val="center"/>
          </w:tcPr>
          <w:p w14:paraId="18959A8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《煤矿安全生产条例》第三十六条第六项  煤矿企业有下列情形之一的，属于重大事故隐患，应当立即停止受影响区域生产、建设，并及时消除事故隐患：（六）超层、越界开采的；</w:t>
            </w:r>
          </w:p>
          <w:p w14:paraId="08D593D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《煤矿重大事故隐患判定标准》第九条</w:t>
            </w:r>
            <w:r>
              <w:rPr>
                <w:rFonts w:ascii="仿宋_GB2312" w:hAnsi="宋体" w:eastAsia="仿宋_GB2312" w:cs="仿宋_GB2312"/>
                <w:kern w:val="0"/>
                <w:sz w:val="18"/>
                <w:szCs w:val="18"/>
                <w:lang w:bidi="ar"/>
              </w:rPr>
              <w:t xml:space="preserve"> </w:t>
            </w:r>
            <w:r>
              <w:rPr>
                <w:rFonts w:hint="eastAsia" w:ascii="仿宋_GB2312" w:hAnsi="宋体" w:eastAsia="仿宋_GB2312" w:cs="仿宋_GB2312"/>
                <w:kern w:val="0"/>
                <w:sz w:val="18"/>
                <w:szCs w:val="18"/>
                <w:lang w:bidi="ar"/>
              </w:rPr>
              <w:t>“超层、越界开采”重大事故隐患，是指有下列情形之一的：</w:t>
            </w:r>
          </w:p>
          <w:p w14:paraId="732C7EE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（一）超出采矿许可证载明的开采煤层层位进行开采。</w:t>
            </w:r>
          </w:p>
          <w:p w14:paraId="7EE1C3B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（二）超出采矿许可证载明的坐标控制范围或者标高进行采煤 (剥离)。</w:t>
            </w:r>
          </w:p>
          <w:p w14:paraId="35A913C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（三）未经设计、安全论证和审批，探巷或者采掘工程直接进入《煤矿安全规程》和《建筑物、水体、铁路及主要井巷煤柱留设与压煤开采规范》规定留设的安全煤柱，或者以其他形式 (经设计、审批的钻探工程除外) 对安全煤柱造成破坏。</w:t>
            </w:r>
          </w:p>
          <w:p w14:paraId="0912F8A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p>
        </w:tc>
        <w:tc>
          <w:tcPr>
            <w:tcW w:w="4082" w:type="dxa"/>
            <w:vMerge w:val="restart"/>
            <w:tcBorders>
              <w:tl2br w:val="nil"/>
              <w:tr2bl w:val="nil"/>
            </w:tcBorders>
            <w:shd w:val="clear" w:color="auto" w:fill="auto"/>
            <w:tcMar>
              <w:top w:w="15" w:type="dxa"/>
              <w:left w:w="15" w:type="dxa"/>
              <w:right w:w="15" w:type="dxa"/>
            </w:tcMar>
            <w:vAlign w:val="center"/>
          </w:tcPr>
          <w:p w14:paraId="4D6C72A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《煤矿安全生产条例》第六十四条  对存在重大事故隐患仍然进行生产的煤矿企业，责令停产整顿，明确整顿的内容、时间等具体要求，并处50万元以上200万元以下的罚款；对煤矿企业主要负责人处3万元以上15万元以下的罚款。</w:t>
            </w:r>
          </w:p>
        </w:tc>
        <w:tc>
          <w:tcPr>
            <w:tcW w:w="459" w:type="dxa"/>
            <w:tcBorders>
              <w:tl2br w:val="nil"/>
              <w:tr2bl w:val="nil"/>
            </w:tcBorders>
            <w:shd w:val="clear" w:color="auto" w:fill="auto"/>
            <w:noWrap/>
            <w:tcMar>
              <w:top w:w="15" w:type="dxa"/>
              <w:left w:w="15" w:type="dxa"/>
              <w:right w:w="15" w:type="dxa"/>
            </w:tcMar>
            <w:vAlign w:val="center"/>
          </w:tcPr>
          <w:p w14:paraId="42DB478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68F87E0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28D9F44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50506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5D6B44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0B1737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4D09AA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EFC301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A62E81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4751E61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0E77F9C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50A12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30A7F2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1CA018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4D9BB4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3E6E60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9284FF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52367F9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621956A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4D9EB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1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7185E7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B9E6C1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C89D64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52B5BA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3A94F6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5BB3FFA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超出采矿许可证载明的开采煤层层位</w:t>
            </w:r>
            <w:r>
              <w:rPr>
                <w:rFonts w:hint="eastAsia" w:ascii="仿宋_GB2312" w:hAnsi="宋体" w:eastAsia="仿宋_GB2312" w:cs="仿宋_GB2312"/>
                <w:kern w:val="0"/>
                <w:sz w:val="18"/>
                <w:szCs w:val="18"/>
                <w:lang w:val="en-US" w:eastAsia="zh-CN" w:bidi="ar"/>
              </w:rPr>
              <w:t>或者</w:t>
            </w:r>
            <w:r>
              <w:rPr>
                <w:rFonts w:hint="eastAsia" w:ascii="仿宋_GB2312" w:hAnsi="宋体" w:eastAsia="仿宋_GB2312" w:cs="仿宋_GB2312"/>
                <w:kern w:val="0"/>
                <w:sz w:val="18"/>
                <w:szCs w:val="18"/>
                <w:lang w:bidi="ar"/>
              </w:rPr>
              <w:t>坐标控制范围或者标高进行采煤 (剥离)，没有违法所得或违法所得在10万元以下的。</w:t>
            </w:r>
          </w:p>
        </w:tc>
        <w:tc>
          <w:tcPr>
            <w:tcW w:w="2655" w:type="dxa"/>
            <w:tcBorders>
              <w:tl2br w:val="nil"/>
              <w:tr2bl w:val="nil"/>
            </w:tcBorders>
            <w:shd w:val="clear" w:color="auto" w:fill="auto"/>
            <w:tcMar>
              <w:top w:w="15" w:type="dxa"/>
              <w:left w:w="15" w:type="dxa"/>
              <w:right w:w="15" w:type="dxa"/>
            </w:tcMar>
            <w:vAlign w:val="center"/>
          </w:tcPr>
          <w:p w14:paraId="6399A93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责令停产整顿，提出整顿的内容、时间等具体要求，处50万元以上100万元以下的罚款；对煤矿企业负责人处3万元以上5万元以下的罚款。</w:t>
            </w:r>
          </w:p>
        </w:tc>
      </w:tr>
      <w:tr w14:paraId="3A9A1D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16" w:hRule="atLeast"/>
          <w:jc w:val="center"/>
        </w:trPr>
        <w:tc>
          <w:tcPr>
            <w:tcW w:w="418" w:type="dxa"/>
            <w:vMerge w:val="continue"/>
            <w:tcBorders>
              <w:bottom w:val="single" w:color="auto" w:sz="4" w:space="0"/>
              <w:tl2br w:val="nil"/>
              <w:tr2bl w:val="nil"/>
            </w:tcBorders>
            <w:shd w:val="clear" w:color="auto" w:fill="auto"/>
            <w:noWrap/>
            <w:tcMar>
              <w:top w:w="15" w:type="dxa"/>
              <w:left w:w="15" w:type="dxa"/>
              <w:right w:w="15" w:type="dxa"/>
            </w:tcMar>
            <w:vAlign w:val="center"/>
          </w:tcPr>
          <w:p w14:paraId="200BC0C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bottom w:val="single" w:color="auto" w:sz="4" w:space="0"/>
              <w:tl2br w:val="nil"/>
              <w:tr2bl w:val="nil"/>
            </w:tcBorders>
            <w:shd w:val="clear" w:color="auto" w:fill="auto"/>
            <w:tcMar>
              <w:top w:w="15" w:type="dxa"/>
              <w:left w:w="15" w:type="dxa"/>
              <w:right w:w="15" w:type="dxa"/>
            </w:tcMar>
            <w:vAlign w:val="center"/>
          </w:tcPr>
          <w:p w14:paraId="756F220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bottom w:val="single" w:color="auto" w:sz="4" w:space="0"/>
              <w:tl2br w:val="nil"/>
              <w:tr2bl w:val="nil"/>
            </w:tcBorders>
            <w:shd w:val="clear" w:color="auto" w:fill="auto"/>
            <w:tcMar>
              <w:top w:w="15" w:type="dxa"/>
              <w:left w:w="15" w:type="dxa"/>
              <w:right w:w="15" w:type="dxa"/>
            </w:tcMar>
            <w:vAlign w:val="center"/>
          </w:tcPr>
          <w:p w14:paraId="736168E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bottom w:val="single" w:color="auto" w:sz="4" w:space="0"/>
              <w:tl2br w:val="nil"/>
              <w:tr2bl w:val="nil"/>
            </w:tcBorders>
            <w:shd w:val="clear" w:color="auto" w:fill="auto"/>
            <w:tcMar>
              <w:top w:w="15" w:type="dxa"/>
              <w:left w:w="15" w:type="dxa"/>
              <w:right w:w="15" w:type="dxa"/>
            </w:tcMar>
            <w:vAlign w:val="center"/>
          </w:tcPr>
          <w:p w14:paraId="799E557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bottom w:val="single" w:color="auto" w:sz="4" w:space="0"/>
              <w:tl2br w:val="nil"/>
              <w:tr2bl w:val="nil"/>
            </w:tcBorders>
            <w:shd w:val="clear" w:color="auto" w:fill="auto"/>
            <w:noWrap/>
            <w:tcMar>
              <w:top w:w="15" w:type="dxa"/>
              <w:left w:w="15" w:type="dxa"/>
              <w:right w:w="15" w:type="dxa"/>
            </w:tcMar>
            <w:vAlign w:val="center"/>
          </w:tcPr>
          <w:p w14:paraId="3F88B0E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bottom w:val="single" w:color="auto" w:sz="4" w:space="0"/>
              <w:tl2br w:val="nil"/>
              <w:tr2bl w:val="nil"/>
            </w:tcBorders>
            <w:shd w:val="clear" w:color="auto" w:fill="auto"/>
            <w:tcMar>
              <w:top w:w="15" w:type="dxa"/>
              <w:left w:w="15" w:type="dxa"/>
              <w:right w:w="15" w:type="dxa"/>
            </w:tcMar>
            <w:vAlign w:val="center"/>
          </w:tcPr>
          <w:p w14:paraId="1360992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pacing w:val="3"/>
                <w:sz w:val="18"/>
                <w:szCs w:val="18"/>
              </w:rPr>
            </w:pPr>
            <w:r>
              <w:rPr>
                <w:rFonts w:hint="eastAsia" w:ascii="仿宋_GB2312" w:hAnsi="宋体" w:eastAsia="仿宋_GB2312" w:cs="仿宋_GB2312"/>
                <w:kern w:val="0"/>
                <w:sz w:val="18"/>
                <w:szCs w:val="18"/>
                <w:lang w:bidi="ar"/>
              </w:rPr>
              <w:t>超出采矿许可证载明的开采煤层层位</w:t>
            </w:r>
            <w:r>
              <w:rPr>
                <w:rFonts w:hint="eastAsia" w:ascii="仿宋_GB2312" w:hAnsi="宋体" w:eastAsia="仿宋_GB2312" w:cs="仿宋_GB2312"/>
                <w:kern w:val="0"/>
                <w:sz w:val="18"/>
                <w:szCs w:val="18"/>
                <w:lang w:val="en-US" w:eastAsia="zh-CN" w:bidi="ar"/>
              </w:rPr>
              <w:t>或者</w:t>
            </w:r>
            <w:r>
              <w:rPr>
                <w:rFonts w:hint="eastAsia" w:ascii="仿宋_GB2312" w:hAnsi="宋体" w:eastAsia="仿宋_GB2312" w:cs="仿宋_GB2312"/>
                <w:kern w:val="0"/>
                <w:sz w:val="18"/>
                <w:szCs w:val="18"/>
                <w:lang w:bidi="ar"/>
              </w:rPr>
              <w:t>坐标控制范围或者标高进行采煤 (剥离)，没有违法所得或违法所得在10万元以</w:t>
            </w:r>
            <w:r>
              <w:rPr>
                <w:rFonts w:hint="eastAsia" w:ascii="仿宋_GB2312" w:hAnsi="宋体" w:eastAsia="仿宋_GB2312" w:cs="仿宋_GB2312"/>
                <w:kern w:val="0"/>
                <w:sz w:val="18"/>
                <w:szCs w:val="18"/>
                <w:lang w:val="en-US" w:eastAsia="zh-CN" w:bidi="ar"/>
              </w:rPr>
              <w:t>上50万元以下</w:t>
            </w:r>
            <w:r>
              <w:rPr>
                <w:rFonts w:hint="eastAsia" w:ascii="仿宋_GB2312" w:hAnsi="宋体" w:eastAsia="仿宋_GB2312" w:cs="仿宋_GB2312"/>
                <w:kern w:val="0"/>
                <w:sz w:val="18"/>
                <w:szCs w:val="18"/>
                <w:lang w:bidi="ar"/>
              </w:rPr>
              <w:t>的。</w:t>
            </w:r>
          </w:p>
        </w:tc>
        <w:tc>
          <w:tcPr>
            <w:tcW w:w="2655" w:type="dxa"/>
            <w:tcBorders>
              <w:bottom w:val="single" w:color="auto" w:sz="4" w:space="0"/>
              <w:tl2br w:val="nil"/>
              <w:tr2bl w:val="nil"/>
            </w:tcBorders>
            <w:shd w:val="clear" w:color="auto" w:fill="auto"/>
            <w:tcMar>
              <w:top w:w="15" w:type="dxa"/>
              <w:left w:w="15" w:type="dxa"/>
              <w:right w:w="15" w:type="dxa"/>
            </w:tcMar>
            <w:vAlign w:val="center"/>
          </w:tcPr>
          <w:p w14:paraId="60DD78E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责令停产整顿，提出整顿的内容、时间等具体要求，处100万元以上150万元以下的罚款；对煤矿企业负责人处5万元以上10万元以下的罚款。</w:t>
            </w:r>
          </w:p>
        </w:tc>
      </w:tr>
      <w:tr w14:paraId="2C477F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51" w:hRule="atLeast"/>
          <w:jc w:val="center"/>
        </w:trPr>
        <w:tc>
          <w:tcPr>
            <w:tcW w:w="418" w:type="dxa"/>
            <w:tcBorders>
              <w:top w:val="single" w:color="auto" w:sz="4" w:space="0"/>
              <w:tl2br w:val="nil"/>
              <w:tr2bl w:val="nil"/>
            </w:tcBorders>
            <w:shd w:val="clear" w:color="auto" w:fill="auto"/>
            <w:noWrap/>
            <w:tcMar>
              <w:top w:w="15" w:type="dxa"/>
              <w:left w:w="15" w:type="dxa"/>
              <w:right w:w="15" w:type="dxa"/>
            </w:tcMar>
            <w:vAlign w:val="center"/>
          </w:tcPr>
          <w:p w14:paraId="15AE188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4</w:t>
            </w:r>
            <w:del w:id="1451" w:author="LV" w:date="2026-07-14T16:21:31Z">
              <w:r>
                <w:rPr>
                  <w:rFonts w:hint="default" w:ascii="仿宋_GB2312" w:hAnsi="宋体" w:eastAsia="仿宋_GB2312" w:cs="仿宋_GB2312"/>
                  <w:kern w:val="0"/>
                  <w:sz w:val="18"/>
                  <w:szCs w:val="18"/>
                  <w:lang w:val="en-US" w:bidi="ar"/>
                </w:rPr>
                <w:delText>0</w:delText>
              </w:r>
            </w:del>
            <w:ins w:id="1452" w:author="LV" w:date="2026-07-14T16:21:31Z">
              <w:r>
                <w:rPr>
                  <w:rFonts w:hint="eastAsia" w:ascii="仿宋_GB2312" w:hAnsi="宋体" w:eastAsia="仿宋_GB2312" w:cs="仿宋_GB2312"/>
                  <w:kern w:val="0"/>
                  <w:sz w:val="18"/>
                  <w:szCs w:val="18"/>
                  <w:lang w:val="en-US" w:eastAsia="zh-CN" w:bidi="ar"/>
                </w:rPr>
                <w:t>2</w:t>
              </w:r>
            </w:ins>
          </w:p>
        </w:tc>
        <w:tc>
          <w:tcPr>
            <w:tcW w:w="1005" w:type="dxa"/>
            <w:tcBorders>
              <w:top w:val="single" w:color="auto" w:sz="4" w:space="0"/>
              <w:tl2br w:val="nil"/>
              <w:tr2bl w:val="nil"/>
            </w:tcBorders>
            <w:shd w:val="clear" w:color="auto" w:fill="auto"/>
            <w:tcMar>
              <w:top w:w="15" w:type="dxa"/>
              <w:left w:w="15" w:type="dxa"/>
              <w:right w:w="15" w:type="dxa"/>
            </w:tcMar>
            <w:vAlign w:val="center"/>
          </w:tcPr>
          <w:p w14:paraId="26AD903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p>
        </w:tc>
        <w:tc>
          <w:tcPr>
            <w:tcW w:w="3667" w:type="dxa"/>
            <w:tcBorders>
              <w:top w:val="single" w:color="auto" w:sz="4" w:space="0"/>
              <w:tl2br w:val="nil"/>
              <w:tr2bl w:val="nil"/>
            </w:tcBorders>
            <w:shd w:val="clear" w:color="auto" w:fill="auto"/>
            <w:tcMar>
              <w:top w:w="15" w:type="dxa"/>
              <w:left w:w="15" w:type="dxa"/>
              <w:right w:w="15" w:type="dxa"/>
            </w:tcMar>
            <w:vAlign w:val="center"/>
          </w:tcPr>
          <w:p w14:paraId="4EFCCEF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p>
        </w:tc>
        <w:tc>
          <w:tcPr>
            <w:tcW w:w="4082" w:type="dxa"/>
            <w:tcBorders>
              <w:top w:val="single" w:color="auto" w:sz="4" w:space="0"/>
              <w:tl2br w:val="nil"/>
              <w:tr2bl w:val="nil"/>
            </w:tcBorders>
            <w:shd w:val="clear" w:color="auto" w:fill="auto"/>
            <w:tcMar>
              <w:top w:w="15" w:type="dxa"/>
              <w:left w:w="15" w:type="dxa"/>
              <w:right w:w="15" w:type="dxa"/>
            </w:tcMar>
            <w:vAlign w:val="center"/>
          </w:tcPr>
          <w:p w14:paraId="4EA0939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p>
        </w:tc>
        <w:tc>
          <w:tcPr>
            <w:tcW w:w="459" w:type="dxa"/>
            <w:tcBorders>
              <w:top w:val="single" w:color="auto" w:sz="4" w:space="0"/>
              <w:tl2br w:val="nil"/>
              <w:tr2bl w:val="nil"/>
            </w:tcBorders>
            <w:shd w:val="clear" w:color="auto" w:fill="auto"/>
            <w:noWrap/>
            <w:tcMar>
              <w:top w:w="15" w:type="dxa"/>
              <w:left w:w="15" w:type="dxa"/>
              <w:right w:w="15" w:type="dxa"/>
            </w:tcMar>
            <w:vAlign w:val="center"/>
          </w:tcPr>
          <w:p w14:paraId="0DFCF90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op w:val="single" w:color="auto" w:sz="4" w:space="0"/>
              <w:tl2br w:val="nil"/>
              <w:tr2bl w:val="nil"/>
            </w:tcBorders>
            <w:shd w:val="clear" w:color="auto" w:fill="auto"/>
            <w:tcMar>
              <w:top w:w="15" w:type="dxa"/>
              <w:left w:w="15" w:type="dxa"/>
              <w:right w:w="15" w:type="dxa"/>
            </w:tcMar>
            <w:vAlign w:val="center"/>
          </w:tcPr>
          <w:p w14:paraId="0D7C1B5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val="en-US" w:eastAsia="zh-CN" w:bidi="ar"/>
              </w:rPr>
              <w:t>①</w:t>
            </w:r>
            <w:r>
              <w:rPr>
                <w:rFonts w:hint="eastAsia" w:ascii="仿宋_GB2312" w:hAnsi="宋体" w:eastAsia="仿宋_GB2312" w:cs="仿宋_GB2312"/>
                <w:kern w:val="0"/>
                <w:sz w:val="18"/>
                <w:szCs w:val="18"/>
                <w:lang w:bidi="ar"/>
              </w:rPr>
              <w:t>超出采矿许可证载明的开采煤层层位</w:t>
            </w:r>
            <w:r>
              <w:rPr>
                <w:rFonts w:hint="eastAsia" w:ascii="仿宋_GB2312" w:hAnsi="宋体" w:eastAsia="仿宋_GB2312" w:cs="仿宋_GB2312"/>
                <w:kern w:val="0"/>
                <w:sz w:val="18"/>
                <w:szCs w:val="18"/>
                <w:lang w:val="en-US" w:eastAsia="zh-CN" w:bidi="ar"/>
              </w:rPr>
              <w:t>或者</w:t>
            </w:r>
            <w:r>
              <w:rPr>
                <w:rFonts w:hint="eastAsia" w:ascii="仿宋_GB2312" w:hAnsi="宋体" w:eastAsia="仿宋_GB2312" w:cs="仿宋_GB2312"/>
                <w:kern w:val="0"/>
                <w:sz w:val="18"/>
                <w:szCs w:val="18"/>
                <w:lang w:bidi="ar"/>
              </w:rPr>
              <w:t>坐标控制范围或者标高进行采煤 (剥离)，没有违法所得或违法所得在</w:t>
            </w:r>
            <w:r>
              <w:rPr>
                <w:rFonts w:hint="eastAsia" w:ascii="仿宋_GB2312" w:hAnsi="宋体" w:eastAsia="仿宋_GB2312" w:cs="仿宋_GB2312"/>
                <w:kern w:val="0"/>
                <w:sz w:val="18"/>
                <w:szCs w:val="18"/>
                <w:lang w:val="en-US" w:eastAsia="zh-CN" w:bidi="ar"/>
              </w:rPr>
              <w:t>50</w:t>
            </w:r>
            <w:r>
              <w:rPr>
                <w:rFonts w:hint="eastAsia" w:ascii="仿宋_GB2312" w:hAnsi="宋体" w:eastAsia="仿宋_GB2312" w:cs="仿宋_GB2312"/>
                <w:kern w:val="0"/>
                <w:sz w:val="18"/>
                <w:szCs w:val="18"/>
                <w:lang w:bidi="ar"/>
              </w:rPr>
              <w:t>万元以</w:t>
            </w:r>
            <w:r>
              <w:rPr>
                <w:rFonts w:hint="eastAsia" w:ascii="仿宋_GB2312" w:hAnsi="宋体" w:eastAsia="仿宋_GB2312" w:cs="仿宋_GB2312"/>
                <w:kern w:val="0"/>
                <w:sz w:val="18"/>
                <w:szCs w:val="18"/>
                <w:lang w:val="en-US" w:eastAsia="zh-CN" w:bidi="ar"/>
              </w:rPr>
              <w:t>上</w:t>
            </w:r>
            <w:r>
              <w:rPr>
                <w:rFonts w:hint="eastAsia" w:ascii="仿宋_GB2312" w:hAnsi="宋体" w:eastAsia="仿宋_GB2312" w:cs="仿宋_GB2312"/>
                <w:kern w:val="0"/>
                <w:sz w:val="18"/>
                <w:szCs w:val="18"/>
                <w:lang w:bidi="ar"/>
              </w:rPr>
              <w:t>的。</w:t>
            </w:r>
          </w:p>
          <w:p w14:paraId="6EE46C45">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1453" w:author="LV" w:date="2026-07-27T15:40:06Z"/>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val="en-US" w:eastAsia="zh-CN" w:bidi="ar"/>
              </w:rPr>
              <w:t>②</w:t>
            </w:r>
            <w:r>
              <w:rPr>
                <w:rFonts w:hint="eastAsia" w:ascii="仿宋_GB2312" w:hAnsi="宋体" w:eastAsia="仿宋_GB2312" w:cs="仿宋_GB2312"/>
                <w:kern w:val="0"/>
                <w:sz w:val="18"/>
                <w:szCs w:val="18"/>
                <w:lang w:bidi="ar"/>
              </w:rPr>
              <w:t>未经设计、安全论证和审批，探巷或者采掘工程直接进入《煤矿安全规程》和《建筑物、水体、铁路及主要井巷煤柱留设与压煤开采规范》规定留设的安全煤柱，或者以其他形式 (经设计、审批的钻探工程除外) 对安全煤柱造成破坏。</w:t>
            </w:r>
          </w:p>
          <w:p w14:paraId="177E6AC3">
            <w:pPr>
              <w:pStyle w:val="2"/>
              <w:rPr>
                <w:ins w:id="1454" w:author="LV" w:date="2026-07-27T15:40:06Z"/>
                <w:rFonts w:hint="eastAsia" w:ascii="仿宋_GB2312" w:hAnsi="宋体" w:eastAsia="仿宋_GB2312" w:cs="仿宋_GB2312"/>
                <w:kern w:val="0"/>
                <w:sz w:val="18"/>
                <w:szCs w:val="18"/>
                <w:lang w:bidi="ar"/>
              </w:rPr>
            </w:pPr>
          </w:p>
          <w:p w14:paraId="054A9760">
            <w:pPr>
              <w:rPr>
                <w:ins w:id="1455" w:author="LV" w:date="2026-07-27T15:40:07Z"/>
                <w:rFonts w:hint="eastAsia" w:ascii="仿宋_GB2312" w:hAnsi="宋体" w:eastAsia="仿宋_GB2312" w:cs="仿宋_GB2312"/>
                <w:kern w:val="0"/>
                <w:sz w:val="18"/>
                <w:szCs w:val="18"/>
                <w:lang w:bidi="ar"/>
              </w:rPr>
            </w:pPr>
          </w:p>
          <w:p w14:paraId="48FD86C0">
            <w:pPr>
              <w:pStyle w:val="2"/>
              <w:rPr>
                <w:ins w:id="1456" w:author="LV" w:date="2026-07-27T15:40:07Z"/>
                <w:rFonts w:hint="eastAsia" w:ascii="仿宋_GB2312" w:hAnsi="宋体" w:eastAsia="仿宋_GB2312" w:cs="仿宋_GB2312"/>
                <w:kern w:val="0"/>
                <w:sz w:val="18"/>
                <w:szCs w:val="18"/>
                <w:lang w:bidi="ar"/>
              </w:rPr>
            </w:pPr>
          </w:p>
          <w:p w14:paraId="03FD91F4"/>
        </w:tc>
        <w:tc>
          <w:tcPr>
            <w:tcW w:w="2655" w:type="dxa"/>
            <w:tcBorders>
              <w:top w:val="single" w:color="auto" w:sz="4" w:space="0"/>
              <w:tl2br w:val="nil"/>
              <w:tr2bl w:val="nil"/>
            </w:tcBorders>
            <w:shd w:val="clear" w:color="auto" w:fill="auto"/>
            <w:tcMar>
              <w:top w:w="15" w:type="dxa"/>
              <w:left w:w="15" w:type="dxa"/>
              <w:right w:w="15" w:type="dxa"/>
            </w:tcMar>
            <w:vAlign w:val="center"/>
          </w:tcPr>
          <w:p w14:paraId="00CC869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责令停产整顿，提出整顿的内容、时间等具体要求，处150万元以上200万元以下的罚款；对煤矿企业负责人处10万元以上15万元以下的罚款。</w:t>
            </w:r>
          </w:p>
        </w:tc>
      </w:tr>
      <w:tr w14:paraId="0841A4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3"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47FCC11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z w:val="18"/>
                <w:szCs w:val="18"/>
                <w:lang w:eastAsia="zh-CN"/>
              </w:rPr>
            </w:pPr>
            <w:r>
              <w:rPr>
                <w:rFonts w:hint="eastAsia" w:ascii="仿宋_GB2312" w:hAnsi="宋体" w:eastAsia="仿宋_GB2312" w:cs="仿宋_GB2312"/>
                <w:kern w:val="0"/>
                <w:sz w:val="18"/>
                <w:szCs w:val="18"/>
                <w:lang w:bidi="ar"/>
              </w:rPr>
              <w:t>4</w:t>
            </w:r>
            <w:del w:id="1457" w:author="LV" w:date="2026-07-14T16:21:36Z">
              <w:r>
                <w:rPr>
                  <w:rFonts w:hint="default" w:ascii="仿宋_GB2312" w:hAnsi="宋体" w:eastAsia="仿宋_GB2312" w:cs="仿宋_GB2312"/>
                  <w:kern w:val="0"/>
                  <w:sz w:val="18"/>
                  <w:szCs w:val="18"/>
                  <w:lang w:val="en-US" w:bidi="ar"/>
                </w:rPr>
                <w:delText>1</w:delText>
              </w:r>
            </w:del>
            <w:ins w:id="1458" w:author="LV" w:date="2026-07-14T16:21:36Z">
              <w:r>
                <w:rPr>
                  <w:rFonts w:hint="eastAsia" w:ascii="仿宋_GB2312" w:hAnsi="宋体" w:eastAsia="仿宋_GB2312" w:cs="仿宋_GB2312"/>
                  <w:kern w:val="0"/>
                  <w:sz w:val="18"/>
                  <w:szCs w:val="18"/>
                  <w:lang w:val="en-US" w:eastAsia="zh-CN" w:bidi="ar"/>
                </w:rPr>
                <w:t>3</w:t>
              </w:r>
            </w:ins>
          </w:p>
        </w:tc>
        <w:tc>
          <w:tcPr>
            <w:tcW w:w="1005" w:type="dxa"/>
            <w:vMerge w:val="restart"/>
            <w:tcBorders>
              <w:tl2br w:val="nil"/>
              <w:tr2bl w:val="nil"/>
            </w:tcBorders>
            <w:shd w:val="clear" w:color="auto" w:fill="auto"/>
            <w:tcMar>
              <w:top w:w="15" w:type="dxa"/>
              <w:left w:w="15" w:type="dxa"/>
              <w:right w:w="15" w:type="dxa"/>
            </w:tcMar>
            <w:vAlign w:val="center"/>
          </w:tcPr>
          <w:p w14:paraId="1ABFC68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有严重水患，未采取有效措施</w:t>
            </w:r>
            <w:r>
              <w:rPr>
                <w:rFonts w:hint="eastAsia" w:ascii="仿宋_GB2312" w:hAnsi="宋体" w:eastAsia="仿宋_GB2312" w:cs="仿宋_GB2312"/>
                <w:kern w:val="0"/>
                <w:sz w:val="18"/>
                <w:szCs w:val="18"/>
                <w:lang w:val="en-US" w:eastAsia="zh-CN" w:bidi="ar"/>
              </w:rPr>
              <w:t>的</w:t>
            </w:r>
          </w:p>
        </w:tc>
        <w:tc>
          <w:tcPr>
            <w:tcW w:w="3667" w:type="dxa"/>
            <w:vMerge w:val="restart"/>
            <w:tcBorders>
              <w:tl2br w:val="nil"/>
              <w:tr2bl w:val="nil"/>
            </w:tcBorders>
            <w:shd w:val="clear" w:color="auto" w:fill="auto"/>
            <w:tcMar>
              <w:top w:w="15" w:type="dxa"/>
              <w:left w:w="15" w:type="dxa"/>
              <w:right w:w="15" w:type="dxa"/>
            </w:tcMar>
            <w:vAlign w:val="center"/>
          </w:tcPr>
          <w:p w14:paraId="5EFFAB9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《煤矿安全生产条例》第三十六条第七项  煤矿企业有下列情形之一的，属于重大事故隐患，应当立即停止受影响区域生产、建设，并及时消除事故隐患：（七）有严重水患，未采取有效措施的；</w:t>
            </w:r>
          </w:p>
          <w:p w14:paraId="16674DF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《煤矿重大事故隐患判定标准》第</w:t>
            </w:r>
            <w:r>
              <w:rPr>
                <w:rFonts w:hint="eastAsia" w:ascii="仿宋_GB2312" w:hAnsi="宋体" w:eastAsia="仿宋_GB2312" w:cs="仿宋_GB2312"/>
                <w:kern w:val="0"/>
                <w:sz w:val="18"/>
                <w:szCs w:val="18"/>
                <w:lang w:val="en-US" w:eastAsia="zh-CN" w:bidi="ar"/>
              </w:rPr>
              <w:t>十</w:t>
            </w:r>
            <w:r>
              <w:rPr>
                <w:rFonts w:hint="eastAsia" w:ascii="仿宋_GB2312" w:hAnsi="宋体" w:eastAsia="仿宋_GB2312" w:cs="仿宋_GB2312"/>
                <w:kern w:val="0"/>
                <w:sz w:val="18"/>
                <w:szCs w:val="18"/>
                <w:lang w:bidi="ar"/>
              </w:rPr>
              <w:t>条“有严重水患，未采取有效措施” 重大事故隐患</w:t>
            </w:r>
          </w:p>
          <w:p w14:paraId="4D184B3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是指有下列情形之一的：</w:t>
            </w:r>
          </w:p>
          <w:p w14:paraId="58E4E42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（一）未查明矿井生产建设采 (盘) 区内的主要充水水源、主要充水通道。</w:t>
            </w:r>
          </w:p>
          <w:p w14:paraId="14CCBF9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（二）使用煤电钻、锚杆钻机、风锤等非专用钻机探放水 (限压循环放水除外)。</w:t>
            </w:r>
          </w:p>
          <w:p w14:paraId="5E126B3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（三）在下列需要探放水区域进行采掘作业未进行探放水的：</w:t>
            </w:r>
            <w:r>
              <w:rPr>
                <w:rFonts w:hint="eastAsia" w:ascii="仿宋_GB2312" w:hAnsi="宋体" w:eastAsia="仿宋_GB2312" w:cs="仿宋_GB2312"/>
                <w:kern w:val="0"/>
                <w:sz w:val="18"/>
                <w:szCs w:val="18"/>
                <w:lang w:val="en-US" w:eastAsia="zh-CN" w:bidi="ar"/>
              </w:rPr>
              <w:t>1.</w:t>
            </w:r>
            <w:r>
              <w:rPr>
                <w:rFonts w:hint="eastAsia" w:ascii="仿宋_GB2312" w:hAnsi="宋体" w:eastAsia="仿宋_GB2312" w:cs="仿宋_GB2312"/>
                <w:kern w:val="0"/>
                <w:sz w:val="18"/>
                <w:szCs w:val="18"/>
                <w:lang w:bidi="ar"/>
              </w:rPr>
              <w:t>接近 (采掘工作面超过探水线或者进入防隔水煤‹岩›柱位置，下同) 水淹或者积水的井巷、老空区、相邻矿井时。</w:t>
            </w:r>
            <w:r>
              <w:rPr>
                <w:rFonts w:hint="eastAsia" w:ascii="仿宋_GB2312" w:hAnsi="宋体" w:eastAsia="仿宋_GB2312" w:cs="仿宋_GB2312"/>
                <w:kern w:val="0"/>
                <w:sz w:val="18"/>
                <w:szCs w:val="18"/>
                <w:lang w:val="en-US" w:eastAsia="zh-CN" w:bidi="ar"/>
              </w:rPr>
              <w:t>2.</w:t>
            </w:r>
            <w:r>
              <w:rPr>
                <w:rFonts w:hint="eastAsia" w:ascii="仿宋_GB2312" w:hAnsi="宋体" w:eastAsia="仿宋_GB2312" w:cs="仿宋_GB2312"/>
                <w:kern w:val="0"/>
                <w:sz w:val="18"/>
                <w:szCs w:val="18"/>
                <w:lang w:bidi="ar"/>
              </w:rPr>
              <w:t>接近富水性中等以上含水层、导水断层、溶洞或者导水陷落柱时。</w:t>
            </w:r>
            <w:r>
              <w:rPr>
                <w:rFonts w:hint="eastAsia" w:ascii="仿宋_GB2312" w:hAnsi="宋体" w:eastAsia="仿宋_GB2312" w:cs="仿宋_GB2312"/>
                <w:kern w:val="0"/>
                <w:sz w:val="18"/>
                <w:szCs w:val="18"/>
                <w:lang w:val="en-US" w:eastAsia="zh-CN" w:bidi="ar"/>
              </w:rPr>
              <w:t>3.</w:t>
            </w:r>
            <w:r>
              <w:rPr>
                <w:rFonts w:hint="eastAsia" w:ascii="仿宋_GB2312" w:hAnsi="宋体" w:eastAsia="仿宋_GB2312" w:cs="仿宋_GB2312"/>
                <w:kern w:val="0"/>
                <w:sz w:val="18"/>
                <w:szCs w:val="18"/>
                <w:lang w:bidi="ar"/>
              </w:rPr>
              <w:t>打开隔离煤柱放水时。</w:t>
            </w:r>
            <w:r>
              <w:rPr>
                <w:rFonts w:hint="eastAsia" w:ascii="仿宋_GB2312" w:hAnsi="宋体" w:eastAsia="仿宋_GB2312" w:cs="仿宋_GB2312"/>
                <w:kern w:val="0"/>
                <w:sz w:val="18"/>
                <w:szCs w:val="18"/>
                <w:lang w:val="en-US" w:eastAsia="zh-CN" w:bidi="ar"/>
              </w:rPr>
              <w:t>4.</w:t>
            </w:r>
            <w:r>
              <w:rPr>
                <w:rFonts w:hint="eastAsia" w:ascii="仿宋_GB2312" w:hAnsi="宋体" w:eastAsia="仿宋_GB2312" w:cs="仿宋_GB2312"/>
                <w:kern w:val="0"/>
                <w:sz w:val="18"/>
                <w:szCs w:val="18"/>
                <w:lang w:bidi="ar"/>
              </w:rPr>
              <w:t>接近与河流、湖泊、水库、蓄水池、水井等相通的导水通道时。</w:t>
            </w:r>
            <w:r>
              <w:rPr>
                <w:rFonts w:hint="eastAsia" w:ascii="仿宋_GB2312" w:hAnsi="宋体" w:eastAsia="仿宋_GB2312" w:cs="仿宋_GB2312"/>
                <w:kern w:val="0"/>
                <w:sz w:val="18"/>
                <w:szCs w:val="18"/>
                <w:lang w:val="en-US" w:eastAsia="zh-CN" w:bidi="ar"/>
              </w:rPr>
              <w:t>5.</w:t>
            </w:r>
            <w:r>
              <w:rPr>
                <w:rFonts w:hint="eastAsia" w:ascii="仿宋_GB2312" w:hAnsi="宋体" w:eastAsia="仿宋_GB2312" w:cs="仿宋_GB2312"/>
                <w:kern w:val="0"/>
                <w:sz w:val="18"/>
                <w:szCs w:val="18"/>
                <w:lang w:bidi="ar"/>
              </w:rPr>
              <w:t>接近出水的钻孔时。</w:t>
            </w:r>
            <w:r>
              <w:rPr>
                <w:rFonts w:hint="eastAsia" w:ascii="仿宋_GB2312" w:hAnsi="宋体" w:eastAsia="仿宋_GB2312" w:cs="仿宋_GB2312"/>
                <w:kern w:val="0"/>
                <w:sz w:val="18"/>
                <w:szCs w:val="18"/>
                <w:lang w:val="en-US" w:eastAsia="zh-CN" w:bidi="ar"/>
              </w:rPr>
              <w:t>6.</w:t>
            </w:r>
            <w:r>
              <w:rPr>
                <w:rFonts w:hint="eastAsia" w:ascii="仿宋_GB2312" w:hAnsi="宋体" w:eastAsia="仿宋_GB2312" w:cs="仿宋_GB2312"/>
                <w:kern w:val="0"/>
                <w:sz w:val="18"/>
                <w:szCs w:val="18"/>
                <w:lang w:bidi="ar"/>
              </w:rPr>
              <w:t>接近有积水的灌浆区时。</w:t>
            </w:r>
            <w:r>
              <w:rPr>
                <w:rFonts w:hint="eastAsia" w:ascii="仿宋_GB2312" w:hAnsi="宋体" w:eastAsia="仿宋_GB2312" w:cs="仿宋_GB2312"/>
                <w:kern w:val="0"/>
                <w:sz w:val="18"/>
                <w:szCs w:val="18"/>
                <w:lang w:val="en-US" w:eastAsia="zh-CN" w:bidi="ar"/>
              </w:rPr>
              <w:t>7.</w:t>
            </w:r>
            <w:r>
              <w:rPr>
                <w:rFonts w:hint="eastAsia" w:ascii="仿宋_GB2312" w:hAnsi="宋体" w:eastAsia="仿宋_GB2312" w:cs="仿宋_GB2312"/>
                <w:kern w:val="0"/>
                <w:sz w:val="18"/>
                <w:szCs w:val="18"/>
                <w:lang w:bidi="ar"/>
              </w:rPr>
              <w:t>接近物探低阻异常区时。</w:t>
            </w:r>
          </w:p>
          <w:p w14:paraId="230E593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（四）探放水钻孔数量、层位及止水套管长度不符合下列规定之一的：</w:t>
            </w:r>
            <w:r>
              <w:rPr>
                <w:rFonts w:hint="eastAsia" w:ascii="仿宋_GB2312" w:hAnsi="宋体" w:eastAsia="仿宋_GB2312" w:cs="仿宋_GB2312"/>
                <w:kern w:val="0"/>
                <w:sz w:val="18"/>
                <w:szCs w:val="18"/>
                <w:lang w:val="en-US" w:eastAsia="zh-CN" w:bidi="ar"/>
              </w:rPr>
              <w:t>1.</w:t>
            </w:r>
            <w:r>
              <w:rPr>
                <w:rFonts w:hint="eastAsia" w:ascii="仿宋_GB2312" w:hAnsi="宋体" w:eastAsia="仿宋_GB2312" w:cs="仿宋_GB2312"/>
                <w:kern w:val="0"/>
                <w:sz w:val="18"/>
                <w:szCs w:val="18"/>
                <w:lang w:bidi="ar"/>
              </w:rPr>
              <w:t>探放老空水和钻孔水，老空和钻孔位置清楚的，应当根据具体情况进行专门探放水设计，经煤矿总工程师批准实施；老空和钻孔位置不清楚的，探水钻孔成组布设，并在巷道前方的水平面和竖直面内呈扇形布置。</w:t>
            </w:r>
            <w:r>
              <w:rPr>
                <w:rFonts w:hint="eastAsia" w:ascii="仿宋_GB2312" w:hAnsi="宋体" w:eastAsia="仿宋_GB2312" w:cs="仿宋_GB2312"/>
                <w:kern w:val="0"/>
                <w:sz w:val="18"/>
                <w:szCs w:val="18"/>
                <w:lang w:val="en-US" w:eastAsia="zh-CN" w:bidi="ar"/>
              </w:rPr>
              <w:t>2.</w:t>
            </w:r>
            <w:r>
              <w:rPr>
                <w:rFonts w:hint="eastAsia" w:ascii="仿宋_GB2312" w:hAnsi="宋体" w:eastAsia="仿宋_GB2312" w:cs="仿宋_GB2312"/>
                <w:kern w:val="0"/>
                <w:sz w:val="18"/>
                <w:szCs w:val="18"/>
                <w:lang w:bidi="ar"/>
              </w:rPr>
              <w:t>探放老空水时，老空积水范围、积水量清楚的，根据水压大小、煤 (岩) 层厚度、强度等，在探放水设计中对止水套管长度作出具体规定，经煤矿总工程师批准实施；老空积水范围、积水量不清楚，近距离煤层开采或者地质构造不清楚的，探放水钻孔止水套管长度不得小于10m。</w:t>
            </w:r>
            <w:r>
              <w:rPr>
                <w:rFonts w:hint="eastAsia" w:ascii="仿宋_GB2312" w:hAnsi="宋体" w:eastAsia="仿宋_GB2312" w:cs="仿宋_GB2312"/>
                <w:kern w:val="0"/>
                <w:sz w:val="18"/>
                <w:szCs w:val="18"/>
                <w:lang w:val="en-US" w:eastAsia="zh-CN" w:bidi="ar"/>
              </w:rPr>
              <w:t>3.</w:t>
            </w:r>
            <w:r>
              <w:rPr>
                <w:rFonts w:hint="eastAsia" w:ascii="仿宋_GB2312" w:hAnsi="宋体" w:eastAsia="仿宋_GB2312" w:cs="仿宋_GB2312"/>
                <w:kern w:val="0"/>
                <w:sz w:val="18"/>
                <w:szCs w:val="18"/>
                <w:lang w:bidi="ar"/>
              </w:rPr>
              <w:t>探查陷落柱等垂向构造时，应当同时采用物探、钻探两种方法，根据陷落柱的预测规模布孔，其中底板方向钻孔不少于3个，有异常时加密布孔，其探放水设计经煤矿总工程师批准实施。</w:t>
            </w:r>
            <w:r>
              <w:rPr>
                <w:rFonts w:hint="eastAsia" w:ascii="仿宋_GB2312" w:hAnsi="宋体" w:eastAsia="仿宋_GB2312" w:cs="仿宋_GB2312"/>
                <w:kern w:val="0"/>
                <w:sz w:val="18"/>
                <w:szCs w:val="18"/>
                <w:lang w:val="en-US" w:eastAsia="zh-CN" w:bidi="ar"/>
              </w:rPr>
              <w:t>4.</w:t>
            </w:r>
            <w:r>
              <w:rPr>
                <w:rFonts w:hint="eastAsia" w:ascii="仿宋_GB2312" w:hAnsi="宋体" w:eastAsia="仿宋_GB2312" w:cs="仿宋_GB2312"/>
                <w:kern w:val="0"/>
                <w:sz w:val="18"/>
                <w:szCs w:val="18"/>
                <w:lang w:bidi="ar"/>
              </w:rPr>
              <w:t>缩小防隔水煤 (岩) 柱的，工作面内或者其附近范围内钻孔间距不大于500m，且有2个以上钻孔控制含水层顶、底界面，查明含水层顶、底界面及含水层岩性组合、富水性等水文地质工程地质条件。</w:t>
            </w:r>
          </w:p>
          <w:p w14:paraId="7969817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（五）钻探、物探数据或者结论造假。</w:t>
            </w:r>
          </w:p>
          <w:p w14:paraId="504C9D7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（六）在下列位置 (区域) 未留设防隔水煤 (岩) 柱的：</w:t>
            </w:r>
            <w:r>
              <w:rPr>
                <w:rFonts w:hint="eastAsia" w:ascii="仿宋_GB2312" w:hAnsi="宋体" w:eastAsia="仿宋_GB2312" w:cs="仿宋_GB2312"/>
                <w:kern w:val="0"/>
                <w:sz w:val="18"/>
                <w:szCs w:val="18"/>
                <w:lang w:val="en-US" w:eastAsia="zh-CN" w:bidi="ar"/>
              </w:rPr>
              <w:t>1.</w:t>
            </w:r>
            <w:r>
              <w:rPr>
                <w:rFonts w:hint="eastAsia" w:ascii="仿宋_GB2312" w:hAnsi="宋体" w:eastAsia="仿宋_GB2312" w:cs="仿宋_GB2312"/>
                <w:kern w:val="0"/>
                <w:sz w:val="18"/>
                <w:szCs w:val="18"/>
                <w:lang w:bidi="ar"/>
              </w:rPr>
              <w:t>相邻矿井的分界处。</w:t>
            </w:r>
            <w:r>
              <w:rPr>
                <w:rFonts w:hint="eastAsia" w:ascii="仿宋_GB2312" w:hAnsi="宋体" w:eastAsia="仿宋_GB2312" w:cs="仿宋_GB2312"/>
                <w:kern w:val="0"/>
                <w:sz w:val="18"/>
                <w:szCs w:val="18"/>
                <w:lang w:val="en-US" w:eastAsia="zh-CN" w:bidi="ar"/>
              </w:rPr>
              <w:t>2.</w:t>
            </w:r>
            <w:r>
              <w:rPr>
                <w:rFonts w:hint="eastAsia" w:ascii="仿宋_GB2312" w:hAnsi="宋体" w:eastAsia="仿宋_GB2312" w:cs="仿宋_GB2312"/>
                <w:kern w:val="0"/>
                <w:sz w:val="18"/>
                <w:szCs w:val="18"/>
                <w:lang w:bidi="ar"/>
              </w:rPr>
              <w:t>煤层露头风化带。</w:t>
            </w:r>
            <w:r>
              <w:rPr>
                <w:rFonts w:hint="eastAsia" w:ascii="仿宋_GB2312" w:hAnsi="宋体" w:eastAsia="仿宋_GB2312" w:cs="仿宋_GB2312"/>
                <w:kern w:val="0"/>
                <w:sz w:val="18"/>
                <w:szCs w:val="18"/>
                <w:lang w:val="en-US" w:eastAsia="zh-CN" w:bidi="ar"/>
              </w:rPr>
              <w:t>3.</w:t>
            </w:r>
            <w:r>
              <w:rPr>
                <w:rFonts w:hint="eastAsia" w:ascii="仿宋_GB2312" w:hAnsi="宋体" w:eastAsia="仿宋_GB2312" w:cs="仿宋_GB2312"/>
                <w:kern w:val="0"/>
                <w:sz w:val="18"/>
                <w:szCs w:val="18"/>
                <w:lang w:bidi="ar"/>
              </w:rPr>
              <w:t>地表水体、含水冲积层下或者水淹区域邻近地带。</w:t>
            </w:r>
            <w:r>
              <w:rPr>
                <w:rFonts w:hint="eastAsia" w:ascii="仿宋_GB2312" w:hAnsi="宋体" w:eastAsia="仿宋_GB2312" w:cs="仿宋_GB2312"/>
                <w:kern w:val="0"/>
                <w:sz w:val="18"/>
                <w:szCs w:val="18"/>
                <w:lang w:val="en-US" w:eastAsia="zh-CN" w:bidi="ar"/>
              </w:rPr>
              <w:t>4.</w:t>
            </w:r>
            <w:r>
              <w:rPr>
                <w:rFonts w:hint="eastAsia" w:ascii="仿宋_GB2312" w:hAnsi="宋体" w:eastAsia="仿宋_GB2312" w:cs="仿宋_GB2312"/>
                <w:kern w:val="0"/>
                <w:sz w:val="18"/>
                <w:szCs w:val="18"/>
                <w:lang w:bidi="ar"/>
              </w:rPr>
              <w:t>与富水性强的含水层间存在水力联系的断层、裂隙带或者强导水断层接触的煤层。</w:t>
            </w:r>
            <w:r>
              <w:rPr>
                <w:rFonts w:hint="eastAsia" w:ascii="仿宋_GB2312" w:hAnsi="宋体" w:eastAsia="仿宋_GB2312" w:cs="仿宋_GB2312"/>
                <w:kern w:val="0"/>
                <w:sz w:val="18"/>
                <w:szCs w:val="18"/>
                <w:lang w:val="en-US" w:eastAsia="zh-CN" w:bidi="ar"/>
              </w:rPr>
              <w:t>5.</w:t>
            </w:r>
            <w:r>
              <w:rPr>
                <w:rFonts w:hint="eastAsia" w:ascii="仿宋_GB2312" w:hAnsi="宋体" w:eastAsia="仿宋_GB2312" w:cs="仿宋_GB2312"/>
                <w:kern w:val="0"/>
                <w:sz w:val="18"/>
                <w:szCs w:val="18"/>
                <w:lang w:bidi="ar"/>
              </w:rPr>
              <w:t>有大量积水的老空。</w:t>
            </w:r>
            <w:r>
              <w:rPr>
                <w:rFonts w:hint="eastAsia" w:ascii="仿宋_GB2312" w:hAnsi="宋体" w:eastAsia="仿宋_GB2312" w:cs="仿宋_GB2312"/>
                <w:kern w:val="0"/>
                <w:sz w:val="18"/>
                <w:szCs w:val="18"/>
                <w:lang w:val="en-US" w:eastAsia="zh-CN" w:bidi="ar"/>
              </w:rPr>
              <w:t>6.</w:t>
            </w:r>
            <w:r>
              <w:rPr>
                <w:rFonts w:hint="eastAsia" w:ascii="仿宋_GB2312" w:hAnsi="宋体" w:eastAsia="仿宋_GB2312" w:cs="仿宋_GB2312"/>
                <w:kern w:val="0"/>
                <w:sz w:val="18"/>
                <w:szCs w:val="18"/>
                <w:lang w:bidi="ar"/>
              </w:rPr>
              <w:t>导水、充水的陷落柱、岩溶洞穴或者地下暗河。</w:t>
            </w:r>
            <w:r>
              <w:rPr>
                <w:rFonts w:hint="eastAsia" w:ascii="仿宋_GB2312" w:hAnsi="宋体" w:eastAsia="仿宋_GB2312" w:cs="仿宋_GB2312"/>
                <w:kern w:val="0"/>
                <w:sz w:val="18"/>
                <w:szCs w:val="18"/>
                <w:lang w:val="en-US" w:eastAsia="zh-CN" w:bidi="ar"/>
              </w:rPr>
              <w:t>7.</w:t>
            </w:r>
            <w:r>
              <w:rPr>
                <w:rFonts w:hint="eastAsia" w:ascii="仿宋_GB2312" w:hAnsi="宋体" w:eastAsia="仿宋_GB2312" w:cs="仿宋_GB2312"/>
                <w:kern w:val="0"/>
                <w:sz w:val="18"/>
                <w:szCs w:val="18"/>
                <w:lang w:bidi="ar"/>
              </w:rPr>
              <w:t>分区隔离开采边界。</w:t>
            </w:r>
            <w:r>
              <w:rPr>
                <w:rFonts w:hint="eastAsia" w:ascii="仿宋_GB2312" w:hAnsi="宋体" w:eastAsia="仿宋_GB2312" w:cs="仿宋_GB2312"/>
                <w:kern w:val="0"/>
                <w:sz w:val="18"/>
                <w:szCs w:val="18"/>
                <w:lang w:val="en-US" w:eastAsia="zh-CN" w:bidi="ar"/>
              </w:rPr>
              <w:t>8.</w:t>
            </w:r>
            <w:r>
              <w:rPr>
                <w:rFonts w:hint="eastAsia" w:ascii="仿宋_GB2312" w:hAnsi="宋体" w:eastAsia="仿宋_GB2312" w:cs="仿宋_GB2312"/>
                <w:kern w:val="0"/>
                <w:sz w:val="18"/>
                <w:szCs w:val="18"/>
                <w:lang w:bidi="ar"/>
              </w:rPr>
              <w:t>受保护的观测孔。</w:t>
            </w:r>
            <w:r>
              <w:rPr>
                <w:rFonts w:hint="eastAsia" w:ascii="仿宋_GB2312" w:hAnsi="宋体" w:eastAsia="仿宋_GB2312" w:cs="仿宋_GB2312"/>
                <w:kern w:val="0"/>
                <w:sz w:val="18"/>
                <w:szCs w:val="18"/>
                <w:lang w:val="en-US" w:eastAsia="zh-CN" w:bidi="ar"/>
              </w:rPr>
              <w:t>9.</w:t>
            </w:r>
            <w:r>
              <w:rPr>
                <w:rFonts w:hint="eastAsia" w:ascii="仿宋_GB2312" w:hAnsi="宋体" w:eastAsia="仿宋_GB2312" w:cs="仿宋_GB2312"/>
                <w:kern w:val="0"/>
                <w:sz w:val="18"/>
                <w:szCs w:val="18"/>
                <w:lang w:bidi="ar"/>
              </w:rPr>
              <w:t>露天煤矿全部转为或者部分实施井工开采的露天开采区域。</w:t>
            </w:r>
          </w:p>
          <w:p w14:paraId="4C51725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（七）防隔水煤 (岩) 柱尺寸不符合下列规定之一的：</w:t>
            </w:r>
            <w:r>
              <w:rPr>
                <w:rFonts w:hint="eastAsia" w:ascii="仿宋_GB2312" w:hAnsi="宋体" w:eastAsia="仿宋_GB2312" w:cs="仿宋_GB2312"/>
                <w:kern w:val="0"/>
                <w:sz w:val="18"/>
                <w:szCs w:val="18"/>
                <w:lang w:val="en-US" w:eastAsia="zh-CN" w:bidi="ar"/>
              </w:rPr>
              <w:t>1.</w:t>
            </w:r>
            <w:r>
              <w:rPr>
                <w:rFonts w:hint="eastAsia" w:ascii="仿宋_GB2312" w:hAnsi="宋体" w:eastAsia="仿宋_GB2312" w:cs="仿宋_GB2312"/>
                <w:kern w:val="0"/>
                <w:sz w:val="18"/>
                <w:szCs w:val="18"/>
                <w:lang w:bidi="ar"/>
              </w:rPr>
              <w:t>防隔水煤 (岩) 柱尺寸不小于 20m。</w:t>
            </w:r>
          </w:p>
          <w:p w14:paraId="7DEBC71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val="en-US" w:eastAsia="zh-CN" w:bidi="ar"/>
              </w:rPr>
              <w:t>2.</w:t>
            </w:r>
            <w:r>
              <w:rPr>
                <w:rFonts w:hint="eastAsia" w:ascii="仿宋_GB2312" w:hAnsi="宋体" w:eastAsia="仿宋_GB2312" w:cs="仿宋_GB2312"/>
                <w:kern w:val="0"/>
                <w:sz w:val="18"/>
                <w:szCs w:val="18"/>
                <w:lang w:bidi="ar"/>
              </w:rPr>
              <w:t>在富水性强以上含水层或者其他水淹区域下掘进时，防隔水煤 (岩) 柱的尺寸不小于巷道高度 10 倍。</w:t>
            </w:r>
            <w:r>
              <w:rPr>
                <w:rFonts w:hint="eastAsia" w:ascii="仿宋_GB2312" w:hAnsi="宋体" w:eastAsia="仿宋_GB2312" w:cs="仿宋_GB2312"/>
                <w:kern w:val="0"/>
                <w:sz w:val="18"/>
                <w:szCs w:val="18"/>
                <w:lang w:val="en-US" w:eastAsia="zh-CN" w:bidi="ar"/>
              </w:rPr>
              <w:t>3.</w:t>
            </w:r>
            <w:r>
              <w:rPr>
                <w:rFonts w:hint="eastAsia" w:ascii="仿宋_GB2312" w:hAnsi="宋体" w:eastAsia="仿宋_GB2312" w:cs="仿宋_GB2312"/>
                <w:kern w:val="0"/>
                <w:sz w:val="18"/>
                <w:szCs w:val="18"/>
                <w:lang w:bidi="ar"/>
              </w:rPr>
              <w:t>在富水性强以上含水层或者其他水淹区域下回采时，防隔水煤 (岩) 柱的尺寸不小于最大导水裂隙带高度。</w:t>
            </w:r>
          </w:p>
          <w:p w14:paraId="1809BF6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（八）随意变动防隔水煤 (岩) 柱 (地质、水文地质条件发生变化，经煤矿企业主要负责人批准修改防隔水煤‹岩›柱尺寸的除外)，或者在防隔水煤 (岩) 柱中进行采掘活动。</w:t>
            </w:r>
          </w:p>
          <w:p w14:paraId="651885D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（九）以 “探巷” 等名义进入或者在采掘活动中破坏防隔水煤 (岩) 柱。</w:t>
            </w:r>
          </w:p>
          <w:p w14:paraId="46F6208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（十）有透 (突、溃) 水征兆未撤出所有受水患威胁地点人员。</w:t>
            </w:r>
          </w:p>
          <w:p w14:paraId="28A5DDD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（十一）建设矿井进入三期工程时或者生产矿井延深到设计水平时，未按照设计建成永久排水系统掘进采区巷道。</w:t>
            </w:r>
          </w:p>
          <w:p w14:paraId="7C0358F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（十二）下山采区未形成完整的排水系统前，掘进回采巷道。</w:t>
            </w:r>
          </w:p>
          <w:p w14:paraId="2AAD51A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（十三）矿井主要排水系统水泵排水能力、管路排水能力和主要水仓容量不符合《煤矿安全规程》规定。</w:t>
            </w:r>
          </w:p>
          <w:p w14:paraId="6BB434B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（十四）开采地表水体、老空水淹区域或者强含水层下急倾斜煤层，未采用地表水体迁移 (改道、排干)、疏干老空水、注浆改造 (截流) 等措施改变其水文地质性质、消除水患威胁。</w:t>
            </w:r>
          </w:p>
          <w:p w14:paraId="3D2E916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（十五）受离层水威胁的采煤工作面，未采取措施破坏离层空间的封闭性、超前疏放离层水或者预先疏放离层的补给水源。</w:t>
            </w:r>
          </w:p>
          <w:p w14:paraId="36F1AD3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（十六）受火烧区水威胁的采掘工作面，未采取探放水或者隔离措施。</w:t>
            </w:r>
          </w:p>
        </w:tc>
        <w:tc>
          <w:tcPr>
            <w:tcW w:w="4082" w:type="dxa"/>
            <w:vMerge w:val="restart"/>
            <w:tcBorders>
              <w:tl2br w:val="nil"/>
              <w:tr2bl w:val="nil"/>
            </w:tcBorders>
            <w:shd w:val="clear" w:color="auto" w:fill="auto"/>
            <w:tcMar>
              <w:top w:w="15" w:type="dxa"/>
              <w:left w:w="15" w:type="dxa"/>
              <w:right w:w="15" w:type="dxa"/>
            </w:tcMar>
            <w:vAlign w:val="center"/>
          </w:tcPr>
          <w:p w14:paraId="4B96041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《煤矿安全生产条例》第六十四条  对存在重大事故隐患仍然进行生产的煤矿企业，责令停产整顿，明确整顿的内容、时间等具体要求，并处50万元以上200 万元以下的罚款；对煤矿企业主要负责人处3万元以上15 万元以下的罚款。</w:t>
            </w:r>
          </w:p>
        </w:tc>
        <w:tc>
          <w:tcPr>
            <w:tcW w:w="459" w:type="dxa"/>
            <w:tcBorders>
              <w:tl2br w:val="nil"/>
              <w:tr2bl w:val="nil"/>
            </w:tcBorders>
            <w:shd w:val="clear" w:color="auto" w:fill="auto"/>
            <w:noWrap/>
            <w:tcMar>
              <w:top w:w="15" w:type="dxa"/>
              <w:left w:w="15" w:type="dxa"/>
              <w:right w:w="15" w:type="dxa"/>
            </w:tcMar>
            <w:vAlign w:val="center"/>
          </w:tcPr>
          <w:p w14:paraId="3A326C2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5201834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6026560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E3146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3"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882E98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EC5930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A5B407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D09EE9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0FB570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5D22D25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66413AC4">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38392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3"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7662DF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84EAFB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A89E7A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5394D0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B3A344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17844F9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7D7E1E94">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A1877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6984E4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3DDC9D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A0F09E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BD9F02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9B7607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009AF1E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（二）使用煤电钻、锚杆钻机、风锤等非专用钻机探放水 (限压循环放水除外)。</w:t>
            </w:r>
          </w:p>
          <w:p w14:paraId="251B156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p>
        </w:tc>
        <w:tc>
          <w:tcPr>
            <w:tcW w:w="2655" w:type="dxa"/>
            <w:tcBorders>
              <w:tl2br w:val="nil"/>
              <w:tr2bl w:val="nil"/>
            </w:tcBorders>
            <w:shd w:val="clear" w:color="auto" w:fill="auto"/>
            <w:tcMar>
              <w:top w:w="15" w:type="dxa"/>
              <w:left w:w="15" w:type="dxa"/>
              <w:right w:w="15" w:type="dxa"/>
            </w:tcMar>
            <w:vAlign w:val="center"/>
          </w:tcPr>
          <w:p w14:paraId="4460E6C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责令停产整顿，提出整顿的内容、时间等具体要求，处50万元以上100万元以下的罚款；对煤矿企业负责人处3万元以上5万元以下的罚款。</w:t>
            </w:r>
          </w:p>
        </w:tc>
      </w:tr>
      <w:tr w14:paraId="731DAB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2AB03E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F7F40B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9FFAAF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AAEE31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F129ED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0A4C6C6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（十三）矿井主要排水系统水泵排水能力、管路排水能力和主要水仓容量不符合《煤矿安全规程》规定。</w:t>
            </w:r>
          </w:p>
          <w:p w14:paraId="5AEE337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p>
        </w:tc>
        <w:tc>
          <w:tcPr>
            <w:tcW w:w="2655" w:type="dxa"/>
            <w:tcBorders>
              <w:tl2br w:val="nil"/>
              <w:tr2bl w:val="nil"/>
            </w:tcBorders>
            <w:shd w:val="clear" w:color="auto" w:fill="auto"/>
            <w:tcMar>
              <w:top w:w="15" w:type="dxa"/>
              <w:left w:w="15" w:type="dxa"/>
              <w:right w:w="15" w:type="dxa"/>
            </w:tcMar>
            <w:vAlign w:val="center"/>
          </w:tcPr>
          <w:p w14:paraId="44484D1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责令停产整顿，提出整顿的内容、时间等具体要求，处100万元以上150万元以下的罚款；对煤矿企业负责人处5万元以上10万元以下的罚款。</w:t>
            </w:r>
          </w:p>
        </w:tc>
      </w:tr>
      <w:tr w14:paraId="4566F0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55F4AE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BFD251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E49AEE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EC7085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65490F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72C9D37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val="en-US" w:eastAsia="zh-CN" w:bidi="ar"/>
              </w:rPr>
              <w:t>符合</w:t>
            </w:r>
            <w:r>
              <w:rPr>
                <w:rFonts w:hint="eastAsia" w:ascii="仿宋_GB2312" w:hAnsi="宋体" w:eastAsia="仿宋_GB2312" w:cs="仿宋_GB2312"/>
                <w:kern w:val="0"/>
                <w:sz w:val="18"/>
                <w:szCs w:val="18"/>
                <w:lang w:bidi="ar"/>
              </w:rPr>
              <w:t>《煤矿重大事故隐患判定标准》第</w:t>
            </w:r>
            <w:r>
              <w:rPr>
                <w:rFonts w:hint="eastAsia" w:ascii="仿宋_GB2312" w:hAnsi="宋体" w:eastAsia="仿宋_GB2312" w:cs="仿宋_GB2312"/>
                <w:kern w:val="0"/>
                <w:sz w:val="18"/>
                <w:szCs w:val="18"/>
                <w:lang w:val="en-US" w:eastAsia="zh-CN" w:bidi="ar"/>
              </w:rPr>
              <w:t>十</w:t>
            </w:r>
            <w:r>
              <w:rPr>
                <w:rFonts w:hint="eastAsia" w:ascii="仿宋_GB2312" w:hAnsi="宋体" w:eastAsia="仿宋_GB2312" w:cs="仿宋_GB2312"/>
                <w:kern w:val="0"/>
                <w:sz w:val="18"/>
                <w:szCs w:val="18"/>
                <w:lang w:bidi="ar"/>
              </w:rPr>
              <w:t>条</w:t>
            </w:r>
            <w:r>
              <w:rPr>
                <w:rFonts w:hint="eastAsia" w:ascii="仿宋_GB2312" w:hAnsi="宋体" w:eastAsia="仿宋_GB2312" w:cs="仿宋_GB2312"/>
                <w:kern w:val="0"/>
                <w:sz w:val="18"/>
                <w:szCs w:val="18"/>
                <w:lang w:val="en-US" w:eastAsia="zh-CN" w:bidi="ar"/>
              </w:rPr>
              <w:t>第一项、第三至十二项、第十四至十六项情形的。</w:t>
            </w:r>
          </w:p>
        </w:tc>
        <w:tc>
          <w:tcPr>
            <w:tcW w:w="2655" w:type="dxa"/>
            <w:tcBorders>
              <w:tl2br w:val="nil"/>
              <w:tr2bl w:val="nil"/>
            </w:tcBorders>
            <w:shd w:val="clear" w:color="auto" w:fill="auto"/>
            <w:tcMar>
              <w:top w:w="15" w:type="dxa"/>
              <w:left w:w="15" w:type="dxa"/>
              <w:right w:w="15" w:type="dxa"/>
            </w:tcMar>
            <w:vAlign w:val="center"/>
          </w:tcPr>
          <w:p w14:paraId="4A67CD1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责令停产整顿，提出整顿的内容、时间等具体要求，处150万元以上200万元以下的罚款；对煤矿企业负责人处10万元以上15万元以下的罚款。</w:t>
            </w:r>
          </w:p>
        </w:tc>
      </w:tr>
      <w:tr w14:paraId="5540C3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2989A78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z w:val="18"/>
                <w:szCs w:val="18"/>
                <w:lang w:eastAsia="zh-CN"/>
              </w:rPr>
            </w:pPr>
            <w:r>
              <w:rPr>
                <w:rFonts w:hint="eastAsia" w:ascii="仿宋_GB2312" w:hAnsi="宋体" w:eastAsia="仿宋_GB2312" w:cs="仿宋_GB2312"/>
                <w:kern w:val="0"/>
                <w:sz w:val="18"/>
                <w:szCs w:val="18"/>
                <w:lang w:bidi="ar"/>
              </w:rPr>
              <w:t>4</w:t>
            </w:r>
            <w:del w:id="1459" w:author="LV" w:date="2026-07-14T16:21:45Z">
              <w:r>
                <w:rPr>
                  <w:rFonts w:hint="default" w:ascii="仿宋_GB2312" w:hAnsi="宋体" w:eastAsia="仿宋_GB2312" w:cs="仿宋_GB2312"/>
                  <w:kern w:val="0"/>
                  <w:sz w:val="18"/>
                  <w:szCs w:val="18"/>
                  <w:lang w:val="en-US" w:bidi="ar"/>
                </w:rPr>
                <w:delText>2</w:delText>
              </w:r>
            </w:del>
            <w:ins w:id="1460" w:author="LV" w:date="2026-07-14T16:21:45Z">
              <w:r>
                <w:rPr>
                  <w:rFonts w:hint="eastAsia" w:ascii="仿宋_GB2312" w:hAnsi="宋体" w:eastAsia="仿宋_GB2312" w:cs="仿宋_GB2312"/>
                  <w:kern w:val="0"/>
                  <w:sz w:val="18"/>
                  <w:szCs w:val="18"/>
                  <w:lang w:val="en-US" w:eastAsia="zh-CN" w:bidi="ar"/>
                </w:rPr>
                <w:t>4</w:t>
              </w:r>
            </w:ins>
          </w:p>
        </w:tc>
        <w:tc>
          <w:tcPr>
            <w:tcW w:w="1005" w:type="dxa"/>
            <w:vMerge w:val="restart"/>
            <w:tcBorders>
              <w:tl2br w:val="nil"/>
              <w:tr2bl w:val="nil"/>
            </w:tcBorders>
            <w:shd w:val="clear" w:color="auto" w:fill="auto"/>
            <w:tcMar>
              <w:top w:w="15" w:type="dxa"/>
              <w:left w:w="15" w:type="dxa"/>
              <w:right w:w="15" w:type="dxa"/>
            </w:tcMar>
            <w:vAlign w:val="center"/>
          </w:tcPr>
          <w:p w14:paraId="3A706C9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煤矿有冲击地压危险，未采取有效</w:t>
            </w:r>
            <w:r>
              <w:rPr>
                <w:rFonts w:hint="eastAsia" w:ascii="仿宋_GB2312" w:hAnsi="宋体" w:eastAsia="仿宋_GB2312" w:cs="仿宋_GB2312"/>
                <w:kern w:val="0"/>
                <w:sz w:val="18"/>
                <w:szCs w:val="18"/>
                <w:lang w:val="en-US" w:eastAsia="zh-CN" w:bidi="ar"/>
              </w:rPr>
              <w:t>措施的</w:t>
            </w:r>
          </w:p>
        </w:tc>
        <w:tc>
          <w:tcPr>
            <w:tcW w:w="3667" w:type="dxa"/>
            <w:vMerge w:val="restart"/>
            <w:tcBorders>
              <w:tl2br w:val="nil"/>
              <w:tr2bl w:val="nil"/>
            </w:tcBorders>
            <w:shd w:val="clear" w:color="auto" w:fill="auto"/>
            <w:tcMar>
              <w:top w:w="15" w:type="dxa"/>
              <w:left w:w="15" w:type="dxa"/>
              <w:right w:w="15" w:type="dxa"/>
            </w:tcMar>
            <w:vAlign w:val="center"/>
          </w:tcPr>
          <w:p w14:paraId="4040D74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《煤矿安全生产条例》第三十六条第八项  煤矿企业有下列情形之一的，属于重大事故隐患，应当立即停止受影响区域生产、建设，并及时消除事故隐患：（八）有冲击地压危险，未采取有效措施的；</w:t>
            </w:r>
          </w:p>
          <w:p w14:paraId="6660190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《煤矿重大事故隐患判定标准》第十一条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“有冲击地压危险，未采取有效措施”重大事故隐患，是指有下列情形之一的：</w:t>
            </w:r>
          </w:p>
          <w:p w14:paraId="1F2921F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（一）未按照《煤矿安全规程》规定开展冲击地压灾害等级鉴定，或者冲击地压灾害等级鉴定弄虚作假。</w:t>
            </w:r>
          </w:p>
          <w:p w14:paraId="6E1587B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（二）开采有冲击倾向性煤层未进行冲击危险性评价。</w:t>
            </w:r>
          </w:p>
          <w:p w14:paraId="0BD6B4A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（三）开采冲击地压煤层未进行采 (盘) 区、采掘工作面冲击危险性评价。</w:t>
            </w:r>
          </w:p>
          <w:p w14:paraId="4686FFA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（四）煤层、采 (盘) 区、采掘工作面冲击危险性评价弄虚作假。</w:t>
            </w:r>
          </w:p>
          <w:p w14:paraId="1D80442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（五）当区域、作业地点监测数据超过冲击地压危险预警临界指标或者采掘作业地点出现强烈震动、巨响、瞬间底 (帮) 鼓、煤岩弹射等动力现象，判定有冲击地压危险时，未停止预警地点作业，未按照防冲专项措施将人员撤出到规定区域，或者预警后经分析研判有冲击地压危险的采掘作业区域，未采取钻孔卸压或者爆破卸压等卸压解危措施，仍进行采掘作业。</w:t>
            </w:r>
          </w:p>
          <w:p w14:paraId="23FE591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（六）冲击地压危险区域、冲击地压危险工作面实施解危措施后未进行效果检验或者检验结果超过预警临界指标仍进行采掘作业。</w:t>
            </w:r>
          </w:p>
          <w:p w14:paraId="118E10F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（七）开采冲击地压煤层存在下列情形之一的：</w:t>
            </w:r>
          </w:p>
          <w:p w14:paraId="41B632E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val="en-US" w:eastAsia="zh-CN" w:bidi="ar"/>
              </w:rPr>
              <w:t>1.</w:t>
            </w:r>
            <w:r>
              <w:rPr>
                <w:rFonts w:hint="eastAsia" w:ascii="仿宋_GB2312" w:hAnsi="宋体" w:eastAsia="仿宋_GB2312" w:cs="仿宋_GB2312"/>
                <w:kern w:val="0"/>
                <w:sz w:val="18"/>
                <w:szCs w:val="18"/>
                <w:lang w:bidi="ar"/>
              </w:rPr>
              <w:t>同一煤层开采时，未按照确定的顺序开采，留设孤岛煤柱。</w:t>
            </w:r>
            <w:r>
              <w:rPr>
                <w:rFonts w:hint="eastAsia" w:ascii="仿宋_GB2312" w:hAnsi="宋体" w:eastAsia="仿宋_GB2312" w:cs="仿宋_GB2312"/>
                <w:kern w:val="0"/>
                <w:sz w:val="18"/>
                <w:szCs w:val="18"/>
                <w:lang w:val="en-US" w:eastAsia="zh-CN" w:bidi="ar"/>
              </w:rPr>
              <w:t>2.</w:t>
            </w:r>
            <w:r>
              <w:rPr>
                <w:rFonts w:hint="eastAsia" w:ascii="仿宋_GB2312" w:hAnsi="宋体" w:eastAsia="仿宋_GB2312" w:cs="仿宋_GB2312"/>
                <w:kern w:val="0"/>
                <w:sz w:val="18"/>
                <w:szCs w:val="18"/>
                <w:lang w:bidi="ar"/>
              </w:rPr>
              <w:t>采空区内留有煤柱 (特殊情况下，经安全性论证，由煤矿企业技术负责人批准的除外)。</w:t>
            </w:r>
            <w:r>
              <w:rPr>
                <w:rFonts w:hint="eastAsia" w:ascii="仿宋_GB2312" w:hAnsi="宋体" w:eastAsia="仿宋_GB2312" w:cs="仿宋_GB2312"/>
                <w:kern w:val="0"/>
                <w:sz w:val="18"/>
                <w:szCs w:val="18"/>
                <w:lang w:val="en-US" w:eastAsia="zh-CN" w:bidi="ar"/>
              </w:rPr>
              <w:t>3.</w:t>
            </w:r>
            <w:r>
              <w:rPr>
                <w:rFonts w:hint="eastAsia" w:ascii="仿宋_GB2312" w:hAnsi="宋体" w:eastAsia="仿宋_GB2312" w:cs="仿宋_GB2312"/>
                <w:kern w:val="0"/>
                <w:sz w:val="18"/>
                <w:szCs w:val="18"/>
                <w:lang w:bidi="ar"/>
              </w:rPr>
              <w:t>强冲击地压煤层开采孤岛煤柱。</w:t>
            </w:r>
            <w:r>
              <w:rPr>
                <w:rFonts w:hint="eastAsia" w:ascii="仿宋_GB2312" w:hAnsi="宋体" w:eastAsia="仿宋_GB2312" w:cs="仿宋_GB2312"/>
                <w:kern w:val="0"/>
                <w:sz w:val="18"/>
                <w:szCs w:val="18"/>
                <w:lang w:val="en-US" w:eastAsia="zh-CN" w:bidi="ar"/>
              </w:rPr>
              <w:t>4.</w:t>
            </w:r>
            <w:r>
              <w:rPr>
                <w:rFonts w:hint="eastAsia" w:ascii="仿宋_GB2312" w:hAnsi="宋体" w:eastAsia="仿宋_GB2312" w:cs="仿宋_GB2312"/>
                <w:kern w:val="0"/>
                <w:sz w:val="18"/>
                <w:szCs w:val="18"/>
                <w:lang w:bidi="ar"/>
              </w:rPr>
              <w:t>中等以下冲击地压煤层开采孤岛煤柱时，未进行防冲安全性论证，或者防冲安全性论证结果为不能保障安全开采，或者未落实防冲安全性论证报告明确的卸压、支护等措施进行采掘作业。</w:t>
            </w:r>
            <w:r>
              <w:rPr>
                <w:rFonts w:hint="eastAsia" w:ascii="仿宋_GB2312" w:hAnsi="宋体" w:eastAsia="仿宋_GB2312" w:cs="仿宋_GB2312"/>
                <w:kern w:val="0"/>
                <w:sz w:val="18"/>
                <w:szCs w:val="18"/>
                <w:lang w:val="en-US" w:eastAsia="zh-CN" w:bidi="ar"/>
              </w:rPr>
              <w:t>5.</w:t>
            </w:r>
            <w:r>
              <w:rPr>
                <w:rFonts w:hint="eastAsia" w:ascii="仿宋_GB2312" w:hAnsi="宋体" w:eastAsia="仿宋_GB2312" w:cs="仿宋_GB2312"/>
                <w:kern w:val="0"/>
                <w:sz w:val="18"/>
                <w:szCs w:val="18"/>
                <w:lang w:bidi="ar"/>
              </w:rPr>
              <w:t>新建开拓巷道、新建准备巷道布置在强冲击地压煤层中，或者新建永久硐室布置在冲击地压煤层中。</w:t>
            </w:r>
            <w:r>
              <w:rPr>
                <w:rFonts w:hint="eastAsia" w:ascii="仿宋_GB2312" w:hAnsi="宋体" w:eastAsia="仿宋_GB2312" w:cs="仿宋_GB2312"/>
                <w:kern w:val="0"/>
                <w:sz w:val="18"/>
                <w:szCs w:val="18"/>
                <w:lang w:val="en-US" w:eastAsia="zh-CN" w:bidi="ar"/>
              </w:rPr>
              <w:t>6.</w:t>
            </w:r>
            <w:r>
              <w:rPr>
                <w:rFonts w:hint="eastAsia" w:ascii="仿宋_GB2312" w:hAnsi="宋体" w:eastAsia="仿宋_GB2312" w:cs="仿宋_GB2312"/>
                <w:kern w:val="0"/>
                <w:sz w:val="18"/>
                <w:szCs w:val="18"/>
                <w:lang w:bidi="ar"/>
              </w:rPr>
              <w:t>在孤岛工作面内布置 2 个以上工作面同时进行采掘作业。</w:t>
            </w:r>
            <w:r>
              <w:rPr>
                <w:rFonts w:hint="eastAsia" w:ascii="仿宋_GB2312" w:hAnsi="宋体" w:eastAsia="仿宋_GB2312" w:cs="仿宋_GB2312"/>
                <w:kern w:val="0"/>
                <w:sz w:val="18"/>
                <w:szCs w:val="18"/>
                <w:lang w:val="en-US" w:eastAsia="zh-CN" w:bidi="ar"/>
              </w:rPr>
              <w:t>7.</w:t>
            </w:r>
            <w:r>
              <w:rPr>
                <w:rFonts w:hint="eastAsia" w:ascii="仿宋_GB2312" w:hAnsi="宋体" w:eastAsia="仿宋_GB2312" w:cs="仿宋_GB2312"/>
                <w:kern w:val="0"/>
                <w:sz w:val="18"/>
                <w:szCs w:val="18"/>
                <w:lang w:bidi="ar"/>
              </w:rPr>
              <w:t>2个掘进工作面 (2个全岩掘进工作面除外)之间的距离小于150m时，采煤工作面与掘进工作面之间的距离小于350m时；2个采煤工作面之间的距离小于500m 时，未停止其中1个工作面生产。</w:t>
            </w:r>
          </w:p>
          <w:p w14:paraId="7FCC405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val="en-US" w:eastAsia="zh-CN" w:bidi="ar"/>
              </w:rPr>
              <w:t>8.</w:t>
            </w:r>
            <w:r>
              <w:rPr>
                <w:rFonts w:hint="eastAsia" w:ascii="仿宋_GB2312" w:hAnsi="宋体" w:eastAsia="仿宋_GB2312" w:cs="仿宋_GB2312"/>
                <w:kern w:val="0"/>
                <w:sz w:val="18"/>
                <w:szCs w:val="18"/>
                <w:lang w:bidi="ar"/>
              </w:rPr>
              <w:t>采动影响区域内巷道扩修与回采平行作业或者安排 2 个以上扩修点同时作业。</w:t>
            </w:r>
            <w:r>
              <w:rPr>
                <w:rFonts w:hint="eastAsia" w:ascii="仿宋_GB2312" w:hAnsi="宋体" w:eastAsia="仿宋_GB2312" w:cs="仿宋_GB2312"/>
                <w:kern w:val="0"/>
                <w:sz w:val="18"/>
                <w:szCs w:val="18"/>
                <w:lang w:val="en-US" w:eastAsia="zh-CN" w:bidi="ar"/>
              </w:rPr>
              <w:t>9.</w:t>
            </w:r>
            <w:r>
              <w:rPr>
                <w:rFonts w:hint="eastAsia" w:ascii="仿宋_GB2312" w:hAnsi="宋体" w:eastAsia="仿宋_GB2312" w:cs="仿宋_GB2312"/>
                <w:kern w:val="0"/>
                <w:sz w:val="18"/>
                <w:szCs w:val="18"/>
                <w:lang w:bidi="ar"/>
              </w:rPr>
              <w:t>采掘工作面实施解危措施时，与实施解危措施无关的人员未撤离至与冲击地压解危地点最小直线距离超过300m。</w:t>
            </w:r>
            <w:r>
              <w:rPr>
                <w:rFonts w:hint="eastAsia" w:ascii="仿宋_GB2312" w:hAnsi="宋体" w:eastAsia="仿宋_GB2312" w:cs="仿宋_GB2312"/>
                <w:kern w:val="0"/>
                <w:sz w:val="18"/>
                <w:szCs w:val="18"/>
                <w:lang w:val="en-US" w:eastAsia="zh-CN" w:bidi="ar"/>
              </w:rPr>
              <w:t>10.</w:t>
            </w:r>
            <w:r>
              <w:rPr>
                <w:rFonts w:hint="eastAsia" w:ascii="仿宋_GB2312" w:hAnsi="宋体" w:eastAsia="仿宋_GB2312" w:cs="仿宋_GB2312"/>
                <w:kern w:val="0"/>
                <w:sz w:val="18"/>
                <w:szCs w:val="18"/>
                <w:lang w:bidi="ar"/>
              </w:rPr>
              <w:t>采掘工作面推进速度超过根据防冲设计确定的安全推进速度。</w:t>
            </w:r>
          </w:p>
          <w:p w14:paraId="4E375F0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（八）冲击地压危险区域的采煤工作面超前支护长度、强度 (支护形式) 不符合《煤矿安全规程》规定。</w:t>
            </w:r>
          </w:p>
          <w:p w14:paraId="01EA776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（九）中等以上冲击地压危险区厚煤层托顶煤掘进巷道遇顶板破碎、自然淋水、过断层、过老空区、过高应力区时，未采用锚杆锚索和可缩支架 (包括可缩性棚式支架、液压支架等) 复合支护形式加强支护。</w:t>
            </w:r>
          </w:p>
          <w:p w14:paraId="70A6F79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p>
        </w:tc>
        <w:tc>
          <w:tcPr>
            <w:tcW w:w="4082" w:type="dxa"/>
            <w:vMerge w:val="restart"/>
            <w:tcBorders>
              <w:tl2br w:val="nil"/>
              <w:tr2bl w:val="nil"/>
            </w:tcBorders>
            <w:shd w:val="clear" w:color="auto" w:fill="auto"/>
            <w:tcMar>
              <w:top w:w="15" w:type="dxa"/>
              <w:left w:w="15" w:type="dxa"/>
              <w:right w:w="15" w:type="dxa"/>
            </w:tcMar>
            <w:vAlign w:val="center"/>
          </w:tcPr>
          <w:p w14:paraId="0279408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《煤矿安全生产条例》第六十四条  对存在重大事故隐患仍然进行生产的煤矿企业，责令停产整顿，明确整顿的内容、时间等具体要求，并处50万元以上200 万元以下的罚款；对煤矿企业主要负责人处3万元以上15万元以下的罚款。</w:t>
            </w:r>
          </w:p>
        </w:tc>
        <w:tc>
          <w:tcPr>
            <w:tcW w:w="459" w:type="dxa"/>
            <w:tcBorders>
              <w:tl2br w:val="nil"/>
              <w:tr2bl w:val="nil"/>
            </w:tcBorders>
            <w:shd w:val="clear" w:color="auto" w:fill="auto"/>
            <w:noWrap/>
            <w:tcMar>
              <w:top w:w="15" w:type="dxa"/>
              <w:left w:w="15" w:type="dxa"/>
              <w:right w:w="15" w:type="dxa"/>
            </w:tcMar>
            <w:vAlign w:val="center"/>
          </w:tcPr>
          <w:p w14:paraId="0AA29E44">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594485D0">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654ACC32">
            <w:pPr>
              <w:keepNext w:val="0"/>
              <w:keepLines w:val="0"/>
              <w:pageBreakBefore w:val="0"/>
              <w:widowControl w:val="0"/>
              <w:kinsoku/>
              <w:wordWrap/>
              <w:overflowPunct w:val="0"/>
              <w:topLinePunct w:val="0"/>
              <w:autoSpaceDE/>
              <w:autoSpaceDN/>
              <w:bidi w:val="0"/>
              <w:adjustRightInd/>
              <w:snapToGrid/>
              <w:spacing w:line="26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1C1B8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C7B73E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B1B0D7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3005E7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7C437B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569A30D">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30DC199C">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66B2A671">
            <w:pPr>
              <w:keepNext w:val="0"/>
              <w:keepLines w:val="0"/>
              <w:pageBreakBefore w:val="0"/>
              <w:widowControl w:val="0"/>
              <w:kinsoku/>
              <w:wordWrap/>
              <w:overflowPunct w:val="0"/>
              <w:topLinePunct w:val="0"/>
              <w:autoSpaceDE/>
              <w:autoSpaceDN/>
              <w:bidi w:val="0"/>
              <w:adjustRightInd/>
              <w:snapToGrid/>
              <w:spacing w:line="26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F4FC7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6E897A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DC965A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60171E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AA13B7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387F73F">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5DC78923">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7EBE7CFA">
            <w:pPr>
              <w:keepNext w:val="0"/>
              <w:keepLines w:val="0"/>
              <w:pageBreakBefore w:val="0"/>
              <w:widowControl w:val="0"/>
              <w:kinsoku/>
              <w:wordWrap/>
              <w:overflowPunct w:val="0"/>
              <w:topLinePunct w:val="0"/>
              <w:autoSpaceDE/>
              <w:autoSpaceDN/>
              <w:bidi w:val="0"/>
              <w:adjustRightInd/>
              <w:snapToGrid/>
              <w:spacing w:line="26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C305C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098091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8FE712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DE3C83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06E231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F3BC202">
            <w:pPr>
              <w:keepNext w:val="0"/>
              <w:keepLines w:val="0"/>
              <w:pageBreakBefore w:val="0"/>
              <w:widowControl w:val="0"/>
              <w:kinsoku/>
              <w:wordWrap/>
              <w:overflowPunct w:val="0"/>
              <w:topLinePunct w:val="0"/>
              <w:autoSpaceDE/>
              <w:autoSpaceDN/>
              <w:bidi w:val="0"/>
              <w:adjustRightInd/>
              <w:snapToGrid/>
              <w:spacing w:line="246" w:lineRule="exact"/>
              <w:ind w:left="0" w:leftChars="0" w:right="0" w:rightChars="0" w:firstLine="0" w:firstLineChars="0"/>
              <w:jc w:val="center"/>
              <w:textAlignment w:val="center"/>
              <w:rPr>
                <w:rFonts w:ascii="仿宋_GB2312" w:hAnsi="宋体" w:eastAsia="仿宋_GB2312" w:cs="仿宋_GB2312"/>
                <w:spacing w:val="-7"/>
                <w:w w:val="95"/>
                <w:sz w:val="18"/>
                <w:szCs w:val="18"/>
              </w:rPr>
            </w:pPr>
            <w:r>
              <w:rPr>
                <w:rFonts w:hint="eastAsia" w:ascii="仿宋_GB2312" w:hAnsi="宋体" w:eastAsia="仿宋_GB2312" w:cs="仿宋_GB2312"/>
                <w:spacing w:val="-7"/>
                <w:w w:val="95"/>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6A329C3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（一）未按照《煤矿安全规程》规定开展冲击地压灾害等级鉴定，或者冲击地压灾害等级鉴定弄虚作假。</w:t>
            </w:r>
          </w:p>
          <w:p w14:paraId="271BB425">
            <w:pPr>
              <w:keepNext w:val="0"/>
              <w:keepLines w:val="0"/>
              <w:pageBreakBefore w:val="0"/>
              <w:widowControl w:val="0"/>
              <w:kinsoku/>
              <w:wordWrap/>
              <w:overflowPunct w:val="0"/>
              <w:topLinePunct w:val="0"/>
              <w:autoSpaceDE/>
              <w:autoSpaceDN/>
              <w:bidi w:val="0"/>
              <w:adjustRightInd/>
              <w:snapToGrid/>
              <w:spacing w:line="246" w:lineRule="exact"/>
              <w:textAlignment w:val="center"/>
              <w:rPr>
                <w:rFonts w:ascii="仿宋_GB2312" w:hAnsi="宋体" w:eastAsia="仿宋_GB2312" w:cs="仿宋_GB2312"/>
                <w:spacing w:val="-7"/>
                <w:w w:val="95"/>
                <w:sz w:val="18"/>
                <w:szCs w:val="18"/>
              </w:rPr>
            </w:pPr>
          </w:p>
        </w:tc>
        <w:tc>
          <w:tcPr>
            <w:tcW w:w="2655" w:type="dxa"/>
            <w:tcBorders>
              <w:tl2br w:val="nil"/>
              <w:tr2bl w:val="nil"/>
            </w:tcBorders>
            <w:shd w:val="clear" w:color="auto" w:fill="auto"/>
            <w:tcMar>
              <w:top w:w="15" w:type="dxa"/>
              <w:left w:w="15" w:type="dxa"/>
              <w:right w:w="15" w:type="dxa"/>
            </w:tcMar>
            <w:vAlign w:val="center"/>
          </w:tcPr>
          <w:p w14:paraId="3DA6589F">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 xml:space="preserve">对煤矿企业处50万元以上100万元以下的罚款；对煤矿企业主要负责人处3万元以上5万元以下的罚款。 </w:t>
            </w:r>
          </w:p>
        </w:tc>
      </w:tr>
      <w:tr w14:paraId="243ED8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D0524E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DF0717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947CB6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3468F4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6754E7C">
            <w:pPr>
              <w:keepNext w:val="0"/>
              <w:keepLines w:val="0"/>
              <w:pageBreakBefore w:val="0"/>
              <w:widowControl w:val="0"/>
              <w:kinsoku/>
              <w:wordWrap/>
              <w:overflowPunct w:val="0"/>
              <w:topLinePunct w:val="0"/>
              <w:autoSpaceDE/>
              <w:autoSpaceDN/>
              <w:bidi w:val="0"/>
              <w:adjustRightInd/>
              <w:snapToGrid/>
              <w:spacing w:line="246" w:lineRule="exact"/>
              <w:ind w:left="0" w:leftChars="0" w:right="0" w:rightChars="0" w:firstLine="0" w:firstLineChars="0"/>
              <w:jc w:val="center"/>
              <w:textAlignment w:val="center"/>
              <w:rPr>
                <w:rFonts w:ascii="仿宋_GB2312" w:hAnsi="宋体" w:eastAsia="仿宋_GB2312" w:cs="仿宋_GB2312"/>
                <w:spacing w:val="-7"/>
                <w:w w:val="95"/>
                <w:sz w:val="18"/>
                <w:szCs w:val="18"/>
              </w:rPr>
            </w:pPr>
            <w:r>
              <w:rPr>
                <w:rFonts w:hint="eastAsia" w:ascii="仿宋_GB2312" w:hAnsi="宋体" w:eastAsia="仿宋_GB2312" w:cs="仿宋_GB2312"/>
                <w:spacing w:val="-7"/>
                <w:w w:val="95"/>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793469D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（八）冲击地压危险区域的采煤工作面超前支护长度、强度 (支护形式) 不符合《煤矿安全规程》规定。</w:t>
            </w:r>
          </w:p>
          <w:p w14:paraId="2481D5E4">
            <w:pPr>
              <w:keepNext w:val="0"/>
              <w:keepLines w:val="0"/>
              <w:pageBreakBefore w:val="0"/>
              <w:widowControl w:val="0"/>
              <w:kinsoku/>
              <w:wordWrap/>
              <w:overflowPunct w:val="0"/>
              <w:topLinePunct w:val="0"/>
              <w:autoSpaceDE/>
              <w:autoSpaceDN/>
              <w:bidi w:val="0"/>
              <w:adjustRightInd/>
              <w:snapToGrid/>
              <w:spacing w:line="246" w:lineRule="exact"/>
              <w:textAlignment w:val="center"/>
              <w:rPr>
                <w:rFonts w:ascii="仿宋_GB2312" w:hAnsi="宋体" w:eastAsia="仿宋_GB2312" w:cs="仿宋_GB2312"/>
                <w:spacing w:val="-7"/>
                <w:w w:val="95"/>
                <w:sz w:val="18"/>
                <w:szCs w:val="18"/>
              </w:rPr>
            </w:pPr>
            <w:r>
              <w:rPr>
                <w:rFonts w:hint="eastAsia" w:ascii="仿宋_GB2312" w:hAnsi="宋体" w:eastAsia="仿宋_GB2312" w:cs="仿宋_GB2312"/>
                <w:kern w:val="0"/>
                <w:sz w:val="18"/>
                <w:szCs w:val="18"/>
                <w:lang w:bidi="ar"/>
              </w:rPr>
              <w:t>（九）中等以上冲击地压危险区厚煤层托顶煤掘进巷道遇顶板破碎、自然淋水、过断层、过老空区、过高应力区时，未采用锚杆锚索和可缩支架 (包括可缩性棚式支架、液压支架等) 复合支护形式加强支护。</w:t>
            </w:r>
          </w:p>
        </w:tc>
        <w:tc>
          <w:tcPr>
            <w:tcW w:w="2655" w:type="dxa"/>
            <w:tcBorders>
              <w:tl2br w:val="nil"/>
              <w:tr2bl w:val="nil"/>
            </w:tcBorders>
            <w:shd w:val="clear" w:color="auto" w:fill="auto"/>
            <w:tcMar>
              <w:top w:w="15" w:type="dxa"/>
              <w:left w:w="15" w:type="dxa"/>
              <w:right w:w="15" w:type="dxa"/>
            </w:tcMar>
            <w:vAlign w:val="center"/>
          </w:tcPr>
          <w:p w14:paraId="6DD39D84">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对煤矿企业处100万元以上150万元以下的罚款；对煤矿企业主要负责人处5万元以上10万元以下的罚款。</w:t>
            </w:r>
          </w:p>
        </w:tc>
      </w:tr>
      <w:tr w14:paraId="6D0074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FD76EC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D283BA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DAC190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2E943B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DADF9D2">
            <w:pPr>
              <w:keepNext w:val="0"/>
              <w:keepLines w:val="0"/>
              <w:pageBreakBefore w:val="0"/>
              <w:widowControl w:val="0"/>
              <w:kinsoku/>
              <w:wordWrap/>
              <w:overflowPunct w:val="0"/>
              <w:topLinePunct w:val="0"/>
              <w:autoSpaceDE/>
              <w:autoSpaceDN/>
              <w:bidi w:val="0"/>
              <w:adjustRightInd/>
              <w:snapToGrid/>
              <w:spacing w:line="246" w:lineRule="exact"/>
              <w:ind w:left="0" w:leftChars="0" w:right="0" w:rightChars="0" w:firstLine="0" w:firstLineChars="0"/>
              <w:jc w:val="center"/>
              <w:textAlignment w:val="center"/>
              <w:rPr>
                <w:rFonts w:ascii="仿宋_GB2312" w:hAnsi="宋体" w:eastAsia="仿宋_GB2312" w:cs="仿宋_GB2312"/>
                <w:spacing w:val="-7"/>
                <w:w w:val="95"/>
                <w:sz w:val="18"/>
                <w:szCs w:val="18"/>
              </w:rPr>
            </w:pPr>
            <w:r>
              <w:rPr>
                <w:rFonts w:hint="eastAsia" w:ascii="仿宋_GB2312" w:hAnsi="宋体" w:eastAsia="仿宋_GB2312" w:cs="仿宋_GB2312"/>
                <w:spacing w:val="-7"/>
                <w:w w:val="95"/>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53D48AD8">
            <w:pPr>
              <w:keepNext w:val="0"/>
              <w:keepLines w:val="0"/>
              <w:pageBreakBefore w:val="0"/>
              <w:widowControl w:val="0"/>
              <w:kinsoku/>
              <w:wordWrap/>
              <w:overflowPunct w:val="0"/>
              <w:topLinePunct w:val="0"/>
              <w:autoSpaceDE/>
              <w:autoSpaceDN/>
              <w:bidi w:val="0"/>
              <w:adjustRightInd/>
              <w:snapToGrid/>
              <w:spacing w:line="246" w:lineRule="exact"/>
              <w:textAlignment w:val="center"/>
              <w:rPr>
                <w:rFonts w:ascii="仿宋_GB2312" w:hAnsi="宋体" w:eastAsia="仿宋_GB2312" w:cs="仿宋_GB2312"/>
                <w:spacing w:val="-7"/>
                <w:w w:val="95"/>
                <w:sz w:val="18"/>
                <w:szCs w:val="18"/>
              </w:rPr>
            </w:pPr>
            <w:r>
              <w:rPr>
                <w:rFonts w:hint="eastAsia" w:ascii="仿宋_GB2312" w:hAnsi="宋体" w:eastAsia="仿宋_GB2312" w:cs="仿宋_GB2312"/>
                <w:kern w:val="0"/>
                <w:sz w:val="18"/>
                <w:szCs w:val="18"/>
                <w:lang w:val="en-US" w:eastAsia="zh-CN" w:bidi="ar"/>
              </w:rPr>
              <w:t>符合</w:t>
            </w:r>
            <w:r>
              <w:rPr>
                <w:rFonts w:hint="eastAsia" w:ascii="仿宋_GB2312" w:hAnsi="宋体" w:eastAsia="仿宋_GB2312" w:cs="仿宋_GB2312"/>
                <w:kern w:val="0"/>
                <w:sz w:val="18"/>
                <w:szCs w:val="18"/>
                <w:lang w:bidi="ar"/>
              </w:rPr>
              <w:t>《煤矿重大事故隐患判定标准》第</w:t>
            </w:r>
            <w:r>
              <w:rPr>
                <w:rFonts w:hint="eastAsia" w:ascii="仿宋_GB2312" w:hAnsi="宋体" w:eastAsia="仿宋_GB2312" w:cs="仿宋_GB2312"/>
                <w:kern w:val="0"/>
                <w:sz w:val="18"/>
                <w:szCs w:val="18"/>
                <w:lang w:val="en-US" w:eastAsia="zh-CN" w:bidi="ar"/>
              </w:rPr>
              <w:t>十一</w:t>
            </w:r>
            <w:r>
              <w:rPr>
                <w:rFonts w:hint="eastAsia" w:ascii="仿宋_GB2312" w:hAnsi="宋体" w:eastAsia="仿宋_GB2312" w:cs="仿宋_GB2312"/>
                <w:kern w:val="0"/>
                <w:sz w:val="18"/>
                <w:szCs w:val="18"/>
                <w:lang w:bidi="ar"/>
              </w:rPr>
              <w:t>条</w:t>
            </w:r>
            <w:r>
              <w:rPr>
                <w:rFonts w:hint="eastAsia" w:ascii="仿宋_GB2312" w:hAnsi="宋体" w:eastAsia="仿宋_GB2312" w:cs="仿宋_GB2312"/>
                <w:kern w:val="0"/>
                <w:sz w:val="18"/>
                <w:szCs w:val="18"/>
                <w:lang w:val="en-US" w:eastAsia="zh-CN" w:bidi="ar"/>
              </w:rPr>
              <w:t>第二至七项情形的。</w:t>
            </w:r>
          </w:p>
        </w:tc>
        <w:tc>
          <w:tcPr>
            <w:tcW w:w="2655" w:type="dxa"/>
            <w:tcBorders>
              <w:tl2br w:val="nil"/>
              <w:tr2bl w:val="nil"/>
            </w:tcBorders>
            <w:shd w:val="clear" w:color="auto" w:fill="auto"/>
            <w:tcMar>
              <w:top w:w="15" w:type="dxa"/>
              <w:left w:w="15" w:type="dxa"/>
              <w:right w:w="15" w:type="dxa"/>
            </w:tcMar>
            <w:vAlign w:val="center"/>
          </w:tcPr>
          <w:p w14:paraId="3866CB61">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val="en-US" w:eastAsia="zh-CN" w:bidi="ar"/>
              </w:rPr>
              <w:t>对煤矿企业处150万元以上200万元以下的罚款；对煤矿企业主要负责人处10万元以上15万元以下的罚款。</w:t>
            </w:r>
          </w:p>
        </w:tc>
      </w:tr>
      <w:tr w14:paraId="3300A6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31F70BA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z w:val="18"/>
                <w:szCs w:val="18"/>
                <w:lang w:eastAsia="zh-CN"/>
              </w:rPr>
            </w:pPr>
            <w:r>
              <w:rPr>
                <w:rFonts w:hint="eastAsia" w:ascii="仿宋_GB2312" w:hAnsi="宋体" w:eastAsia="仿宋_GB2312" w:cs="仿宋_GB2312"/>
                <w:kern w:val="0"/>
                <w:sz w:val="18"/>
                <w:szCs w:val="18"/>
                <w:lang w:bidi="ar"/>
              </w:rPr>
              <w:t>4</w:t>
            </w:r>
            <w:del w:id="1461" w:author="LV" w:date="2026-07-14T16:21:52Z">
              <w:r>
                <w:rPr>
                  <w:rFonts w:hint="default" w:ascii="仿宋_GB2312" w:hAnsi="宋体" w:eastAsia="仿宋_GB2312" w:cs="仿宋_GB2312"/>
                  <w:kern w:val="0"/>
                  <w:sz w:val="18"/>
                  <w:szCs w:val="18"/>
                  <w:lang w:val="en-US" w:bidi="ar"/>
                </w:rPr>
                <w:delText>3</w:delText>
              </w:r>
            </w:del>
            <w:ins w:id="1462" w:author="LV" w:date="2026-07-14T16:21:52Z">
              <w:r>
                <w:rPr>
                  <w:rFonts w:hint="eastAsia" w:ascii="仿宋_GB2312" w:hAnsi="宋体" w:eastAsia="仿宋_GB2312" w:cs="仿宋_GB2312"/>
                  <w:kern w:val="0"/>
                  <w:sz w:val="18"/>
                  <w:szCs w:val="18"/>
                  <w:lang w:val="en-US" w:eastAsia="zh-CN" w:bidi="ar"/>
                </w:rPr>
                <w:t>5</w:t>
              </w:r>
            </w:ins>
          </w:p>
        </w:tc>
        <w:tc>
          <w:tcPr>
            <w:tcW w:w="1005" w:type="dxa"/>
            <w:vMerge w:val="restart"/>
            <w:tcBorders>
              <w:tl2br w:val="nil"/>
              <w:tr2bl w:val="nil"/>
            </w:tcBorders>
            <w:shd w:val="clear" w:color="auto" w:fill="auto"/>
            <w:tcMar>
              <w:top w:w="15" w:type="dxa"/>
              <w:left w:w="15" w:type="dxa"/>
              <w:right w:w="15" w:type="dxa"/>
            </w:tcMar>
            <w:vAlign w:val="center"/>
          </w:tcPr>
          <w:p w14:paraId="19E5B93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煤矿自然发火严重，未采取有效措施的</w:t>
            </w:r>
          </w:p>
        </w:tc>
        <w:tc>
          <w:tcPr>
            <w:tcW w:w="3667" w:type="dxa"/>
            <w:vMerge w:val="restart"/>
            <w:tcBorders>
              <w:tl2br w:val="nil"/>
              <w:tr2bl w:val="nil"/>
            </w:tcBorders>
            <w:shd w:val="clear" w:color="auto" w:fill="auto"/>
            <w:tcMar>
              <w:top w:w="15" w:type="dxa"/>
              <w:left w:w="15" w:type="dxa"/>
              <w:right w:w="15" w:type="dxa"/>
            </w:tcMar>
            <w:vAlign w:val="center"/>
          </w:tcPr>
          <w:p w14:paraId="7403361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《煤矿安全生产条例》第三十六条第九项  煤矿企业有下列情形之一的，属于重大事故隐患，应当立即停止受影响区域生产、建设，并及时消除事故隐患：（九）自然发火严重，未采取有效措施的；</w:t>
            </w:r>
          </w:p>
          <w:p w14:paraId="4F6DF63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《煤矿重大事故隐患判定标准》第十二条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“自然发火严重，未采取有效措施”重大事故隐患，是指有下列情形之一的：</w:t>
            </w:r>
          </w:p>
          <w:p w14:paraId="40B2F90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（一）开采容易自燃和自燃的煤层，采煤工作面 (充填开采的除外) 未按照工作面防灭火技术措施采取灌浆、注惰性气体或者喷洒阻化剂等防灭火措施，或者采用灌浆防火时，灌浆管路未直接铺设至灌浆地点，或者采用注惰性气体防火时，释放口未保持在采空区氧化带内。</w:t>
            </w:r>
          </w:p>
          <w:p w14:paraId="7F39427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（二）井下出现自然发火征兆，受威胁区域未停止作业并采取措施处理，或者在发火征兆不能得到有效控制时未撤出危险区域人员，或者进行封闭施工作业时未撤出与施工无关的所有人员。</w:t>
            </w:r>
          </w:p>
          <w:p w14:paraId="7B39F63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（三）未按照《煤矿安全规程》规定封闭、启封火区。</w:t>
            </w:r>
          </w:p>
          <w:p w14:paraId="391B09F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p>
        </w:tc>
        <w:tc>
          <w:tcPr>
            <w:tcW w:w="4082" w:type="dxa"/>
            <w:vMerge w:val="restart"/>
            <w:tcBorders>
              <w:tl2br w:val="nil"/>
              <w:tr2bl w:val="nil"/>
            </w:tcBorders>
            <w:shd w:val="clear" w:color="auto" w:fill="auto"/>
            <w:tcMar>
              <w:top w:w="15" w:type="dxa"/>
              <w:left w:w="15" w:type="dxa"/>
              <w:right w:w="15" w:type="dxa"/>
            </w:tcMar>
            <w:vAlign w:val="center"/>
          </w:tcPr>
          <w:p w14:paraId="60F26E7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《煤矿安全生产条例》第六十四条  对存在重大事故隐患仍然进行生产的煤矿企业，责令停产整顿，明确整顿的内容、时间等具体要求，并处50万元以上200 万元以下的罚款；对煤矿企业主要负责人处3万元以上15 万元以下的罚款。</w:t>
            </w:r>
          </w:p>
        </w:tc>
        <w:tc>
          <w:tcPr>
            <w:tcW w:w="459" w:type="dxa"/>
            <w:tcBorders>
              <w:tl2br w:val="nil"/>
              <w:tr2bl w:val="nil"/>
            </w:tcBorders>
            <w:shd w:val="clear" w:color="auto" w:fill="auto"/>
            <w:noWrap/>
            <w:tcMar>
              <w:top w:w="15" w:type="dxa"/>
              <w:left w:w="15" w:type="dxa"/>
              <w:right w:w="15" w:type="dxa"/>
            </w:tcMar>
            <w:vAlign w:val="center"/>
          </w:tcPr>
          <w:p w14:paraId="1782E80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2562762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36A1E756">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DBA83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48103A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9F7B73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B689E3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0C493B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BDD405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0088F0F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59FD64D6">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39C97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A27D7B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76750F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67577F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34C738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51B3B2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48E0B69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5B64B54">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8135E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43C77B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74D8EF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56D7DD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A3C80D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3340AD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3E025EA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开采容易自燃和自燃的煤层，采煤工作面 (充填开采的除外) 未按照工作面防灭火技术措施采取灌浆、注惰性气体或者喷洒阻化剂等防灭火措施，或者采用灌浆防火时，灌浆管路未直接铺设至灌浆地点，或者采用注惰性气体防火时，释放口未保持在采空区氧化带内。</w:t>
            </w:r>
          </w:p>
        </w:tc>
        <w:tc>
          <w:tcPr>
            <w:tcW w:w="2655" w:type="dxa"/>
            <w:tcBorders>
              <w:tl2br w:val="nil"/>
              <w:tr2bl w:val="nil"/>
            </w:tcBorders>
            <w:shd w:val="clear" w:color="auto" w:fill="auto"/>
            <w:tcMar>
              <w:top w:w="15" w:type="dxa"/>
              <w:left w:w="15" w:type="dxa"/>
              <w:right w:w="15" w:type="dxa"/>
            </w:tcMar>
            <w:vAlign w:val="center"/>
          </w:tcPr>
          <w:p w14:paraId="49DCBA7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责令停产整顿，提出整顿的内容、时间等具体要求，处50万元以上100万元以下的罚款；对煤矿企业负责人处3万元以上5万元以下的罚款。</w:t>
            </w:r>
          </w:p>
        </w:tc>
      </w:tr>
      <w:tr w14:paraId="79CE92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7E1064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6C0EEE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1DF7E9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C8A138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CBB570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53984EA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未按照《煤矿安全规程》规定封闭、启封火区。</w:t>
            </w:r>
          </w:p>
          <w:p w14:paraId="78CD0F9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p>
        </w:tc>
        <w:tc>
          <w:tcPr>
            <w:tcW w:w="2655" w:type="dxa"/>
            <w:tcBorders>
              <w:tl2br w:val="nil"/>
              <w:tr2bl w:val="nil"/>
            </w:tcBorders>
            <w:shd w:val="clear" w:color="auto" w:fill="auto"/>
            <w:tcMar>
              <w:top w:w="15" w:type="dxa"/>
              <w:left w:w="15" w:type="dxa"/>
              <w:right w:w="15" w:type="dxa"/>
            </w:tcMar>
            <w:vAlign w:val="center"/>
          </w:tcPr>
          <w:p w14:paraId="2CC338A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责令停产整顿，提出整顿的内容、时间等具体要求，处100万元以上150万元以下的罚款；对煤矿企业负责人处5万元以上10万元以下的罚款。</w:t>
            </w:r>
          </w:p>
        </w:tc>
      </w:tr>
      <w:tr w14:paraId="1C4B82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593BA5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38016A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C96F01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E9A3A9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1F8F50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79BFD8E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井下出现自然发火征兆，受威胁区域未停止作业并采取措施处理，或者在发火征兆不能得到有效控制时未撤出危险区域人员，或者进行封闭施工作业时未撤出与施工无关的所有人员。</w:t>
            </w:r>
          </w:p>
          <w:p w14:paraId="19EEE36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p>
        </w:tc>
        <w:tc>
          <w:tcPr>
            <w:tcW w:w="2655" w:type="dxa"/>
            <w:tcBorders>
              <w:tl2br w:val="nil"/>
              <w:tr2bl w:val="nil"/>
            </w:tcBorders>
            <w:shd w:val="clear" w:color="auto" w:fill="auto"/>
            <w:tcMar>
              <w:top w:w="15" w:type="dxa"/>
              <w:left w:w="15" w:type="dxa"/>
              <w:right w:w="15" w:type="dxa"/>
            </w:tcMar>
            <w:vAlign w:val="center"/>
          </w:tcPr>
          <w:p w14:paraId="5CB1231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责令停产整顿，提出整顿的内容、时间等具体要求，处150万元以上200万元以下的罚款；对煤矿企业负责人处10万元以上15万元以下的罚款。</w:t>
            </w:r>
          </w:p>
        </w:tc>
      </w:tr>
      <w:tr w14:paraId="077FB4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2B7201E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z w:val="18"/>
                <w:szCs w:val="18"/>
                <w:lang w:eastAsia="zh-CN"/>
              </w:rPr>
            </w:pPr>
            <w:r>
              <w:rPr>
                <w:rFonts w:hint="eastAsia" w:ascii="仿宋_GB2312" w:hAnsi="宋体" w:eastAsia="仿宋_GB2312" w:cs="仿宋_GB2312"/>
                <w:kern w:val="0"/>
                <w:sz w:val="18"/>
                <w:szCs w:val="18"/>
                <w:lang w:bidi="ar"/>
              </w:rPr>
              <w:t>4</w:t>
            </w:r>
            <w:del w:id="1463" w:author="LV" w:date="2026-07-14T16:22:04Z">
              <w:r>
                <w:rPr>
                  <w:rFonts w:hint="default" w:ascii="仿宋_GB2312" w:hAnsi="宋体" w:eastAsia="仿宋_GB2312" w:cs="仿宋_GB2312"/>
                  <w:kern w:val="0"/>
                  <w:sz w:val="18"/>
                  <w:szCs w:val="18"/>
                  <w:lang w:val="en-US" w:eastAsia="zh-CN" w:bidi="ar"/>
                </w:rPr>
                <w:delText>4</w:delText>
              </w:r>
            </w:del>
            <w:ins w:id="1464" w:author="LV" w:date="2026-07-14T16:22:04Z">
              <w:r>
                <w:rPr>
                  <w:rFonts w:hint="eastAsia" w:ascii="仿宋_GB2312" w:hAnsi="宋体" w:eastAsia="仿宋_GB2312" w:cs="仿宋_GB2312"/>
                  <w:kern w:val="0"/>
                  <w:sz w:val="18"/>
                  <w:szCs w:val="18"/>
                  <w:lang w:val="en-US" w:eastAsia="zh-CN" w:bidi="ar"/>
                </w:rPr>
                <w:t>6</w:t>
              </w:r>
            </w:ins>
          </w:p>
        </w:tc>
        <w:tc>
          <w:tcPr>
            <w:tcW w:w="1005" w:type="dxa"/>
            <w:vMerge w:val="restart"/>
            <w:tcBorders>
              <w:tl2br w:val="nil"/>
              <w:tr2bl w:val="nil"/>
            </w:tcBorders>
            <w:shd w:val="clear" w:color="auto" w:fill="auto"/>
            <w:tcMar>
              <w:top w:w="15" w:type="dxa"/>
              <w:left w:w="15" w:type="dxa"/>
              <w:right w:w="15" w:type="dxa"/>
            </w:tcMar>
            <w:vAlign w:val="center"/>
          </w:tcPr>
          <w:p w14:paraId="6BC9C67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使用应当淘汰的危及生产安全的设备、工艺的</w:t>
            </w:r>
          </w:p>
        </w:tc>
        <w:tc>
          <w:tcPr>
            <w:tcW w:w="3667" w:type="dxa"/>
            <w:vMerge w:val="restart"/>
            <w:tcBorders>
              <w:tl2br w:val="nil"/>
              <w:tr2bl w:val="nil"/>
            </w:tcBorders>
            <w:shd w:val="clear" w:color="auto" w:fill="auto"/>
            <w:tcMar>
              <w:top w:w="15" w:type="dxa"/>
              <w:left w:w="15" w:type="dxa"/>
              <w:right w:w="15" w:type="dxa"/>
            </w:tcMar>
            <w:vAlign w:val="center"/>
          </w:tcPr>
          <w:p w14:paraId="66AAD55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《煤矿安全生产条例》第三十六条第</w:t>
            </w:r>
            <w:r>
              <w:rPr>
                <w:rFonts w:hint="eastAsia" w:ascii="仿宋_GB2312" w:hAnsi="宋体" w:eastAsia="仿宋_GB2312" w:cs="仿宋_GB2312"/>
                <w:kern w:val="0"/>
                <w:sz w:val="18"/>
                <w:szCs w:val="18"/>
                <w:lang w:val="en-US" w:eastAsia="zh-CN" w:bidi="ar"/>
              </w:rPr>
              <w:t>十</w:t>
            </w:r>
            <w:r>
              <w:rPr>
                <w:rFonts w:hint="eastAsia" w:ascii="仿宋_GB2312" w:hAnsi="宋体" w:eastAsia="仿宋_GB2312" w:cs="仿宋_GB2312"/>
                <w:kern w:val="0"/>
                <w:sz w:val="18"/>
                <w:szCs w:val="18"/>
                <w:lang w:bidi="ar"/>
              </w:rPr>
              <w:t>项  煤矿企业有下列情形之一的，属于重大事故隐患，应当立即停止受影响区域生产、建设，并及时消除事故隐患：（十）使用应当淘汰的危及生产安全的设备、工艺的；</w:t>
            </w:r>
          </w:p>
          <w:p w14:paraId="3A13473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《煤矿重大事故隐患判定标准》第十</w:t>
            </w:r>
            <w:r>
              <w:rPr>
                <w:rFonts w:hint="eastAsia" w:ascii="仿宋_GB2312" w:hAnsi="宋体" w:eastAsia="仿宋_GB2312" w:cs="仿宋_GB2312"/>
                <w:kern w:val="0"/>
                <w:sz w:val="18"/>
                <w:szCs w:val="18"/>
                <w:lang w:val="en-US" w:eastAsia="zh-CN" w:bidi="ar"/>
              </w:rPr>
              <w:t>三</w:t>
            </w:r>
            <w:r>
              <w:rPr>
                <w:rFonts w:hint="eastAsia" w:ascii="仿宋_GB2312" w:hAnsi="宋体" w:eastAsia="仿宋_GB2312" w:cs="仿宋_GB2312"/>
                <w:kern w:val="0"/>
                <w:sz w:val="18"/>
                <w:szCs w:val="18"/>
                <w:lang w:bidi="ar"/>
              </w:rPr>
              <w:t>条 “使用应当淘汰的危及生产安全的设备、工艺” 重大事故隐患</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是指有下列情形之一的：</w:t>
            </w:r>
          </w:p>
          <w:p w14:paraId="5D27E17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（一）使用禁止井工煤矿使用的设备及工艺目录、矿山安全落后工艺及设备淘汰目录中明确的国家明令禁止的设备或者工艺。</w:t>
            </w:r>
          </w:p>
          <w:p w14:paraId="098836B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（二）井下使用的电气设备、反应型高分子材料、风筒、输送带未取得煤矿矿用产品安全标志。</w:t>
            </w:r>
          </w:p>
          <w:p w14:paraId="7B4BCB6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（三）井下电气设备选型与矿井瓦斯等级不符。</w:t>
            </w:r>
          </w:p>
          <w:p w14:paraId="005CD75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（四）采 (盘) 区内防爆电气设备存在下列失爆情形之一的：</w:t>
            </w:r>
            <w:r>
              <w:rPr>
                <w:rFonts w:hint="eastAsia" w:ascii="仿宋_GB2312" w:hAnsi="宋体" w:eastAsia="仿宋_GB2312" w:cs="仿宋_GB2312"/>
                <w:kern w:val="0"/>
                <w:sz w:val="18"/>
                <w:szCs w:val="18"/>
                <w:lang w:val="en-US" w:eastAsia="zh-CN" w:bidi="ar"/>
              </w:rPr>
              <w:t>1.</w:t>
            </w:r>
            <w:r>
              <w:rPr>
                <w:rFonts w:hint="eastAsia" w:ascii="仿宋_GB2312" w:hAnsi="宋体" w:eastAsia="仿宋_GB2312" w:cs="仿宋_GB2312"/>
                <w:kern w:val="0"/>
                <w:sz w:val="18"/>
                <w:szCs w:val="18"/>
                <w:lang w:bidi="ar"/>
              </w:rPr>
              <w:t>隔爆外壳有裂纹、开焊、变形长度超过 50mm 或者凸凹深度超过 5mm。</w:t>
            </w:r>
            <w:r>
              <w:rPr>
                <w:rFonts w:hint="eastAsia" w:ascii="仿宋_GB2312" w:hAnsi="宋体" w:eastAsia="仿宋_GB2312" w:cs="仿宋_GB2312"/>
                <w:kern w:val="0"/>
                <w:sz w:val="18"/>
                <w:szCs w:val="18"/>
                <w:lang w:val="en-US" w:eastAsia="zh-CN" w:bidi="ar"/>
              </w:rPr>
              <w:t>2.</w:t>
            </w:r>
            <w:r>
              <w:rPr>
                <w:rFonts w:hint="eastAsia" w:ascii="仿宋_GB2312" w:hAnsi="宋体" w:eastAsia="仿宋_GB2312" w:cs="仿宋_GB2312"/>
                <w:kern w:val="0"/>
                <w:sz w:val="18"/>
                <w:szCs w:val="18"/>
                <w:lang w:bidi="ar"/>
              </w:rPr>
              <w:t>安装有轴承转轴且穿过隔爆外壳壁的地方未设置隔爆轴承盖。</w:t>
            </w:r>
            <w:r>
              <w:rPr>
                <w:rFonts w:hint="eastAsia" w:ascii="仿宋_GB2312" w:hAnsi="宋体" w:eastAsia="仿宋_GB2312" w:cs="仿宋_GB2312"/>
                <w:kern w:val="0"/>
                <w:sz w:val="18"/>
                <w:szCs w:val="18"/>
                <w:lang w:val="en-US" w:eastAsia="zh-CN" w:bidi="ar"/>
              </w:rPr>
              <w:t>3.</w:t>
            </w:r>
            <w:r>
              <w:rPr>
                <w:rFonts w:hint="eastAsia" w:ascii="仿宋_GB2312" w:hAnsi="宋体" w:eastAsia="仿宋_GB2312" w:cs="仿宋_GB2312"/>
                <w:kern w:val="0"/>
                <w:sz w:val="18"/>
                <w:szCs w:val="18"/>
                <w:lang w:bidi="ar"/>
              </w:rPr>
              <w:t>冗余电缆引入口没有进行封堵，或者密封圈的单孔内穿进多根电缆。</w:t>
            </w:r>
            <w:r>
              <w:rPr>
                <w:rFonts w:hint="eastAsia" w:ascii="仿宋_GB2312" w:hAnsi="宋体" w:eastAsia="仿宋_GB2312" w:cs="仿宋_GB2312"/>
                <w:kern w:val="0"/>
                <w:sz w:val="18"/>
                <w:szCs w:val="18"/>
                <w:lang w:val="en-US" w:eastAsia="zh-CN" w:bidi="ar"/>
              </w:rPr>
              <w:t>4.</w:t>
            </w:r>
            <w:r>
              <w:rPr>
                <w:rFonts w:hint="eastAsia" w:ascii="仿宋_GB2312" w:hAnsi="宋体" w:eastAsia="仿宋_GB2312" w:cs="仿宋_GB2312"/>
                <w:kern w:val="0"/>
                <w:sz w:val="18"/>
                <w:szCs w:val="18"/>
                <w:lang w:bidi="ar"/>
              </w:rPr>
              <w:t>隔爆室 (腔) 的观察孔 (窗) 的透明板松动、破裂或者使用普通玻璃替代。</w:t>
            </w:r>
            <w:r>
              <w:rPr>
                <w:rFonts w:hint="eastAsia" w:ascii="仿宋_GB2312" w:hAnsi="宋体" w:eastAsia="仿宋_GB2312" w:cs="仿宋_GB2312"/>
                <w:kern w:val="0"/>
                <w:sz w:val="18"/>
                <w:szCs w:val="18"/>
                <w:lang w:val="en-US" w:eastAsia="zh-CN" w:bidi="ar"/>
              </w:rPr>
              <w:t>5.</w:t>
            </w:r>
            <w:r>
              <w:rPr>
                <w:rFonts w:hint="eastAsia" w:ascii="仿宋_GB2312" w:hAnsi="宋体" w:eastAsia="仿宋_GB2312" w:cs="仿宋_GB2312"/>
                <w:kern w:val="0"/>
                <w:sz w:val="18"/>
                <w:szCs w:val="18"/>
                <w:lang w:bidi="ar"/>
              </w:rPr>
              <w:t>隔爆设备的隔爆腔之间直接贯通。</w:t>
            </w:r>
            <w:r>
              <w:rPr>
                <w:rFonts w:hint="eastAsia" w:ascii="仿宋_GB2312" w:hAnsi="宋体" w:eastAsia="仿宋_GB2312" w:cs="仿宋_GB2312"/>
                <w:kern w:val="0"/>
                <w:sz w:val="18"/>
                <w:szCs w:val="18"/>
                <w:lang w:val="en-US" w:eastAsia="zh-CN" w:bidi="ar"/>
              </w:rPr>
              <w:t>6.</w:t>
            </w:r>
            <w:r>
              <w:rPr>
                <w:rFonts w:hint="eastAsia" w:ascii="仿宋_GB2312" w:hAnsi="宋体" w:eastAsia="仿宋_GB2312" w:cs="仿宋_GB2312"/>
                <w:kern w:val="0"/>
                <w:sz w:val="18"/>
                <w:szCs w:val="18"/>
                <w:lang w:bidi="ar"/>
              </w:rPr>
              <w:t>防爆电气设备闭锁装置失效。</w:t>
            </w:r>
          </w:p>
          <w:p w14:paraId="12E002F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（五）未按照矿井瓦斯等级选用相应的煤矿许用炸药或者数码电子雷管。</w:t>
            </w:r>
          </w:p>
          <w:p w14:paraId="59DCE8B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（六）未使用专用起爆控制器或者裸露爆破。</w:t>
            </w:r>
            <w:r>
              <w:rPr>
                <w:rFonts w:hint="eastAsia" w:ascii="仿宋_GB2312" w:hAnsi="宋体" w:eastAsia="仿宋_GB2312" w:cs="仿宋_GB2312"/>
                <w:kern w:val="0"/>
                <w:sz w:val="18"/>
                <w:szCs w:val="18"/>
                <w:lang w:eastAsia="zh-CN" w:bidi="ar"/>
              </w:rPr>
              <w:t xml:space="preserve"> </w:t>
            </w:r>
          </w:p>
          <w:p w14:paraId="3DC13D1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p>
        </w:tc>
        <w:tc>
          <w:tcPr>
            <w:tcW w:w="4082" w:type="dxa"/>
            <w:vMerge w:val="restart"/>
            <w:tcBorders>
              <w:tl2br w:val="nil"/>
              <w:tr2bl w:val="nil"/>
            </w:tcBorders>
            <w:shd w:val="clear" w:color="auto" w:fill="auto"/>
            <w:tcMar>
              <w:top w:w="15" w:type="dxa"/>
              <w:left w:w="15" w:type="dxa"/>
              <w:right w:w="15" w:type="dxa"/>
            </w:tcMar>
            <w:vAlign w:val="center"/>
          </w:tcPr>
          <w:p w14:paraId="1F4C951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《煤矿安全生产条例》第六十四条  对存在重大事故隐患仍然进行生产的煤矿企业，责令停产整顿，明确整顿的内容、时间等具体要求，并处50万元以上200 万元以下的罚款；对煤矿企业主要负责人处3万元以上15 万元以下的罚款。</w:t>
            </w:r>
          </w:p>
        </w:tc>
        <w:tc>
          <w:tcPr>
            <w:tcW w:w="459" w:type="dxa"/>
            <w:tcBorders>
              <w:tl2br w:val="nil"/>
              <w:tr2bl w:val="nil"/>
            </w:tcBorders>
            <w:shd w:val="clear" w:color="auto" w:fill="auto"/>
            <w:noWrap/>
            <w:tcMar>
              <w:top w:w="15" w:type="dxa"/>
              <w:left w:w="15" w:type="dxa"/>
              <w:right w:w="15" w:type="dxa"/>
            </w:tcMar>
            <w:vAlign w:val="center"/>
          </w:tcPr>
          <w:p w14:paraId="6C4B6EB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62BA590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1586A11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16D30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B43FE7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F332AE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23E851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A20928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8D9C43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611C587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2D1C844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307F2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034B90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7BBC87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2FACD6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7962D9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74F29F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655328D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725E75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FEE68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5B62CE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214F11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AB8CB6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BBEF16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ED4D1C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779E761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井下使用的电气设备、反应型高分子材料、风筒、输送带未取得煤矿矿用产品安全标志。</w:t>
            </w:r>
          </w:p>
        </w:tc>
        <w:tc>
          <w:tcPr>
            <w:tcW w:w="2655" w:type="dxa"/>
            <w:tcBorders>
              <w:tl2br w:val="nil"/>
              <w:tr2bl w:val="nil"/>
            </w:tcBorders>
            <w:shd w:val="clear" w:color="auto" w:fill="auto"/>
            <w:tcMar>
              <w:top w:w="15" w:type="dxa"/>
              <w:left w:w="15" w:type="dxa"/>
              <w:right w:w="15" w:type="dxa"/>
            </w:tcMar>
            <w:vAlign w:val="center"/>
          </w:tcPr>
          <w:p w14:paraId="2289AB1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责令停产整顿，提出整顿的内容、时间等具体要求，处50万元以上100万元以下的罚款；对煤矿企业负责人处3万元以上5万元以下的罚款。</w:t>
            </w:r>
          </w:p>
        </w:tc>
      </w:tr>
      <w:tr w14:paraId="0FC195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DC5579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4BF4E8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2398E8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CFA66D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8BA22E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45606F5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使用禁止井工煤矿使用的设备及工艺目录、矿山安全落后工艺及设备淘汰目录中明确的国家明令禁止的设备或者工艺。</w:t>
            </w:r>
          </w:p>
        </w:tc>
        <w:tc>
          <w:tcPr>
            <w:tcW w:w="2655" w:type="dxa"/>
            <w:tcBorders>
              <w:tl2br w:val="nil"/>
              <w:tr2bl w:val="nil"/>
            </w:tcBorders>
            <w:shd w:val="clear" w:color="auto" w:fill="auto"/>
            <w:tcMar>
              <w:top w:w="15" w:type="dxa"/>
              <w:left w:w="15" w:type="dxa"/>
              <w:right w:w="15" w:type="dxa"/>
            </w:tcMar>
            <w:vAlign w:val="center"/>
          </w:tcPr>
          <w:p w14:paraId="7FECFB0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责令停产整顿，提出整顿的内容、时间等具体要求，处100万元以上150万元以下的罚款；对煤矿企业负责人处5万元以上10万元以下的罚款。</w:t>
            </w:r>
          </w:p>
        </w:tc>
      </w:tr>
      <w:tr w14:paraId="19EB81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BA309D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73F900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BA8642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EE91B4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DB61B6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29B6460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val="en-US" w:eastAsia="zh-CN" w:bidi="ar"/>
              </w:rPr>
              <w:t>符合</w:t>
            </w:r>
            <w:r>
              <w:rPr>
                <w:rFonts w:hint="eastAsia" w:ascii="仿宋_GB2312" w:hAnsi="宋体" w:eastAsia="仿宋_GB2312" w:cs="仿宋_GB2312"/>
                <w:kern w:val="0"/>
                <w:sz w:val="18"/>
                <w:szCs w:val="18"/>
                <w:lang w:bidi="ar"/>
              </w:rPr>
              <w:t>《煤矿重大事故隐患判定标准》第</w:t>
            </w:r>
            <w:r>
              <w:rPr>
                <w:rFonts w:hint="eastAsia" w:ascii="仿宋_GB2312" w:hAnsi="宋体" w:eastAsia="仿宋_GB2312" w:cs="仿宋_GB2312"/>
                <w:kern w:val="0"/>
                <w:sz w:val="18"/>
                <w:szCs w:val="18"/>
                <w:lang w:val="en-US" w:eastAsia="zh-CN" w:bidi="ar"/>
              </w:rPr>
              <w:t>十三</w:t>
            </w:r>
            <w:r>
              <w:rPr>
                <w:rFonts w:hint="eastAsia" w:ascii="仿宋_GB2312" w:hAnsi="宋体" w:eastAsia="仿宋_GB2312" w:cs="仿宋_GB2312"/>
                <w:kern w:val="0"/>
                <w:sz w:val="18"/>
                <w:szCs w:val="18"/>
                <w:lang w:bidi="ar"/>
              </w:rPr>
              <w:t>条</w:t>
            </w:r>
            <w:r>
              <w:rPr>
                <w:rFonts w:hint="eastAsia" w:ascii="仿宋_GB2312" w:hAnsi="宋体" w:eastAsia="仿宋_GB2312" w:cs="仿宋_GB2312"/>
                <w:kern w:val="0"/>
                <w:sz w:val="18"/>
                <w:szCs w:val="18"/>
                <w:lang w:val="en-US" w:eastAsia="zh-CN" w:bidi="ar"/>
              </w:rPr>
              <w:t>第三至六项情形的。</w:t>
            </w:r>
          </w:p>
        </w:tc>
        <w:tc>
          <w:tcPr>
            <w:tcW w:w="2655" w:type="dxa"/>
            <w:tcBorders>
              <w:tl2br w:val="nil"/>
              <w:tr2bl w:val="nil"/>
            </w:tcBorders>
            <w:shd w:val="clear" w:color="auto" w:fill="auto"/>
            <w:tcMar>
              <w:top w:w="15" w:type="dxa"/>
              <w:left w:w="15" w:type="dxa"/>
              <w:right w:w="15" w:type="dxa"/>
            </w:tcMar>
            <w:vAlign w:val="center"/>
          </w:tcPr>
          <w:p w14:paraId="5F3BD2D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责令停产整顿，提出整顿的内容、时间等具体要求，处150万元以上200万元以下的罚款；对煤矿企业负责人处10万元以上15万元以下的罚款。</w:t>
            </w:r>
          </w:p>
        </w:tc>
      </w:tr>
      <w:tr w14:paraId="18B885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02569D9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z w:val="18"/>
                <w:szCs w:val="18"/>
                <w:lang w:eastAsia="zh-CN"/>
              </w:rPr>
            </w:pPr>
            <w:r>
              <w:rPr>
                <w:rFonts w:hint="eastAsia" w:ascii="仿宋_GB2312" w:hAnsi="宋体" w:eastAsia="仿宋_GB2312" w:cs="仿宋_GB2312"/>
                <w:kern w:val="0"/>
                <w:sz w:val="18"/>
                <w:szCs w:val="18"/>
                <w:lang w:bidi="ar"/>
              </w:rPr>
              <w:t>4</w:t>
            </w:r>
            <w:del w:id="1465" w:author="LV" w:date="2026-07-14T16:22:09Z">
              <w:r>
                <w:rPr>
                  <w:rFonts w:hint="default" w:ascii="仿宋_GB2312" w:hAnsi="宋体" w:eastAsia="仿宋_GB2312" w:cs="仿宋_GB2312"/>
                  <w:kern w:val="0"/>
                  <w:sz w:val="18"/>
                  <w:szCs w:val="18"/>
                  <w:lang w:val="en-US" w:eastAsia="zh-CN" w:bidi="ar"/>
                </w:rPr>
                <w:delText>5</w:delText>
              </w:r>
            </w:del>
            <w:ins w:id="1466" w:author="LV" w:date="2026-07-14T16:22:09Z">
              <w:r>
                <w:rPr>
                  <w:rFonts w:hint="eastAsia" w:ascii="仿宋_GB2312" w:hAnsi="宋体" w:eastAsia="仿宋_GB2312" w:cs="仿宋_GB2312"/>
                  <w:kern w:val="0"/>
                  <w:sz w:val="18"/>
                  <w:szCs w:val="18"/>
                  <w:lang w:val="en-US" w:eastAsia="zh-CN" w:bidi="ar"/>
                </w:rPr>
                <w:t>7</w:t>
              </w:r>
            </w:ins>
          </w:p>
        </w:tc>
        <w:tc>
          <w:tcPr>
            <w:tcW w:w="1005" w:type="dxa"/>
            <w:vMerge w:val="restart"/>
            <w:tcBorders>
              <w:tl2br w:val="nil"/>
              <w:tr2bl w:val="nil"/>
            </w:tcBorders>
            <w:shd w:val="clear" w:color="auto" w:fill="auto"/>
            <w:tcMar>
              <w:top w:w="15" w:type="dxa"/>
              <w:left w:w="15" w:type="dxa"/>
              <w:right w:w="15" w:type="dxa"/>
            </w:tcMar>
            <w:vAlign w:val="center"/>
          </w:tcPr>
          <w:p w14:paraId="6468CEA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未按照规定建立监控与通讯系统，或者系统不能正常运行的</w:t>
            </w:r>
          </w:p>
        </w:tc>
        <w:tc>
          <w:tcPr>
            <w:tcW w:w="3667" w:type="dxa"/>
            <w:vMerge w:val="restart"/>
            <w:tcBorders>
              <w:tl2br w:val="nil"/>
              <w:tr2bl w:val="nil"/>
            </w:tcBorders>
            <w:shd w:val="clear" w:color="auto" w:fill="auto"/>
            <w:tcMar>
              <w:top w:w="15" w:type="dxa"/>
              <w:left w:w="15" w:type="dxa"/>
              <w:right w:w="15" w:type="dxa"/>
            </w:tcMar>
            <w:vAlign w:val="center"/>
          </w:tcPr>
          <w:p w14:paraId="21E12A7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《煤矿安全生产条例》第三十六条第</w:t>
            </w:r>
            <w:r>
              <w:rPr>
                <w:rFonts w:hint="eastAsia" w:ascii="仿宋_GB2312" w:hAnsi="宋体" w:eastAsia="仿宋_GB2312" w:cs="仿宋_GB2312"/>
                <w:kern w:val="0"/>
                <w:sz w:val="18"/>
                <w:szCs w:val="18"/>
                <w:lang w:val="en-US" w:eastAsia="zh-CN" w:bidi="ar"/>
              </w:rPr>
              <w:t>十一</w:t>
            </w:r>
            <w:r>
              <w:rPr>
                <w:rFonts w:hint="eastAsia" w:ascii="仿宋_GB2312" w:hAnsi="宋体" w:eastAsia="仿宋_GB2312" w:cs="仿宋_GB2312"/>
                <w:kern w:val="0"/>
                <w:sz w:val="18"/>
                <w:szCs w:val="18"/>
                <w:lang w:bidi="ar"/>
              </w:rPr>
              <w:t>项  煤矿企业有下列情形之一的，属于重大事故隐患，应当立即停止受影响区域生产、建设，并及时消除事故隐患：（十</w:t>
            </w:r>
            <w:r>
              <w:rPr>
                <w:rFonts w:hint="eastAsia" w:ascii="仿宋_GB2312" w:hAnsi="宋体" w:eastAsia="仿宋_GB2312" w:cs="仿宋_GB2312"/>
                <w:kern w:val="0"/>
                <w:sz w:val="18"/>
                <w:szCs w:val="18"/>
                <w:lang w:val="en-US" w:eastAsia="zh-CN" w:bidi="ar"/>
              </w:rPr>
              <w:t>一</w:t>
            </w:r>
            <w:r>
              <w:rPr>
                <w:rFonts w:hint="eastAsia" w:ascii="仿宋_GB2312" w:hAnsi="宋体" w:eastAsia="仿宋_GB2312" w:cs="仿宋_GB2312"/>
                <w:kern w:val="0"/>
                <w:sz w:val="18"/>
                <w:szCs w:val="18"/>
                <w:lang w:bidi="ar"/>
              </w:rPr>
              <w:t>）未按照规定建立监控与通讯系统，或者系统不能正常运行的；</w:t>
            </w:r>
          </w:p>
          <w:p w14:paraId="7C4A777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《煤矿重大事故隐患判定标准》第十</w:t>
            </w:r>
            <w:r>
              <w:rPr>
                <w:rFonts w:hint="eastAsia" w:ascii="仿宋_GB2312" w:hAnsi="宋体" w:eastAsia="仿宋_GB2312" w:cs="仿宋_GB2312"/>
                <w:kern w:val="0"/>
                <w:sz w:val="18"/>
                <w:szCs w:val="18"/>
                <w:lang w:val="en-US" w:eastAsia="zh-CN" w:bidi="ar"/>
              </w:rPr>
              <w:t>四</w:t>
            </w:r>
            <w:r>
              <w:rPr>
                <w:rFonts w:hint="eastAsia" w:ascii="仿宋_GB2312" w:hAnsi="宋体" w:eastAsia="仿宋_GB2312" w:cs="仿宋_GB2312"/>
                <w:kern w:val="0"/>
                <w:sz w:val="18"/>
                <w:szCs w:val="18"/>
                <w:lang w:bidi="ar"/>
              </w:rPr>
              <w:t>条“未按照规定建立监控与通讯系统，或者系统不能正常运行” 重大事故隐患是指有下列情形之一的：</w:t>
            </w:r>
          </w:p>
          <w:p w14:paraId="32D8AE6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（一）井工煤矿未建立安全监控系统、人员位置监测系统、有线调度通信系统、视频监视系统，露天煤矿未建立边坡监测预警系统，或者系统不能正常运行。</w:t>
            </w:r>
          </w:p>
          <w:p w14:paraId="03B2D72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（二）过滤、篡改、屏蔽、隐瞒或者销毁井工煤矿安全监控系统、人员位置监测系统、有线调度通信系统、视频监视系统或者露天煤矿边坡监测预警系统数据。</w:t>
            </w:r>
          </w:p>
          <w:p w14:paraId="22F5A50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（三）井工煤矿井下甲烷传感器安设存在下列情形之一的：</w:t>
            </w:r>
            <w:r>
              <w:rPr>
                <w:rFonts w:hint="eastAsia" w:ascii="仿宋_GB2312" w:hAnsi="宋体" w:eastAsia="仿宋_GB2312" w:cs="仿宋_GB2312"/>
                <w:kern w:val="0"/>
                <w:sz w:val="18"/>
                <w:szCs w:val="18"/>
                <w:lang w:val="en-US" w:eastAsia="zh-CN" w:bidi="ar"/>
              </w:rPr>
              <w:t>1.</w:t>
            </w:r>
            <w:r>
              <w:rPr>
                <w:rFonts w:hint="eastAsia" w:ascii="仿宋_GB2312" w:hAnsi="宋体" w:eastAsia="仿宋_GB2312" w:cs="仿宋_GB2312"/>
                <w:kern w:val="0"/>
                <w:sz w:val="18"/>
                <w:szCs w:val="18"/>
                <w:lang w:bidi="ar"/>
              </w:rPr>
              <w:t>下列地点未设置甲烷传感器：采煤工作面及其回风巷和回风隅角，高瓦斯和煤 (岩) 与瓦斯 (二氧化碳) 突出矿井采煤工作面回风巷长度大于 1000m 时回风巷中部；煤巷、半煤岩巷和有瓦斯涌出的岩巷掘进工作面及其回风流中，高瓦斯和煤 (岩) 与瓦斯 (二氧化碳) 突出矿井的掘进巷道长度大于 1000m 时掘进巷道中部；煤 (岩) 与瓦斯 (二氧化碳) 突出矿井和具有冲击地压危险的高瓦斯矿井采煤工作面进风巷；采用串联通风时，被串采煤工作面的进风巷、被串掘进工作面的局部通风机前；采 (盘) 区回风巷、总回风巷测风站；使用架线电机车的主要运输巷道内装煤点下风侧 3m至5m 范围内；煤仓上口下风侧；井下临时瓦斯抽采泵站及排放口下风侧栅栏外。</w:t>
            </w:r>
            <w:r>
              <w:rPr>
                <w:rFonts w:hint="eastAsia" w:ascii="仿宋_GB2312" w:hAnsi="宋体" w:eastAsia="仿宋_GB2312" w:cs="仿宋_GB2312"/>
                <w:kern w:val="0"/>
                <w:sz w:val="18"/>
                <w:szCs w:val="18"/>
                <w:lang w:val="en-US" w:eastAsia="zh-CN" w:bidi="ar"/>
              </w:rPr>
              <w:t>2.</w:t>
            </w:r>
            <w:r>
              <w:rPr>
                <w:rFonts w:hint="eastAsia" w:ascii="仿宋_GB2312" w:hAnsi="宋体" w:eastAsia="仿宋_GB2312" w:cs="仿宋_GB2312"/>
                <w:kern w:val="0"/>
                <w:sz w:val="18"/>
                <w:szCs w:val="18"/>
                <w:lang w:bidi="ar"/>
              </w:rPr>
              <w:t>施工区域防突措施钻孔时，在下风侧 5m 至 10m 范围内未设置具备超限报警断电功能的甲烷传感器。</w:t>
            </w:r>
          </w:p>
          <w:p w14:paraId="335C3DB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（四）甲烷传感器报警功能、甲烷电闭锁功能失效，造成甲烷超限后不能报警、不能切断所监控区域的全部非本质安全型电气设备电源。</w:t>
            </w:r>
          </w:p>
          <w:p w14:paraId="1C8F9B5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（五）甲烷传感器的报警浓度、断电浓度或者断电范围不符合《煤矿安全规程》规定。</w:t>
            </w:r>
          </w:p>
          <w:p w14:paraId="22C808E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（六）甲烷传感器未按照《煤矿安全规程》规定周期调校。</w:t>
            </w:r>
          </w:p>
          <w:p w14:paraId="7D529A0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（七）为规避超限报警采取堵塞、包裹、喷雾、隔挡、风吹甲烷传感器或者压缩量程等方式，造成甲烷传感器失效、失真。</w:t>
            </w:r>
          </w:p>
          <w:p w14:paraId="3D4E870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（八）露天煤矿影响作业人员安全的采场、排土场未实现边坡监测预警全覆盖。</w:t>
            </w:r>
          </w:p>
          <w:p w14:paraId="642194D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tc>
        <w:tc>
          <w:tcPr>
            <w:tcW w:w="4082" w:type="dxa"/>
            <w:vMerge w:val="restart"/>
            <w:tcBorders>
              <w:tl2br w:val="nil"/>
              <w:tr2bl w:val="nil"/>
            </w:tcBorders>
            <w:shd w:val="clear" w:color="auto" w:fill="auto"/>
            <w:tcMar>
              <w:top w:w="15" w:type="dxa"/>
              <w:left w:w="15" w:type="dxa"/>
              <w:right w:w="15" w:type="dxa"/>
            </w:tcMar>
            <w:vAlign w:val="center"/>
          </w:tcPr>
          <w:p w14:paraId="23F15AB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《煤矿安全生产条例》第六十四条  对存在重大事故隐患仍然进行生产的煤矿企业，责令停产整顿，明确整顿的内容、时间等具体要求，并处50万元以上200 万元以下的罚款；对煤矿企业主要负责人处3万元以上15 万元以下的罚款。</w:t>
            </w:r>
          </w:p>
        </w:tc>
        <w:tc>
          <w:tcPr>
            <w:tcW w:w="459" w:type="dxa"/>
            <w:tcBorders>
              <w:tl2br w:val="nil"/>
              <w:tr2bl w:val="nil"/>
            </w:tcBorders>
            <w:shd w:val="clear" w:color="auto" w:fill="auto"/>
            <w:noWrap/>
            <w:tcMar>
              <w:top w:w="15" w:type="dxa"/>
              <w:left w:w="15" w:type="dxa"/>
              <w:right w:w="15" w:type="dxa"/>
            </w:tcMar>
            <w:vAlign w:val="center"/>
          </w:tcPr>
          <w:p w14:paraId="705C8AD4">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ascii="仿宋_GB2312" w:hAnsi="宋体" w:eastAsia="仿宋_GB2312" w:cs="仿宋_GB2312"/>
                <w:w w:val="95"/>
                <w:sz w:val="18"/>
                <w:szCs w:val="18"/>
              </w:rPr>
            </w:pPr>
            <w:r>
              <w:rPr>
                <w:rFonts w:hint="eastAsia" w:ascii="仿宋_GB2312" w:hAnsi="宋体" w:eastAsia="仿宋_GB2312" w:cs="仿宋_GB2312"/>
                <w:w w:val="95"/>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0C34A2A2">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w w:val="95"/>
                <w:sz w:val="18"/>
                <w:szCs w:val="18"/>
              </w:rPr>
            </w:pPr>
            <w:r>
              <w:rPr>
                <w:rFonts w:hint="eastAsia" w:ascii="仿宋_GB2312" w:hAnsi="宋体" w:eastAsia="仿宋_GB2312" w:cs="仿宋_GB2312"/>
                <w:w w:val="95"/>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670D144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CD607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DD3105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36ED27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F21D37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446E4D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bottom w:val="single" w:color="auto" w:sz="4" w:space="0"/>
              <w:tl2br w:val="nil"/>
              <w:tr2bl w:val="nil"/>
            </w:tcBorders>
            <w:shd w:val="clear" w:color="auto" w:fill="auto"/>
            <w:noWrap/>
            <w:tcMar>
              <w:top w:w="15" w:type="dxa"/>
              <w:left w:w="15" w:type="dxa"/>
              <w:right w:w="15" w:type="dxa"/>
            </w:tcMar>
            <w:vAlign w:val="center"/>
          </w:tcPr>
          <w:p w14:paraId="0A1565B8">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ascii="仿宋_GB2312" w:hAnsi="宋体" w:eastAsia="仿宋_GB2312" w:cs="仿宋_GB2312"/>
                <w:w w:val="95"/>
                <w:sz w:val="18"/>
                <w:szCs w:val="18"/>
              </w:rPr>
            </w:pPr>
            <w:r>
              <w:rPr>
                <w:rFonts w:hint="eastAsia" w:ascii="仿宋_GB2312" w:hAnsi="宋体" w:eastAsia="仿宋_GB2312" w:cs="仿宋_GB2312"/>
                <w:w w:val="95"/>
                <w:kern w:val="0"/>
                <w:sz w:val="18"/>
                <w:szCs w:val="18"/>
                <w:lang w:bidi="ar"/>
              </w:rPr>
              <w:t>免予处罚</w:t>
            </w:r>
          </w:p>
        </w:tc>
        <w:tc>
          <w:tcPr>
            <w:tcW w:w="1829" w:type="dxa"/>
            <w:tcBorders>
              <w:bottom w:val="single" w:color="auto" w:sz="4" w:space="0"/>
              <w:tl2br w:val="nil"/>
              <w:tr2bl w:val="nil"/>
            </w:tcBorders>
            <w:shd w:val="clear" w:color="auto" w:fill="auto"/>
            <w:tcMar>
              <w:top w:w="15" w:type="dxa"/>
              <w:left w:w="15" w:type="dxa"/>
              <w:right w:w="15" w:type="dxa"/>
            </w:tcMar>
            <w:vAlign w:val="center"/>
          </w:tcPr>
          <w:p w14:paraId="22A21996">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w w:val="95"/>
                <w:sz w:val="18"/>
                <w:szCs w:val="18"/>
              </w:rPr>
            </w:pPr>
            <w:r>
              <w:rPr>
                <w:rFonts w:hint="eastAsia" w:ascii="仿宋_GB2312" w:hAnsi="宋体" w:eastAsia="仿宋_GB2312" w:cs="仿宋_GB2312"/>
                <w:w w:val="95"/>
                <w:kern w:val="0"/>
                <w:sz w:val="18"/>
                <w:szCs w:val="18"/>
                <w:lang w:bidi="ar"/>
              </w:rPr>
              <w:t>不适用</w:t>
            </w:r>
          </w:p>
        </w:tc>
        <w:tc>
          <w:tcPr>
            <w:tcW w:w="2655" w:type="dxa"/>
            <w:tcBorders>
              <w:bottom w:val="single" w:color="auto" w:sz="4" w:space="0"/>
              <w:tl2br w:val="nil"/>
              <w:tr2bl w:val="nil"/>
            </w:tcBorders>
            <w:shd w:val="clear" w:color="auto" w:fill="auto"/>
            <w:noWrap/>
            <w:tcMar>
              <w:top w:w="15" w:type="dxa"/>
              <w:left w:w="15" w:type="dxa"/>
              <w:right w:w="15" w:type="dxa"/>
            </w:tcMar>
            <w:vAlign w:val="center"/>
          </w:tcPr>
          <w:p w14:paraId="04E82DE4">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6A08E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E9B09A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7E22AE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7AA932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B32F7B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49C26739">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ascii="仿宋_GB2312" w:hAnsi="宋体" w:eastAsia="仿宋_GB2312" w:cs="仿宋_GB2312"/>
                <w:w w:val="95"/>
                <w:kern w:val="0"/>
                <w:sz w:val="18"/>
                <w:szCs w:val="18"/>
                <w:lang w:bidi="ar"/>
              </w:rPr>
            </w:pPr>
            <w:r>
              <w:rPr>
                <w:rFonts w:hint="eastAsia" w:ascii="仿宋_GB2312" w:hAnsi="宋体" w:eastAsia="仿宋_GB2312" w:cs="仿宋_GB2312"/>
                <w:w w:val="95"/>
                <w:kern w:val="0"/>
                <w:sz w:val="18"/>
                <w:szCs w:val="18"/>
                <w:lang w:bidi="ar"/>
              </w:rPr>
              <w:t>减轻处罚</w:t>
            </w:r>
          </w:p>
        </w:tc>
        <w:tc>
          <w:tcPr>
            <w:tcW w:w="1829"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18690A95">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w w:val="95"/>
                <w:kern w:val="0"/>
                <w:sz w:val="18"/>
                <w:szCs w:val="18"/>
                <w:lang w:bidi="ar"/>
              </w:rPr>
            </w:pPr>
            <w:r>
              <w:rPr>
                <w:rFonts w:hint="eastAsia" w:ascii="仿宋_GB2312" w:hAnsi="宋体" w:eastAsia="仿宋_GB2312" w:cs="仿宋_GB2312"/>
                <w:w w:val="95"/>
                <w:kern w:val="0"/>
                <w:sz w:val="18"/>
                <w:szCs w:val="18"/>
                <w:lang w:bidi="ar"/>
              </w:rPr>
              <w:t>适用总则规定</w:t>
            </w:r>
          </w:p>
        </w:tc>
        <w:tc>
          <w:tcPr>
            <w:tcW w:w="2655"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7ACE188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611B62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A86703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2B1FFF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EDE7EB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C21F8D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75B0BBE5">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ascii="仿宋_GB2312" w:hAnsi="宋体" w:eastAsia="仿宋_GB2312" w:cs="仿宋_GB2312"/>
                <w:w w:val="95"/>
                <w:kern w:val="0"/>
                <w:sz w:val="18"/>
                <w:szCs w:val="18"/>
                <w:lang w:bidi="ar"/>
              </w:rPr>
            </w:pPr>
            <w:r>
              <w:rPr>
                <w:rFonts w:hint="eastAsia" w:ascii="仿宋_GB2312" w:hAnsi="宋体" w:eastAsia="仿宋_GB2312" w:cs="仿宋_GB2312"/>
                <w:w w:val="95"/>
                <w:kern w:val="0"/>
                <w:sz w:val="18"/>
                <w:szCs w:val="18"/>
                <w:lang w:bidi="ar"/>
              </w:rPr>
              <w:t>从轻处罚</w:t>
            </w:r>
          </w:p>
        </w:tc>
        <w:tc>
          <w:tcPr>
            <w:tcW w:w="1829"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02DC6A1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val="en-US" w:eastAsia="zh-CN" w:bidi="ar"/>
              </w:rPr>
              <w:t>①</w:t>
            </w:r>
            <w:r>
              <w:rPr>
                <w:rFonts w:hint="eastAsia" w:ascii="仿宋_GB2312" w:hAnsi="宋体" w:eastAsia="仿宋_GB2312" w:cs="仿宋_GB2312"/>
                <w:kern w:val="0"/>
                <w:sz w:val="18"/>
                <w:szCs w:val="18"/>
                <w:lang w:bidi="ar"/>
              </w:rPr>
              <w:t>甲烷传感器的报警浓度、断电浓度或者断电范围不符合《煤矿安全规程》规定。</w:t>
            </w:r>
          </w:p>
          <w:p w14:paraId="19B6C4D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val="en-US" w:eastAsia="zh-CN" w:bidi="ar"/>
              </w:rPr>
              <w:t>②</w:t>
            </w:r>
            <w:r>
              <w:rPr>
                <w:rFonts w:hint="eastAsia" w:ascii="仿宋_GB2312" w:hAnsi="宋体" w:eastAsia="仿宋_GB2312" w:cs="仿宋_GB2312"/>
                <w:kern w:val="0"/>
                <w:sz w:val="18"/>
                <w:szCs w:val="18"/>
                <w:lang w:bidi="ar"/>
              </w:rPr>
              <w:t>甲烷传感器未按照《煤矿安全规程》规定周期调校。</w:t>
            </w:r>
          </w:p>
          <w:p w14:paraId="1AD4AF53">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w w:val="95"/>
                <w:kern w:val="0"/>
                <w:sz w:val="18"/>
                <w:szCs w:val="18"/>
                <w:lang w:bidi="ar"/>
              </w:rPr>
            </w:pPr>
          </w:p>
        </w:tc>
        <w:tc>
          <w:tcPr>
            <w:tcW w:w="2655"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257241D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责令停产整顿，提出整顿的内容、时间等具体要求，处50万元以上100万元以下的罚款；对煤矿企业负责人处3万元以上5万元以下的罚款。</w:t>
            </w:r>
          </w:p>
        </w:tc>
      </w:tr>
      <w:tr w14:paraId="179A68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41ACF1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4AB040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E26204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8C4C14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20A86060">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ascii="仿宋_GB2312" w:hAnsi="宋体" w:eastAsia="仿宋_GB2312" w:cs="仿宋_GB2312"/>
                <w:w w:val="95"/>
                <w:kern w:val="0"/>
                <w:sz w:val="18"/>
                <w:szCs w:val="18"/>
                <w:lang w:bidi="ar"/>
              </w:rPr>
            </w:pPr>
            <w:r>
              <w:rPr>
                <w:rFonts w:hint="eastAsia" w:ascii="仿宋_GB2312" w:hAnsi="宋体" w:eastAsia="仿宋_GB2312" w:cs="仿宋_GB2312"/>
                <w:w w:val="95"/>
                <w:kern w:val="0"/>
                <w:sz w:val="18"/>
                <w:szCs w:val="18"/>
                <w:lang w:bidi="ar"/>
              </w:rPr>
              <w:t>一般处罚</w:t>
            </w:r>
          </w:p>
        </w:tc>
        <w:tc>
          <w:tcPr>
            <w:tcW w:w="1829"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7CC77EF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val="en-US" w:eastAsia="zh-CN" w:bidi="ar"/>
              </w:rPr>
              <w:t>符合</w:t>
            </w:r>
            <w:r>
              <w:rPr>
                <w:rFonts w:hint="eastAsia" w:ascii="仿宋_GB2312" w:hAnsi="宋体" w:eastAsia="仿宋_GB2312" w:cs="仿宋_GB2312"/>
                <w:kern w:val="0"/>
                <w:sz w:val="18"/>
                <w:szCs w:val="18"/>
                <w:lang w:bidi="ar"/>
              </w:rPr>
              <w:t>《煤矿重大事故隐患判定标准》第</w:t>
            </w:r>
            <w:r>
              <w:rPr>
                <w:rFonts w:hint="eastAsia" w:ascii="仿宋_GB2312" w:hAnsi="宋体" w:eastAsia="仿宋_GB2312" w:cs="仿宋_GB2312"/>
                <w:kern w:val="0"/>
                <w:sz w:val="18"/>
                <w:szCs w:val="18"/>
                <w:lang w:val="en-US" w:eastAsia="zh-CN" w:bidi="ar"/>
              </w:rPr>
              <w:t>十四</w:t>
            </w:r>
            <w:r>
              <w:rPr>
                <w:rFonts w:hint="eastAsia" w:ascii="仿宋_GB2312" w:hAnsi="宋体" w:eastAsia="仿宋_GB2312" w:cs="仿宋_GB2312"/>
                <w:kern w:val="0"/>
                <w:sz w:val="18"/>
                <w:szCs w:val="18"/>
                <w:lang w:bidi="ar"/>
              </w:rPr>
              <w:t>条</w:t>
            </w:r>
            <w:r>
              <w:rPr>
                <w:rFonts w:hint="eastAsia" w:ascii="仿宋_GB2312" w:hAnsi="宋体" w:eastAsia="仿宋_GB2312" w:cs="仿宋_GB2312"/>
                <w:kern w:val="0"/>
                <w:sz w:val="18"/>
                <w:szCs w:val="18"/>
                <w:lang w:val="en-US" w:eastAsia="zh-CN" w:bidi="ar"/>
              </w:rPr>
              <w:t>第一项、第三项、第四项、第八项情形的。</w:t>
            </w:r>
          </w:p>
          <w:p w14:paraId="5F36A282">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w w:val="95"/>
                <w:kern w:val="0"/>
                <w:sz w:val="18"/>
                <w:szCs w:val="18"/>
                <w:lang w:bidi="ar"/>
              </w:rPr>
            </w:pPr>
          </w:p>
        </w:tc>
        <w:tc>
          <w:tcPr>
            <w:tcW w:w="2655"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2F42DAF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责令停产整顿，提出整顿的内容、时间等具体要求，处100万元以上150万元以下的罚款；对煤矿企业负责人处5万元以上10万元以下的罚款。</w:t>
            </w:r>
          </w:p>
        </w:tc>
      </w:tr>
      <w:tr w14:paraId="1EC52E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74627E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D619D3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0B12C9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C687D5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op w:val="single" w:color="auto" w:sz="4" w:space="0"/>
              <w:tl2br w:val="nil"/>
              <w:tr2bl w:val="nil"/>
            </w:tcBorders>
            <w:shd w:val="clear" w:color="auto" w:fill="auto"/>
            <w:noWrap/>
            <w:tcMar>
              <w:top w:w="15" w:type="dxa"/>
              <w:left w:w="15" w:type="dxa"/>
              <w:right w:w="15" w:type="dxa"/>
            </w:tcMar>
            <w:vAlign w:val="center"/>
          </w:tcPr>
          <w:p w14:paraId="594C3E38">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ascii="仿宋_GB2312" w:hAnsi="宋体" w:eastAsia="仿宋_GB2312" w:cs="仿宋_GB2312"/>
                <w:w w:val="95"/>
                <w:kern w:val="0"/>
                <w:sz w:val="18"/>
                <w:szCs w:val="18"/>
                <w:lang w:bidi="ar"/>
              </w:rPr>
            </w:pPr>
            <w:r>
              <w:rPr>
                <w:rFonts w:hint="eastAsia" w:ascii="仿宋_GB2312" w:hAnsi="宋体" w:eastAsia="仿宋_GB2312" w:cs="仿宋_GB2312"/>
                <w:w w:val="95"/>
                <w:kern w:val="0"/>
                <w:sz w:val="18"/>
                <w:szCs w:val="18"/>
                <w:lang w:bidi="ar"/>
              </w:rPr>
              <w:t>从重处罚</w:t>
            </w:r>
          </w:p>
        </w:tc>
        <w:tc>
          <w:tcPr>
            <w:tcW w:w="1829" w:type="dxa"/>
            <w:tcBorders>
              <w:top w:val="single" w:color="auto" w:sz="4" w:space="0"/>
              <w:tl2br w:val="nil"/>
              <w:tr2bl w:val="nil"/>
            </w:tcBorders>
            <w:shd w:val="clear" w:color="auto" w:fill="auto"/>
            <w:tcMar>
              <w:top w:w="15" w:type="dxa"/>
              <w:left w:w="15" w:type="dxa"/>
              <w:right w:w="15" w:type="dxa"/>
            </w:tcMar>
            <w:vAlign w:val="center"/>
          </w:tcPr>
          <w:p w14:paraId="7033543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val="en-US" w:eastAsia="zh-CN" w:bidi="ar"/>
              </w:rPr>
              <w:t>①</w:t>
            </w:r>
            <w:r>
              <w:rPr>
                <w:rFonts w:hint="eastAsia" w:ascii="仿宋_GB2312" w:hAnsi="宋体" w:eastAsia="仿宋_GB2312" w:cs="仿宋_GB2312"/>
                <w:kern w:val="0"/>
                <w:sz w:val="18"/>
                <w:szCs w:val="18"/>
                <w:lang w:bidi="ar"/>
              </w:rPr>
              <w:t>过滤、篡改、屏蔽、隐瞒或者销毁井工煤矿安全监控系统、人员位置监测系统、有线调度通信系统、视频监视系统或者露天煤矿边坡监测预警系统数据。</w:t>
            </w:r>
          </w:p>
          <w:p w14:paraId="46A8753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val="en-US" w:eastAsia="zh-CN" w:bidi="ar"/>
              </w:rPr>
              <w:t>②</w:t>
            </w:r>
            <w:r>
              <w:rPr>
                <w:rFonts w:hint="eastAsia" w:ascii="仿宋_GB2312" w:hAnsi="宋体" w:eastAsia="仿宋_GB2312" w:cs="仿宋_GB2312"/>
                <w:kern w:val="0"/>
                <w:sz w:val="18"/>
                <w:szCs w:val="18"/>
                <w:lang w:bidi="ar"/>
              </w:rPr>
              <w:t>为规避超限报警采取堵塞、包裹、喷雾、隔挡、风吹甲烷传感器或者压缩量程等方式，造成甲烷传感器失效、失真。</w:t>
            </w:r>
          </w:p>
          <w:p w14:paraId="63004237">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w w:val="95"/>
                <w:kern w:val="0"/>
                <w:sz w:val="18"/>
                <w:szCs w:val="18"/>
                <w:lang w:bidi="ar"/>
              </w:rPr>
            </w:pPr>
          </w:p>
        </w:tc>
        <w:tc>
          <w:tcPr>
            <w:tcW w:w="2655" w:type="dxa"/>
            <w:tcBorders>
              <w:top w:val="single" w:color="auto" w:sz="4" w:space="0"/>
              <w:tl2br w:val="nil"/>
              <w:tr2bl w:val="nil"/>
            </w:tcBorders>
            <w:shd w:val="clear" w:color="auto" w:fill="auto"/>
            <w:noWrap/>
            <w:tcMar>
              <w:top w:w="15" w:type="dxa"/>
              <w:left w:w="15" w:type="dxa"/>
              <w:right w:w="15" w:type="dxa"/>
            </w:tcMar>
            <w:vAlign w:val="center"/>
          </w:tcPr>
          <w:p w14:paraId="06D92FE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责令停产整顿，提出整顿的内容、时间等具体要求，处150万元以上200万元以下的罚款；对煤矿企业负责人处10万元以上15万元以下的罚款。</w:t>
            </w:r>
          </w:p>
        </w:tc>
      </w:tr>
      <w:tr w14:paraId="30DE0F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6EC9026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val="en-US" w:eastAsia="zh-CN" w:bidi="ar"/>
              </w:rPr>
              <w:t>4</w:t>
            </w:r>
            <w:del w:id="1467" w:author="LV" w:date="2026-07-14T16:22:15Z">
              <w:r>
                <w:rPr>
                  <w:rFonts w:hint="default" w:ascii="仿宋_GB2312" w:hAnsi="宋体" w:eastAsia="仿宋_GB2312" w:cs="仿宋_GB2312"/>
                  <w:kern w:val="0"/>
                  <w:sz w:val="18"/>
                  <w:szCs w:val="18"/>
                  <w:lang w:val="en-US" w:eastAsia="zh-CN" w:bidi="ar"/>
                </w:rPr>
                <w:delText>6</w:delText>
              </w:r>
            </w:del>
            <w:ins w:id="1468" w:author="LV" w:date="2026-07-14T16:22:15Z">
              <w:r>
                <w:rPr>
                  <w:rFonts w:hint="eastAsia" w:ascii="仿宋_GB2312" w:hAnsi="宋体" w:eastAsia="仿宋_GB2312" w:cs="仿宋_GB2312"/>
                  <w:kern w:val="0"/>
                  <w:sz w:val="18"/>
                  <w:szCs w:val="18"/>
                  <w:lang w:val="en-US" w:eastAsia="zh-CN" w:bidi="ar"/>
                </w:rPr>
                <w:t>8</w:t>
              </w:r>
            </w:ins>
          </w:p>
        </w:tc>
        <w:tc>
          <w:tcPr>
            <w:tcW w:w="1005" w:type="dxa"/>
            <w:vMerge w:val="restart"/>
            <w:tcBorders>
              <w:tl2br w:val="nil"/>
              <w:tr2bl w:val="nil"/>
            </w:tcBorders>
            <w:shd w:val="clear" w:color="auto" w:fill="auto"/>
            <w:tcMar>
              <w:top w:w="15" w:type="dxa"/>
              <w:left w:w="15" w:type="dxa"/>
              <w:right w:w="15" w:type="dxa"/>
            </w:tcMar>
            <w:vAlign w:val="center"/>
          </w:tcPr>
          <w:p w14:paraId="75FCA3E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未按照规定采用双回路供电系统的</w:t>
            </w:r>
          </w:p>
        </w:tc>
        <w:tc>
          <w:tcPr>
            <w:tcW w:w="3667" w:type="dxa"/>
            <w:vMerge w:val="restart"/>
            <w:tcBorders>
              <w:tl2br w:val="nil"/>
              <w:tr2bl w:val="nil"/>
            </w:tcBorders>
            <w:shd w:val="clear" w:color="auto" w:fill="auto"/>
            <w:tcMar>
              <w:top w:w="15" w:type="dxa"/>
              <w:left w:w="15" w:type="dxa"/>
              <w:right w:w="15" w:type="dxa"/>
            </w:tcMar>
            <w:vAlign w:val="center"/>
          </w:tcPr>
          <w:p w14:paraId="1F4B2D5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bidi="ar"/>
              </w:rPr>
              <w:t>《煤矿安全生产条例》第三十六条第</w:t>
            </w:r>
            <w:r>
              <w:rPr>
                <w:rFonts w:hint="eastAsia" w:ascii="仿宋_GB2312" w:hAnsi="宋体" w:eastAsia="仿宋_GB2312" w:cs="仿宋_GB2312"/>
                <w:kern w:val="0"/>
                <w:sz w:val="18"/>
                <w:szCs w:val="18"/>
                <w:lang w:val="en-US" w:eastAsia="zh-CN" w:bidi="ar"/>
              </w:rPr>
              <w:t>十三</w:t>
            </w:r>
            <w:r>
              <w:rPr>
                <w:rFonts w:hint="eastAsia" w:ascii="仿宋_GB2312" w:hAnsi="宋体" w:eastAsia="仿宋_GB2312" w:cs="仿宋_GB2312"/>
                <w:kern w:val="0"/>
                <w:sz w:val="18"/>
                <w:szCs w:val="18"/>
                <w:lang w:bidi="ar"/>
              </w:rPr>
              <w:t>项  煤矿企业有下列情形之一的，属于重大事故隐患，应当立即停止受影响区域生产、建设，并及时消除事故隐患：（十</w:t>
            </w:r>
            <w:r>
              <w:rPr>
                <w:rFonts w:hint="eastAsia" w:ascii="仿宋_GB2312" w:hAnsi="宋体" w:eastAsia="仿宋_GB2312" w:cs="仿宋_GB2312"/>
                <w:kern w:val="0"/>
                <w:sz w:val="18"/>
                <w:szCs w:val="18"/>
                <w:lang w:val="en-US" w:eastAsia="zh-CN" w:bidi="ar"/>
              </w:rPr>
              <w:t>三</w:t>
            </w:r>
            <w:r>
              <w:rPr>
                <w:rFonts w:hint="eastAsia" w:ascii="仿宋_GB2312" w:hAnsi="宋体" w:eastAsia="仿宋_GB2312" w:cs="仿宋_GB2312"/>
                <w:kern w:val="0"/>
                <w:sz w:val="18"/>
                <w:szCs w:val="18"/>
                <w:lang w:bidi="ar"/>
              </w:rPr>
              <w:t>）未按照规定采用双回路供电系统的</w:t>
            </w:r>
            <w:r>
              <w:rPr>
                <w:rFonts w:hint="eastAsia" w:ascii="仿宋_GB2312" w:hAnsi="宋体" w:eastAsia="仿宋_GB2312" w:cs="仿宋_GB2312"/>
                <w:kern w:val="0"/>
                <w:sz w:val="18"/>
                <w:szCs w:val="18"/>
                <w:lang w:val="en-US" w:eastAsia="zh-CN" w:bidi="ar"/>
              </w:rPr>
              <w:t>;</w:t>
            </w:r>
          </w:p>
          <w:p w14:paraId="6EED330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《煤矿重大事故隐患判定标准》第十</w:t>
            </w:r>
            <w:r>
              <w:rPr>
                <w:rFonts w:hint="eastAsia" w:ascii="仿宋_GB2312" w:hAnsi="宋体" w:eastAsia="仿宋_GB2312" w:cs="仿宋_GB2312"/>
                <w:kern w:val="0"/>
                <w:sz w:val="18"/>
                <w:szCs w:val="18"/>
                <w:lang w:val="en-US" w:eastAsia="zh-CN" w:bidi="ar"/>
              </w:rPr>
              <w:t>六</w:t>
            </w:r>
            <w:r>
              <w:rPr>
                <w:rFonts w:hint="eastAsia" w:ascii="仿宋_GB2312" w:hAnsi="宋体" w:eastAsia="仿宋_GB2312" w:cs="仿宋_GB2312"/>
                <w:kern w:val="0"/>
                <w:sz w:val="18"/>
                <w:szCs w:val="18"/>
                <w:lang w:bidi="ar"/>
              </w:rPr>
              <w:t>条 “未按照规定采用双回路供电系统” 重大事故隐患</w:t>
            </w:r>
          </w:p>
          <w:p w14:paraId="7F4381F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是指有下列情形之一的：</w:t>
            </w:r>
          </w:p>
          <w:p w14:paraId="15C2EF9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（一）生产矿井单回路供电。</w:t>
            </w:r>
          </w:p>
          <w:p w14:paraId="281696F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（二）建井期间矿井短路贯通后进入巷道和硐室施工时，未形成双回路供电系统。</w:t>
            </w:r>
          </w:p>
          <w:p w14:paraId="750FDE8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（三）矿井有双回路电源线路但取自同一变电站同一母线段或者矿井有双回路电源线路但其中一回路因故障、检修不能正常运行时，仍然组织生产。</w:t>
            </w:r>
          </w:p>
        </w:tc>
        <w:tc>
          <w:tcPr>
            <w:tcW w:w="4082" w:type="dxa"/>
            <w:vMerge w:val="restart"/>
            <w:tcBorders>
              <w:tl2br w:val="nil"/>
              <w:tr2bl w:val="nil"/>
            </w:tcBorders>
            <w:shd w:val="clear" w:color="auto" w:fill="auto"/>
            <w:tcMar>
              <w:top w:w="15" w:type="dxa"/>
              <w:left w:w="15" w:type="dxa"/>
              <w:right w:w="15" w:type="dxa"/>
            </w:tcMar>
            <w:vAlign w:val="center"/>
          </w:tcPr>
          <w:p w14:paraId="5B6CDBF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《煤矿安全生产条例》第六十四条  对存在重大事故隐患仍然进行生产的煤矿企业，责令停产整顿，明确整顿的内容、时间等具体要求，并处50万元以上200 万元以下的罚款；对煤矿企业主要负责人处3万元以上15 万元以下的罚款。</w:t>
            </w:r>
          </w:p>
        </w:tc>
        <w:tc>
          <w:tcPr>
            <w:tcW w:w="459" w:type="dxa"/>
            <w:tcBorders>
              <w:tl2br w:val="nil"/>
              <w:tr2bl w:val="nil"/>
            </w:tcBorders>
            <w:shd w:val="clear" w:color="auto" w:fill="auto"/>
            <w:noWrap/>
            <w:tcMar>
              <w:top w:w="15" w:type="dxa"/>
              <w:left w:w="15" w:type="dxa"/>
              <w:right w:w="15" w:type="dxa"/>
            </w:tcMar>
            <w:vAlign w:val="center"/>
          </w:tcPr>
          <w:p w14:paraId="1A28A1C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177D0F5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5BCF401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E5B95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3EB231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C5E539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614745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89F7C3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70B520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20470EA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001CBF66">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B7D92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860A32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3B5F94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953A70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E8B5DE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79D5E5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64F87B9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BE6AA0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5C7C3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9"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6E4109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AF1ABF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94A363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9E17DE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3B52C3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4BC00E7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建井期间矿井短路贯通后进入巷道和硐室施工时，未形成双回路供电系统。</w:t>
            </w:r>
          </w:p>
        </w:tc>
        <w:tc>
          <w:tcPr>
            <w:tcW w:w="2655" w:type="dxa"/>
            <w:tcBorders>
              <w:tl2br w:val="nil"/>
              <w:tr2bl w:val="nil"/>
            </w:tcBorders>
            <w:shd w:val="clear" w:color="auto" w:fill="auto"/>
            <w:tcMar>
              <w:top w:w="15" w:type="dxa"/>
              <w:left w:w="15" w:type="dxa"/>
              <w:right w:w="15" w:type="dxa"/>
            </w:tcMar>
            <w:vAlign w:val="center"/>
          </w:tcPr>
          <w:p w14:paraId="454F20F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责令停产整顿，提出整顿的内容、时间等具体要求，处50万元以上100万元以下的罚款；对煤矿企业负责人处3万元以上5万元以下的罚款。</w:t>
            </w:r>
          </w:p>
        </w:tc>
      </w:tr>
      <w:tr w14:paraId="09A06D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5675A2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74CA92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98D120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D8A198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F35707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0A3F47F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矿井有双回路电源线路但取自同一变电站同一母线段或者矿井有双回路电源线路但其中一回路因故障、检修不能正常运行时，仍然组织生产。</w:t>
            </w:r>
          </w:p>
        </w:tc>
        <w:tc>
          <w:tcPr>
            <w:tcW w:w="2655" w:type="dxa"/>
            <w:tcBorders>
              <w:tl2br w:val="nil"/>
              <w:tr2bl w:val="nil"/>
            </w:tcBorders>
            <w:shd w:val="clear" w:color="auto" w:fill="auto"/>
            <w:tcMar>
              <w:top w:w="15" w:type="dxa"/>
              <w:left w:w="15" w:type="dxa"/>
              <w:right w:w="15" w:type="dxa"/>
            </w:tcMar>
            <w:vAlign w:val="center"/>
          </w:tcPr>
          <w:p w14:paraId="1A8DEB8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责令停产整顿，提出整顿的内容、时间等具体要求，处100万元以上150万元以下的罚款；对煤矿企业负责人处5万元以上10万元以下的罚款。</w:t>
            </w:r>
          </w:p>
        </w:tc>
      </w:tr>
      <w:tr w14:paraId="038A1E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A5E3D8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AA55B7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8056B2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6A71D9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3C4A8E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0E98022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生产矿井单回路供电。</w:t>
            </w:r>
          </w:p>
        </w:tc>
        <w:tc>
          <w:tcPr>
            <w:tcW w:w="2655" w:type="dxa"/>
            <w:tcBorders>
              <w:tl2br w:val="nil"/>
              <w:tr2bl w:val="nil"/>
            </w:tcBorders>
            <w:shd w:val="clear" w:color="auto" w:fill="auto"/>
            <w:tcMar>
              <w:top w:w="15" w:type="dxa"/>
              <w:left w:w="15" w:type="dxa"/>
              <w:right w:w="15" w:type="dxa"/>
            </w:tcMar>
            <w:vAlign w:val="center"/>
          </w:tcPr>
          <w:p w14:paraId="537A777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责令停产整顿，提出整顿的内容、时间等具体要求，处150万元以上200万元以下的罚款；对煤矿企业负责人处10万元以上15万元以下的罚款。</w:t>
            </w:r>
          </w:p>
        </w:tc>
      </w:tr>
      <w:tr w14:paraId="1E6BF1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30C5492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z w:val="18"/>
                <w:szCs w:val="18"/>
                <w:lang w:eastAsia="zh-CN"/>
              </w:rPr>
            </w:pPr>
            <w:r>
              <w:rPr>
                <w:rFonts w:hint="eastAsia" w:ascii="仿宋_GB2312" w:hAnsi="宋体" w:eastAsia="仿宋_GB2312" w:cs="仿宋_GB2312"/>
                <w:kern w:val="0"/>
                <w:sz w:val="18"/>
                <w:szCs w:val="18"/>
                <w:lang w:bidi="ar"/>
              </w:rPr>
              <w:t>4</w:t>
            </w:r>
            <w:del w:id="1469" w:author="LV" w:date="2026-07-14T16:22:20Z">
              <w:r>
                <w:rPr>
                  <w:rFonts w:hint="default" w:ascii="仿宋_GB2312" w:hAnsi="宋体" w:eastAsia="仿宋_GB2312" w:cs="仿宋_GB2312"/>
                  <w:kern w:val="0"/>
                  <w:sz w:val="18"/>
                  <w:szCs w:val="18"/>
                  <w:lang w:val="en-US" w:eastAsia="zh-CN" w:bidi="ar"/>
                </w:rPr>
                <w:delText>7</w:delText>
              </w:r>
            </w:del>
            <w:ins w:id="1470" w:author="LV" w:date="2026-07-14T16:22:20Z">
              <w:r>
                <w:rPr>
                  <w:rFonts w:hint="eastAsia" w:ascii="仿宋_GB2312" w:hAnsi="宋体" w:eastAsia="仿宋_GB2312" w:cs="仿宋_GB2312"/>
                  <w:kern w:val="0"/>
                  <w:sz w:val="18"/>
                  <w:szCs w:val="18"/>
                  <w:lang w:val="en-US" w:eastAsia="zh-CN" w:bidi="ar"/>
                </w:rPr>
                <w:t>9</w:t>
              </w:r>
            </w:ins>
          </w:p>
        </w:tc>
        <w:tc>
          <w:tcPr>
            <w:tcW w:w="1005" w:type="dxa"/>
            <w:vMerge w:val="restart"/>
            <w:tcBorders>
              <w:tl2br w:val="nil"/>
              <w:tr2bl w:val="nil"/>
            </w:tcBorders>
            <w:shd w:val="clear" w:color="auto" w:fill="auto"/>
            <w:tcMar>
              <w:top w:w="15" w:type="dxa"/>
              <w:left w:w="15" w:type="dxa"/>
              <w:right w:w="15" w:type="dxa"/>
            </w:tcMar>
            <w:vAlign w:val="center"/>
          </w:tcPr>
          <w:p w14:paraId="5475201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新建煤矿边建设边生产，煤矿改扩建期间，在改扩建的区域生产，或者在其他区域的生产超出设计规定的范围和规模的</w:t>
            </w:r>
          </w:p>
        </w:tc>
        <w:tc>
          <w:tcPr>
            <w:tcW w:w="3667" w:type="dxa"/>
            <w:vMerge w:val="restart"/>
            <w:tcBorders>
              <w:tl2br w:val="nil"/>
              <w:tr2bl w:val="nil"/>
            </w:tcBorders>
            <w:shd w:val="clear" w:color="auto" w:fill="auto"/>
            <w:tcMar>
              <w:top w:w="15" w:type="dxa"/>
              <w:left w:w="15" w:type="dxa"/>
              <w:right w:w="15" w:type="dxa"/>
            </w:tcMar>
            <w:vAlign w:val="center"/>
          </w:tcPr>
          <w:p w14:paraId="2699237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《煤矿安全生产条例》第三十六条第</w:t>
            </w:r>
            <w:r>
              <w:rPr>
                <w:rFonts w:hint="eastAsia" w:ascii="仿宋_GB2312" w:hAnsi="宋体" w:eastAsia="仿宋_GB2312" w:cs="仿宋_GB2312"/>
                <w:kern w:val="0"/>
                <w:sz w:val="18"/>
                <w:szCs w:val="18"/>
                <w:lang w:val="en-US" w:eastAsia="zh-CN" w:bidi="ar"/>
              </w:rPr>
              <w:t>十四</w:t>
            </w:r>
            <w:r>
              <w:rPr>
                <w:rFonts w:hint="eastAsia" w:ascii="仿宋_GB2312" w:hAnsi="宋体" w:eastAsia="仿宋_GB2312" w:cs="仿宋_GB2312"/>
                <w:kern w:val="0"/>
                <w:sz w:val="18"/>
                <w:szCs w:val="18"/>
                <w:lang w:bidi="ar"/>
              </w:rPr>
              <w:t>项  煤矿企业有下列情形之一的，属于重大事故隐患，应当立即停止受影响区域生产、建设，并及时消除事故隐患：（十</w:t>
            </w:r>
            <w:r>
              <w:rPr>
                <w:rFonts w:hint="eastAsia" w:ascii="仿宋_GB2312" w:hAnsi="宋体" w:eastAsia="仿宋_GB2312" w:cs="仿宋_GB2312"/>
                <w:kern w:val="0"/>
                <w:sz w:val="18"/>
                <w:szCs w:val="18"/>
                <w:lang w:val="en-US" w:eastAsia="zh-CN" w:bidi="ar"/>
              </w:rPr>
              <w:t>四</w:t>
            </w:r>
            <w:r>
              <w:rPr>
                <w:rFonts w:hint="eastAsia" w:ascii="仿宋_GB2312" w:hAnsi="宋体" w:eastAsia="仿宋_GB2312" w:cs="仿宋_GB2312"/>
                <w:kern w:val="0"/>
                <w:sz w:val="18"/>
                <w:szCs w:val="18"/>
                <w:lang w:bidi="ar"/>
              </w:rPr>
              <w:t>）新建煤矿边建设边生产，煤矿改扩建期间，在改扩建的区域生产，或者在其他区域的生产超出设计规定的范围和规模的；</w:t>
            </w:r>
          </w:p>
          <w:p w14:paraId="70C0945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《煤矿重大事故隐患判定标准》第十</w:t>
            </w:r>
            <w:r>
              <w:rPr>
                <w:rFonts w:hint="eastAsia" w:ascii="仿宋_GB2312" w:hAnsi="宋体" w:eastAsia="仿宋_GB2312" w:cs="仿宋_GB2312"/>
                <w:kern w:val="0"/>
                <w:sz w:val="18"/>
                <w:szCs w:val="18"/>
                <w:lang w:val="en-US" w:eastAsia="zh-CN" w:bidi="ar"/>
              </w:rPr>
              <w:t>七</w:t>
            </w:r>
            <w:r>
              <w:rPr>
                <w:rFonts w:hint="eastAsia" w:ascii="仿宋_GB2312" w:hAnsi="宋体" w:eastAsia="仿宋_GB2312" w:cs="仿宋_GB2312"/>
                <w:kern w:val="0"/>
                <w:sz w:val="18"/>
                <w:szCs w:val="18"/>
                <w:lang w:bidi="ar"/>
              </w:rPr>
              <w:t>条 “新建煤矿边建设边生产，煤矿改扩建期间，在改扩建的区域生产，或者在其他区域的生产超出设计规定的范围和规模” 重大事故隐患是指有下列情形之一的：</w:t>
            </w:r>
          </w:p>
          <w:p w14:paraId="2F8A4F1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（一）新建煤矿在建设期间组织采煤 (经备案的联合试运转除外)。</w:t>
            </w:r>
          </w:p>
          <w:p w14:paraId="386A0E8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（二）改扩建煤矿在改扩建区域组织采煤 (经备案的联合试运转除外)。</w:t>
            </w:r>
          </w:p>
          <w:p w14:paraId="763D0B4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（三）改扩建煤矿在非改扩建区域超出设计规定范围和规模生产建设。</w:t>
            </w:r>
          </w:p>
        </w:tc>
        <w:tc>
          <w:tcPr>
            <w:tcW w:w="4082" w:type="dxa"/>
            <w:vMerge w:val="restart"/>
            <w:tcBorders>
              <w:tl2br w:val="nil"/>
              <w:tr2bl w:val="nil"/>
            </w:tcBorders>
            <w:shd w:val="clear" w:color="auto" w:fill="auto"/>
            <w:tcMar>
              <w:top w:w="15" w:type="dxa"/>
              <w:left w:w="15" w:type="dxa"/>
              <w:right w:w="15" w:type="dxa"/>
            </w:tcMar>
            <w:vAlign w:val="center"/>
          </w:tcPr>
          <w:p w14:paraId="4511F4A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《煤矿安全生产条例》第六十四条  对存在重大事故隐患仍然进行生产的煤矿企业，责令停产整顿，明确整顿的内容、时间等具体要求，并处50万元以上200 万元以下的罚款；对煤矿企业主要负责人处3万元以上15 万元以下的罚款。</w:t>
            </w:r>
          </w:p>
        </w:tc>
        <w:tc>
          <w:tcPr>
            <w:tcW w:w="459" w:type="dxa"/>
            <w:tcBorders>
              <w:tl2br w:val="nil"/>
              <w:tr2bl w:val="nil"/>
            </w:tcBorders>
            <w:shd w:val="clear" w:color="auto" w:fill="auto"/>
            <w:noWrap/>
            <w:tcMar>
              <w:top w:w="15" w:type="dxa"/>
              <w:left w:w="15" w:type="dxa"/>
              <w:right w:w="15" w:type="dxa"/>
            </w:tcMar>
            <w:vAlign w:val="center"/>
          </w:tcPr>
          <w:p w14:paraId="0E90063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不予处罚</w:t>
            </w:r>
          </w:p>
        </w:tc>
        <w:tc>
          <w:tcPr>
            <w:tcW w:w="1829" w:type="dxa"/>
            <w:tcBorders>
              <w:tl2br w:val="nil"/>
              <w:tr2bl w:val="nil"/>
            </w:tcBorders>
            <w:shd w:val="clear" w:color="auto" w:fill="auto"/>
            <w:tcMar>
              <w:top w:w="15" w:type="dxa"/>
              <w:left w:w="15" w:type="dxa"/>
              <w:right w:w="15" w:type="dxa"/>
            </w:tcMar>
            <w:vAlign w:val="center"/>
          </w:tcPr>
          <w:p w14:paraId="7A421AE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70865AFF">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无</w:t>
            </w:r>
          </w:p>
        </w:tc>
      </w:tr>
      <w:tr w14:paraId="291AB8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174773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C0B58B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3C3116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4A10F3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87E4C5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免予处罚</w:t>
            </w:r>
          </w:p>
        </w:tc>
        <w:tc>
          <w:tcPr>
            <w:tcW w:w="1829" w:type="dxa"/>
            <w:tcBorders>
              <w:tl2br w:val="nil"/>
              <w:tr2bl w:val="nil"/>
            </w:tcBorders>
            <w:shd w:val="clear" w:color="auto" w:fill="auto"/>
            <w:tcMar>
              <w:top w:w="15" w:type="dxa"/>
              <w:left w:w="15" w:type="dxa"/>
              <w:right w:w="15" w:type="dxa"/>
            </w:tcMar>
            <w:vAlign w:val="center"/>
          </w:tcPr>
          <w:p w14:paraId="524E200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28A5EA9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无</w:t>
            </w:r>
          </w:p>
        </w:tc>
      </w:tr>
      <w:tr w14:paraId="6A7789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E0CE22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FC6D3B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F170ED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0E6D70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1C739A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减轻处罚</w:t>
            </w:r>
          </w:p>
        </w:tc>
        <w:tc>
          <w:tcPr>
            <w:tcW w:w="1829" w:type="dxa"/>
            <w:tcBorders>
              <w:tl2br w:val="nil"/>
              <w:tr2bl w:val="nil"/>
            </w:tcBorders>
            <w:shd w:val="clear" w:color="auto" w:fill="auto"/>
            <w:tcMar>
              <w:top w:w="15" w:type="dxa"/>
              <w:left w:w="15" w:type="dxa"/>
              <w:right w:w="15" w:type="dxa"/>
            </w:tcMar>
            <w:vAlign w:val="center"/>
          </w:tcPr>
          <w:p w14:paraId="07F464A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64BE64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无</w:t>
            </w:r>
          </w:p>
        </w:tc>
      </w:tr>
      <w:tr w14:paraId="5A2C1B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1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D04E09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E82331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161271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FED8DE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754B18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7C20455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新建煤矿在建设期间组织采煤 (经备案的联合试运转除外)。</w:t>
            </w:r>
          </w:p>
        </w:tc>
        <w:tc>
          <w:tcPr>
            <w:tcW w:w="2655" w:type="dxa"/>
            <w:tcBorders>
              <w:tl2br w:val="nil"/>
              <w:tr2bl w:val="nil"/>
            </w:tcBorders>
            <w:shd w:val="clear" w:color="auto" w:fill="auto"/>
            <w:tcMar>
              <w:top w:w="15" w:type="dxa"/>
              <w:left w:w="15" w:type="dxa"/>
              <w:right w:w="15" w:type="dxa"/>
            </w:tcMar>
            <w:vAlign w:val="center"/>
          </w:tcPr>
          <w:p w14:paraId="5A4AB0B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责令停产整顿，提出整顿的内容、时间等具体要求，处50万元以上100万元以下的罚款；对煤矿企业负责人处3万元以上5万元以下的罚款。</w:t>
            </w:r>
          </w:p>
        </w:tc>
      </w:tr>
      <w:tr w14:paraId="0B712C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33E565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BE9C99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66199C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6822E0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8AEA78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2A170C0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改扩建煤矿在改扩建区域组织采煤 (经备案的联合试运转除外)。</w:t>
            </w:r>
          </w:p>
        </w:tc>
        <w:tc>
          <w:tcPr>
            <w:tcW w:w="2655" w:type="dxa"/>
            <w:tcBorders>
              <w:tl2br w:val="nil"/>
              <w:tr2bl w:val="nil"/>
            </w:tcBorders>
            <w:shd w:val="clear" w:color="auto" w:fill="auto"/>
            <w:tcMar>
              <w:top w:w="15" w:type="dxa"/>
              <w:left w:w="15" w:type="dxa"/>
              <w:right w:w="15" w:type="dxa"/>
            </w:tcMar>
            <w:vAlign w:val="center"/>
          </w:tcPr>
          <w:p w14:paraId="2FCCDE8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责令停产整顿，提出整顿的内容、时间等具体要求，处100万元以上150万元以下的罚款；对煤矿企业负责人处5万元以上10万元以下的罚款。</w:t>
            </w:r>
          </w:p>
        </w:tc>
      </w:tr>
      <w:tr w14:paraId="7D0005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3B4D20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474D36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390B3F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839383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731DBE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7F26F27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改扩建煤矿在非改扩建区域超出设计规定范围和规模生产建设。</w:t>
            </w:r>
          </w:p>
        </w:tc>
        <w:tc>
          <w:tcPr>
            <w:tcW w:w="2655" w:type="dxa"/>
            <w:tcBorders>
              <w:tl2br w:val="nil"/>
              <w:tr2bl w:val="nil"/>
            </w:tcBorders>
            <w:shd w:val="clear" w:color="auto" w:fill="auto"/>
            <w:tcMar>
              <w:top w:w="15" w:type="dxa"/>
              <w:left w:w="15" w:type="dxa"/>
              <w:right w:w="15" w:type="dxa"/>
            </w:tcMar>
            <w:vAlign w:val="center"/>
          </w:tcPr>
          <w:p w14:paraId="7089DE9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责令停产整顿，提出整顿的内容、时间等具体要求，处150万元以上200万元以下的罚款；对煤矿企业负责人处10万元以上15万元以下的罚款。</w:t>
            </w:r>
          </w:p>
        </w:tc>
      </w:tr>
      <w:tr w14:paraId="547DFC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3"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013ED4D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del w:id="1471" w:author="LV" w:date="2026-07-14T16:22:36Z">
              <w:r>
                <w:rPr>
                  <w:rFonts w:hint="default" w:ascii="仿宋_GB2312" w:hAnsi="宋体" w:eastAsia="仿宋_GB2312" w:cs="仿宋_GB2312"/>
                  <w:kern w:val="0"/>
                  <w:sz w:val="18"/>
                  <w:szCs w:val="18"/>
                  <w:lang w:val="en-US" w:bidi="ar"/>
                </w:rPr>
                <w:delText>4</w:delText>
              </w:r>
            </w:del>
            <w:del w:id="1472" w:author="LV" w:date="2026-07-14T16:22:36Z">
              <w:r>
                <w:rPr>
                  <w:rFonts w:hint="default" w:ascii="仿宋_GB2312" w:hAnsi="宋体" w:eastAsia="仿宋_GB2312" w:cs="仿宋_GB2312"/>
                  <w:kern w:val="0"/>
                  <w:sz w:val="18"/>
                  <w:szCs w:val="18"/>
                  <w:lang w:val="en-US" w:eastAsia="zh-CN" w:bidi="ar"/>
                </w:rPr>
                <w:delText>8</w:delText>
              </w:r>
            </w:del>
            <w:ins w:id="1473" w:author="LV" w:date="2026-07-14T16:22:36Z">
              <w:r>
                <w:rPr>
                  <w:rFonts w:hint="eastAsia" w:ascii="仿宋_GB2312" w:hAnsi="宋体" w:eastAsia="仿宋_GB2312" w:cs="仿宋_GB2312"/>
                  <w:kern w:val="0"/>
                  <w:sz w:val="18"/>
                  <w:szCs w:val="18"/>
                  <w:lang w:val="en-US" w:eastAsia="zh-CN" w:bidi="ar"/>
                </w:rPr>
                <w:t>5</w:t>
              </w:r>
            </w:ins>
            <w:ins w:id="1474" w:author="LV" w:date="2026-07-14T16:22:37Z">
              <w:r>
                <w:rPr>
                  <w:rFonts w:hint="eastAsia" w:ascii="仿宋_GB2312" w:hAnsi="宋体" w:eastAsia="仿宋_GB2312" w:cs="仿宋_GB2312"/>
                  <w:kern w:val="0"/>
                  <w:sz w:val="18"/>
                  <w:szCs w:val="18"/>
                  <w:lang w:val="en-US" w:eastAsia="zh-CN" w:bidi="ar"/>
                </w:rPr>
                <w:t>0</w:t>
              </w:r>
            </w:ins>
          </w:p>
        </w:tc>
        <w:tc>
          <w:tcPr>
            <w:tcW w:w="1005" w:type="dxa"/>
            <w:vMerge w:val="restart"/>
            <w:tcBorders>
              <w:tl2br w:val="nil"/>
              <w:tr2bl w:val="nil"/>
            </w:tcBorders>
            <w:shd w:val="clear" w:color="auto" w:fill="auto"/>
            <w:tcMar>
              <w:top w:w="15" w:type="dxa"/>
              <w:left w:w="15" w:type="dxa"/>
              <w:right w:w="15" w:type="dxa"/>
            </w:tcMar>
            <w:vAlign w:val="center"/>
          </w:tcPr>
          <w:p w14:paraId="6442196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实行整体承包生产经营后，未重新取得或者及时变更安全生产许可证而从事生产，或者承包方再次转包，以及将井下采掘工作面和井巷维修作业外包的</w:t>
            </w:r>
          </w:p>
        </w:tc>
        <w:tc>
          <w:tcPr>
            <w:tcW w:w="3667" w:type="dxa"/>
            <w:vMerge w:val="restart"/>
            <w:tcBorders>
              <w:tl2br w:val="nil"/>
              <w:tr2bl w:val="nil"/>
            </w:tcBorders>
            <w:shd w:val="clear" w:color="auto" w:fill="auto"/>
            <w:tcMar>
              <w:top w:w="15" w:type="dxa"/>
              <w:left w:w="15" w:type="dxa"/>
              <w:right w:w="15" w:type="dxa"/>
            </w:tcMar>
            <w:vAlign w:val="center"/>
          </w:tcPr>
          <w:p w14:paraId="0DCE51B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《煤矿安全生产条例》第三十六条第</w:t>
            </w:r>
            <w:r>
              <w:rPr>
                <w:rFonts w:hint="eastAsia" w:ascii="仿宋_GB2312" w:hAnsi="宋体" w:eastAsia="仿宋_GB2312" w:cs="仿宋_GB2312"/>
                <w:kern w:val="0"/>
                <w:sz w:val="18"/>
                <w:szCs w:val="18"/>
                <w:lang w:val="en-US" w:eastAsia="zh-CN" w:bidi="ar"/>
              </w:rPr>
              <w:t>十五</w:t>
            </w:r>
            <w:r>
              <w:rPr>
                <w:rFonts w:hint="eastAsia" w:ascii="仿宋_GB2312" w:hAnsi="宋体" w:eastAsia="仿宋_GB2312" w:cs="仿宋_GB2312"/>
                <w:kern w:val="0"/>
                <w:sz w:val="18"/>
                <w:szCs w:val="18"/>
                <w:lang w:bidi="ar"/>
              </w:rPr>
              <w:t>项  煤矿企业有下列情形之一的，属于重大事故隐患，应当立即停止受影响区域生产、建设，并及时消除事故隐患：（十</w:t>
            </w:r>
            <w:r>
              <w:rPr>
                <w:rFonts w:hint="eastAsia" w:ascii="仿宋_GB2312" w:hAnsi="宋体" w:eastAsia="仿宋_GB2312" w:cs="仿宋_GB2312"/>
                <w:kern w:val="0"/>
                <w:sz w:val="18"/>
                <w:szCs w:val="18"/>
                <w:lang w:val="en-US" w:eastAsia="zh-CN" w:bidi="ar"/>
              </w:rPr>
              <w:t>五</w:t>
            </w:r>
            <w:r>
              <w:rPr>
                <w:rFonts w:hint="eastAsia" w:ascii="仿宋_GB2312" w:hAnsi="宋体" w:eastAsia="仿宋_GB2312" w:cs="仿宋_GB2312"/>
                <w:kern w:val="0"/>
                <w:sz w:val="18"/>
                <w:szCs w:val="18"/>
                <w:lang w:bidi="ar"/>
              </w:rPr>
              <w:t>）实行整体承包生产经营后，未重新取得或者及时变更安全生产许可证而从事生产，或者承包方再次转包，以及将井下采掘工作面和井巷维修作业外包的；</w:t>
            </w:r>
          </w:p>
          <w:p w14:paraId="731E2D5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《煤矿重大事故隐患判定标准》第十</w:t>
            </w:r>
            <w:r>
              <w:rPr>
                <w:rFonts w:hint="eastAsia" w:ascii="仿宋_GB2312" w:hAnsi="宋体" w:eastAsia="仿宋_GB2312" w:cs="仿宋_GB2312"/>
                <w:kern w:val="0"/>
                <w:sz w:val="18"/>
                <w:szCs w:val="18"/>
                <w:lang w:val="en-US" w:eastAsia="zh-CN" w:bidi="ar"/>
              </w:rPr>
              <w:t>八</w:t>
            </w:r>
            <w:r>
              <w:rPr>
                <w:rFonts w:hint="eastAsia" w:ascii="仿宋_GB2312" w:hAnsi="宋体" w:eastAsia="仿宋_GB2312" w:cs="仿宋_GB2312"/>
                <w:kern w:val="0"/>
                <w:sz w:val="18"/>
                <w:szCs w:val="18"/>
                <w:lang w:bidi="ar"/>
              </w:rPr>
              <w:t>条“实行整体承包生产经营后，未重新取得或者及时变更安全生产许可证而从事生产，或者承包方再次转包，以及将井下采掘工作面和井巷维修作业外包” 重大事故隐患是指有下列情形之一的：</w:t>
            </w:r>
          </w:p>
          <w:p w14:paraId="04DF7FF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（一）矿井未采取整体承包形式进行发包。</w:t>
            </w:r>
          </w:p>
          <w:p w14:paraId="194C9C8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（二）矿井整体发包给不具有法人资格或者未取得合法有效营业执照的单位或者个人。</w:t>
            </w:r>
          </w:p>
          <w:p w14:paraId="23C2718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（三）实行整体承包的矿井，未重新取得或者变更安全生产许可证进行生产。</w:t>
            </w:r>
          </w:p>
          <w:p w14:paraId="6E27699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（四）实行整体承包的矿井，承包方再次将矿井转包、分包给其他单位或者个人。</w:t>
            </w:r>
          </w:p>
          <w:p w14:paraId="43052A1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（五）井工煤矿将井下采煤作业，露天煤矿将坑下采煤工程 (包括采装、运输) 作为独立工程发包给其他单位 (完全实现无人驾驶运输的露天煤矿承包单位除外) 或者个人。</w:t>
            </w:r>
          </w:p>
          <w:p w14:paraId="4AA0A52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（六）矿井将井下掘进作业或者井巷维修作业 (井筒，井下煤仓，井下新水平延深的井底车场、主运输、主通风、主排水、主要机电硐室岩石开拓工程除外) 作为独立工程发包给其他单位 (与发包矿井隶属同一煤矿企业的单位除外) 或者个人。</w:t>
            </w:r>
          </w:p>
          <w:p w14:paraId="1498652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（七）承包方存在施工队伍挂靠情形或者将井筒、井下煤仓、井下新水平延深岩石开拓工程转包。</w:t>
            </w:r>
          </w:p>
        </w:tc>
        <w:tc>
          <w:tcPr>
            <w:tcW w:w="4082" w:type="dxa"/>
            <w:vMerge w:val="restart"/>
            <w:tcBorders>
              <w:tl2br w:val="nil"/>
              <w:tr2bl w:val="nil"/>
            </w:tcBorders>
            <w:shd w:val="clear" w:color="auto" w:fill="auto"/>
            <w:tcMar>
              <w:top w:w="15" w:type="dxa"/>
              <w:left w:w="15" w:type="dxa"/>
              <w:right w:w="15" w:type="dxa"/>
            </w:tcMar>
            <w:vAlign w:val="center"/>
          </w:tcPr>
          <w:p w14:paraId="03E42C8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《煤矿安全生产条例》第六十四条  对存在重大事故隐患仍然进行生产的煤矿企业，责令停产整顿，明确整顿的内容、时间等具体要求，并处50万元以上200 万元以下的罚款；对煤矿企业主要负责人处3万元以上15 万元以下的罚款。</w:t>
            </w:r>
          </w:p>
        </w:tc>
        <w:tc>
          <w:tcPr>
            <w:tcW w:w="459" w:type="dxa"/>
            <w:tcBorders>
              <w:tl2br w:val="nil"/>
              <w:tr2bl w:val="nil"/>
            </w:tcBorders>
            <w:shd w:val="clear" w:color="auto" w:fill="auto"/>
            <w:noWrap/>
            <w:tcMar>
              <w:top w:w="15" w:type="dxa"/>
              <w:left w:w="15" w:type="dxa"/>
              <w:right w:w="15" w:type="dxa"/>
            </w:tcMar>
            <w:vAlign w:val="center"/>
          </w:tcPr>
          <w:p w14:paraId="2F194B1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不予处罚</w:t>
            </w:r>
          </w:p>
        </w:tc>
        <w:tc>
          <w:tcPr>
            <w:tcW w:w="1829" w:type="dxa"/>
            <w:tcBorders>
              <w:tl2br w:val="nil"/>
              <w:tr2bl w:val="nil"/>
            </w:tcBorders>
            <w:shd w:val="clear" w:color="auto" w:fill="auto"/>
            <w:tcMar>
              <w:top w:w="15" w:type="dxa"/>
              <w:left w:w="15" w:type="dxa"/>
              <w:right w:w="15" w:type="dxa"/>
            </w:tcMar>
            <w:vAlign w:val="center"/>
          </w:tcPr>
          <w:p w14:paraId="7EC0C15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392557C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无</w:t>
            </w:r>
          </w:p>
        </w:tc>
      </w:tr>
      <w:tr w14:paraId="39B12D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3F10E5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2B9CD7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89CCE8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6C6C06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25CBCE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免予处罚</w:t>
            </w:r>
          </w:p>
        </w:tc>
        <w:tc>
          <w:tcPr>
            <w:tcW w:w="1829" w:type="dxa"/>
            <w:tcBorders>
              <w:tl2br w:val="nil"/>
              <w:tr2bl w:val="nil"/>
            </w:tcBorders>
            <w:shd w:val="clear" w:color="auto" w:fill="auto"/>
            <w:tcMar>
              <w:top w:w="15" w:type="dxa"/>
              <w:left w:w="15" w:type="dxa"/>
              <w:right w:w="15" w:type="dxa"/>
            </w:tcMar>
            <w:vAlign w:val="center"/>
          </w:tcPr>
          <w:p w14:paraId="7940D66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08E47F9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无</w:t>
            </w:r>
          </w:p>
        </w:tc>
      </w:tr>
      <w:tr w14:paraId="1CDD9C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FD08D6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99A59E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E1EF53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0E9B16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312C1C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减轻处罚</w:t>
            </w:r>
          </w:p>
        </w:tc>
        <w:tc>
          <w:tcPr>
            <w:tcW w:w="1829" w:type="dxa"/>
            <w:tcBorders>
              <w:tl2br w:val="nil"/>
              <w:tr2bl w:val="nil"/>
            </w:tcBorders>
            <w:shd w:val="clear" w:color="auto" w:fill="auto"/>
            <w:tcMar>
              <w:top w:w="15" w:type="dxa"/>
              <w:left w:w="15" w:type="dxa"/>
              <w:right w:w="15" w:type="dxa"/>
            </w:tcMar>
            <w:vAlign w:val="center"/>
          </w:tcPr>
          <w:p w14:paraId="26DA7F3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604896A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无</w:t>
            </w:r>
          </w:p>
        </w:tc>
      </w:tr>
      <w:tr w14:paraId="4F746C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52B227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039041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B56388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EB77CF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3B36FD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30FF68E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val="en-US" w:eastAsia="zh-CN" w:bidi="ar"/>
              </w:rPr>
              <w:t>①</w:t>
            </w:r>
            <w:r>
              <w:rPr>
                <w:rFonts w:hint="eastAsia" w:ascii="仿宋_GB2312" w:hAnsi="宋体" w:eastAsia="仿宋_GB2312" w:cs="仿宋_GB2312"/>
                <w:kern w:val="0"/>
                <w:sz w:val="18"/>
                <w:szCs w:val="18"/>
                <w:lang w:bidi="ar"/>
              </w:rPr>
              <w:t>矿井未采取整体承包形式进行发包。</w:t>
            </w:r>
          </w:p>
          <w:p w14:paraId="561BDD6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val="en-US" w:eastAsia="zh-CN" w:bidi="ar"/>
              </w:rPr>
              <w:t>②</w:t>
            </w:r>
            <w:r>
              <w:rPr>
                <w:rFonts w:hint="eastAsia" w:ascii="仿宋_GB2312" w:hAnsi="宋体" w:eastAsia="仿宋_GB2312" w:cs="仿宋_GB2312"/>
                <w:kern w:val="0"/>
                <w:sz w:val="18"/>
                <w:szCs w:val="18"/>
                <w:lang w:bidi="ar"/>
              </w:rPr>
              <w:t>实行整体承包的矿井，承包方再次将矿井转包、分包给其他单位或者个人。</w:t>
            </w:r>
          </w:p>
          <w:p w14:paraId="1D9C892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p>
        </w:tc>
        <w:tc>
          <w:tcPr>
            <w:tcW w:w="2655" w:type="dxa"/>
            <w:tcBorders>
              <w:tl2br w:val="nil"/>
              <w:tr2bl w:val="nil"/>
            </w:tcBorders>
            <w:shd w:val="clear" w:color="auto" w:fill="auto"/>
            <w:tcMar>
              <w:top w:w="15" w:type="dxa"/>
              <w:left w:w="15" w:type="dxa"/>
              <w:right w:w="15" w:type="dxa"/>
            </w:tcMar>
            <w:vAlign w:val="center"/>
          </w:tcPr>
          <w:p w14:paraId="39643D2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责令停产整顿，提出整顿的内容、时间等具体要求，处50万元以上100万元以下的罚款；对煤矿企业负责人处3万元以上5万元以下的罚款。</w:t>
            </w:r>
          </w:p>
        </w:tc>
      </w:tr>
      <w:tr w14:paraId="3A9B58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1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30EAAC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E98B25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F0CF05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8C2493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7D4CCE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5FB0C10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val="en-US" w:eastAsia="zh-CN" w:bidi="ar"/>
              </w:rPr>
              <w:t>①</w:t>
            </w:r>
            <w:r>
              <w:rPr>
                <w:rFonts w:hint="eastAsia" w:ascii="仿宋_GB2312" w:hAnsi="宋体" w:eastAsia="仿宋_GB2312" w:cs="仿宋_GB2312"/>
                <w:kern w:val="0"/>
                <w:sz w:val="18"/>
                <w:szCs w:val="18"/>
                <w:lang w:bidi="ar"/>
              </w:rPr>
              <w:t>井工煤矿将井下采煤作业，露天煤矿将坑下采煤工程 (包括采装、运输) 作为独立工程发包给其他单位 (完全实现无人驾驶运输的露天煤矿承包单位除外) 或者个人。</w:t>
            </w:r>
          </w:p>
          <w:p w14:paraId="3AE4087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val="en-US" w:eastAsia="zh-CN" w:bidi="ar"/>
              </w:rPr>
              <w:t>②</w:t>
            </w:r>
            <w:r>
              <w:rPr>
                <w:rFonts w:hint="eastAsia" w:ascii="仿宋_GB2312" w:hAnsi="宋体" w:eastAsia="仿宋_GB2312" w:cs="仿宋_GB2312"/>
                <w:kern w:val="0"/>
                <w:sz w:val="18"/>
                <w:szCs w:val="18"/>
                <w:lang w:bidi="ar"/>
              </w:rPr>
              <w:t>矿井将井下掘进作业或者井巷维修作业 (井筒，井下煤仓，井下新水平延深的井底车场、主运输、主通风、主排水、主要机电硐室岩石开拓工程除外) 作为独立工程发包给其他单位 (与发包矿井隶属同一煤矿企业的单位除外) 或者个人。</w:t>
            </w:r>
          </w:p>
          <w:p w14:paraId="6FD206C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p>
        </w:tc>
        <w:tc>
          <w:tcPr>
            <w:tcW w:w="2655" w:type="dxa"/>
            <w:tcBorders>
              <w:tl2br w:val="nil"/>
              <w:tr2bl w:val="nil"/>
            </w:tcBorders>
            <w:shd w:val="clear" w:color="auto" w:fill="auto"/>
            <w:tcMar>
              <w:top w:w="15" w:type="dxa"/>
              <w:left w:w="15" w:type="dxa"/>
              <w:right w:w="15" w:type="dxa"/>
            </w:tcMar>
            <w:vAlign w:val="center"/>
          </w:tcPr>
          <w:p w14:paraId="678E425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责令停产整顿，提出整顿的内容、时间等具体要求，处100万元以上150万元以下的罚款；对煤矿企业负责人处5万元以上10万元以下的罚款。</w:t>
            </w:r>
          </w:p>
        </w:tc>
      </w:tr>
      <w:tr w14:paraId="19CE3C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15"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57CC89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7476CE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5A4238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ADDAB6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C69859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29FC2DD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val="en-US" w:eastAsia="zh-CN" w:bidi="ar"/>
              </w:rPr>
              <w:t>①</w:t>
            </w:r>
            <w:r>
              <w:rPr>
                <w:rFonts w:hint="eastAsia" w:ascii="仿宋_GB2312" w:hAnsi="宋体" w:eastAsia="仿宋_GB2312" w:cs="仿宋_GB2312"/>
                <w:kern w:val="0"/>
                <w:sz w:val="18"/>
                <w:szCs w:val="18"/>
                <w:lang w:bidi="ar"/>
              </w:rPr>
              <w:t>矿井整体发包给不具有法人资格或者未取得合法有效营业执照的单位或者个人。</w:t>
            </w:r>
          </w:p>
          <w:p w14:paraId="6D1000E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val="en-US" w:eastAsia="zh-CN" w:bidi="ar"/>
              </w:rPr>
              <w:t>②</w:t>
            </w:r>
            <w:r>
              <w:rPr>
                <w:rFonts w:hint="eastAsia" w:ascii="仿宋_GB2312" w:hAnsi="宋体" w:eastAsia="仿宋_GB2312" w:cs="仿宋_GB2312"/>
                <w:kern w:val="0"/>
                <w:sz w:val="18"/>
                <w:szCs w:val="18"/>
                <w:lang w:bidi="ar"/>
              </w:rPr>
              <w:t>实行整体承包的矿井，未重新取得或者变更安全生产许可证进行生产。</w:t>
            </w:r>
          </w:p>
          <w:p w14:paraId="250FF13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val="en-US" w:eastAsia="zh-CN" w:bidi="ar"/>
              </w:rPr>
              <w:t>③</w:t>
            </w:r>
            <w:r>
              <w:rPr>
                <w:rFonts w:hint="eastAsia" w:ascii="仿宋_GB2312" w:hAnsi="宋体" w:eastAsia="仿宋_GB2312" w:cs="仿宋_GB2312"/>
                <w:kern w:val="0"/>
                <w:sz w:val="18"/>
                <w:szCs w:val="18"/>
                <w:lang w:bidi="ar"/>
              </w:rPr>
              <w:t>承包方存在施工队伍挂靠情形或者将井筒、井下煤仓、井下新水平延深岩石开拓工程转包。</w:t>
            </w:r>
          </w:p>
        </w:tc>
        <w:tc>
          <w:tcPr>
            <w:tcW w:w="2655" w:type="dxa"/>
            <w:tcBorders>
              <w:tl2br w:val="nil"/>
              <w:tr2bl w:val="nil"/>
            </w:tcBorders>
            <w:shd w:val="clear" w:color="auto" w:fill="auto"/>
            <w:tcMar>
              <w:top w:w="15" w:type="dxa"/>
              <w:left w:w="15" w:type="dxa"/>
              <w:right w:w="15" w:type="dxa"/>
            </w:tcMar>
            <w:vAlign w:val="center"/>
          </w:tcPr>
          <w:p w14:paraId="6653F00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责令停产整顿，提出整顿的内容、时间等具体要求，处150万元以上200万元以下的罚款；对煤矿企业负责人处10万元以上15万元以下的罚款。</w:t>
            </w:r>
          </w:p>
        </w:tc>
      </w:tr>
      <w:tr w14:paraId="549D71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60066E4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del w:id="1475" w:author="LV" w:date="2026-07-14T16:22:41Z">
              <w:r>
                <w:rPr>
                  <w:rFonts w:hint="default" w:ascii="仿宋_GB2312" w:hAnsi="宋体" w:eastAsia="仿宋_GB2312" w:cs="仿宋_GB2312"/>
                  <w:kern w:val="0"/>
                  <w:sz w:val="18"/>
                  <w:szCs w:val="18"/>
                  <w:lang w:val="en-US" w:eastAsia="zh-CN" w:bidi="ar"/>
                </w:rPr>
                <w:delText>49</w:delText>
              </w:r>
            </w:del>
            <w:ins w:id="1476" w:author="LV" w:date="2026-07-14T16:22:41Z">
              <w:r>
                <w:rPr>
                  <w:rFonts w:hint="eastAsia" w:ascii="仿宋_GB2312" w:hAnsi="宋体" w:eastAsia="仿宋_GB2312" w:cs="仿宋_GB2312"/>
                  <w:kern w:val="0"/>
                  <w:sz w:val="18"/>
                  <w:szCs w:val="18"/>
                  <w:lang w:val="en-US" w:eastAsia="zh-CN" w:bidi="ar"/>
                </w:rPr>
                <w:t>5</w:t>
              </w:r>
            </w:ins>
            <w:ins w:id="1477" w:author="LV" w:date="2026-07-14T16:22:42Z">
              <w:r>
                <w:rPr>
                  <w:rFonts w:hint="eastAsia" w:ascii="仿宋_GB2312" w:hAnsi="宋体" w:eastAsia="仿宋_GB2312" w:cs="仿宋_GB2312"/>
                  <w:kern w:val="0"/>
                  <w:sz w:val="18"/>
                  <w:szCs w:val="18"/>
                  <w:lang w:val="en-US" w:eastAsia="zh-CN" w:bidi="ar"/>
                </w:rPr>
                <w:t>1</w:t>
              </w:r>
            </w:ins>
          </w:p>
        </w:tc>
        <w:tc>
          <w:tcPr>
            <w:tcW w:w="1005" w:type="dxa"/>
            <w:vMerge w:val="restart"/>
            <w:tcBorders>
              <w:tl2br w:val="nil"/>
              <w:tr2bl w:val="nil"/>
            </w:tcBorders>
            <w:shd w:val="clear" w:color="auto" w:fill="auto"/>
            <w:tcMar>
              <w:top w:w="15" w:type="dxa"/>
              <w:left w:w="15" w:type="dxa"/>
              <w:right w:w="15" w:type="dxa"/>
            </w:tcMar>
            <w:vAlign w:val="center"/>
          </w:tcPr>
          <w:p w14:paraId="36173B7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改制、合并、分立期间，未明确安全生产责任人和安全生产管理机构，或者在完成改制、合并、分立后，未重新取得或者及时变更安全生产许可证等的</w:t>
            </w:r>
          </w:p>
        </w:tc>
        <w:tc>
          <w:tcPr>
            <w:tcW w:w="3667" w:type="dxa"/>
            <w:vMerge w:val="restart"/>
            <w:tcBorders>
              <w:tl2br w:val="nil"/>
              <w:tr2bl w:val="nil"/>
            </w:tcBorders>
            <w:shd w:val="clear" w:color="auto" w:fill="auto"/>
            <w:tcMar>
              <w:top w:w="15" w:type="dxa"/>
              <w:left w:w="15" w:type="dxa"/>
              <w:right w:w="15" w:type="dxa"/>
            </w:tcMar>
            <w:vAlign w:val="center"/>
          </w:tcPr>
          <w:p w14:paraId="110F804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eastAsia="zh-CN" w:bidi="ar"/>
              </w:rPr>
            </w:pPr>
            <w:r>
              <w:rPr>
                <w:rFonts w:hint="eastAsia" w:ascii="仿宋_GB2312" w:hAnsi="宋体" w:eastAsia="仿宋_GB2312" w:cs="仿宋_GB2312"/>
                <w:kern w:val="0"/>
                <w:sz w:val="18"/>
                <w:szCs w:val="18"/>
                <w:lang w:bidi="ar"/>
              </w:rPr>
              <w:t>《煤矿安全生产条例》第三十六条第</w:t>
            </w:r>
            <w:r>
              <w:rPr>
                <w:rFonts w:hint="eastAsia" w:ascii="仿宋_GB2312" w:hAnsi="宋体" w:eastAsia="仿宋_GB2312" w:cs="仿宋_GB2312"/>
                <w:kern w:val="0"/>
                <w:sz w:val="18"/>
                <w:szCs w:val="18"/>
                <w:lang w:val="en-US" w:eastAsia="zh-CN" w:bidi="ar"/>
              </w:rPr>
              <w:t>十六</w:t>
            </w:r>
            <w:r>
              <w:rPr>
                <w:rFonts w:hint="eastAsia" w:ascii="仿宋_GB2312" w:hAnsi="宋体" w:eastAsia="仿宋_GB2312" w:cs="仿宋_GB2312"/>
                <w:kern w:val="0"/>
                <w:sz w:val="18"/>
                <w:szCs w:val="18"/>
                <w:lang w:bidi="ar"/>
              </w:rPr>
              <w:t>项  煤矿企业有下列情形之一的，属于重大事故隐患，应当立即停止受影响区域生产、建设，并及时消除事故隐患：（十</w:t>
            </w:r>
            <w:r>
              <w:rPr>
                <w:rFonts w:hint="eastAsia" w:ascii="仿宋_GB2312" w:hAnsi="宋体" w:eastAsia="仿宋_GB2312" w:cs="仿宋_GB2312"/>
                <w:kern w:val="0"/>
                <w:sz w:val="18"/>
                <w:szCs w:val="18"/>
                <w:lang w:val="en-US" w:eastAsia="zh-CN" w:bidi="ar"/>
              </w:rPr>
              <w:t>六</w:t>
            </w:r>
            <w:r>
              <w:rPr>
                <w:rFonts w:hint="eastAsia" w:ascii="仿宋_GB2312" w:hAnsi="宋体" w:eastAsia="仿宋_GB2312" w:cs="仿宋_GB2312"/>
                <w:kern w:val="0"/>
                <w:sz w:val="18"/>
                <w:szCs w:val="18"/>
                <w:lang w:bidi="ar"/>
              </w:rPr>
              <w:t>）改制、合并、分立期间，未明确安全生产责任人和安全生产管理机构，或者在完成改制、合并、分立后，未重新取得或者及时变更安全生产许可证等的</w:t>
            </w:r>
            <w:r>
              <w:rPr>
                <w:rFonts w:hint="eastAsia" w:ascii="仿宋_GB2312" w:hAnsi="宋体" w:eastAsia="仿宋_GB2312" w:cs="仿宋_GB2312"/>
                <w:kern w:val="0"/>
                <w:sz w:val="18"/>
                <w:szCs w:val="18"/>
                <w:lang w:eastAsia="zh-CN" w:bidi="ar"/>
              </w:rPr>
              <w:t>；</w:t>
            </w:r>
          </w:p>
          <w:p w14:paraId="1D0127C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《煤矿重大事故隐患判定标准》第十</w:t>
            </w:r>
            <w:r>
              <w:rPr>
                <w:rFonts w:hint="eastAsia" w:ascii="仿宋_GB2312" w:hAnsi="宋体" w:eastAsia="仿宋_GB2312" w:cs="仿宋_GB2312"/>
                <w:kern w:val="0"/>
                <w:sz w:val="18"/>
                <w:szCs w:val="18"/>
                <w:lang w:val="en-US" w:eastAsia="zh-CN" w:bidi="ar"/>
              </w:rPr>
              <w:t>九</w:t>
            </w:r>
            <w:r>
              <w:rPr>
                <w:rFonts w:hint="eastAsia" w:ascii="仿宋_GB2312" w:hAnsi="宋体" w:eastAsia="仿宋_GB2312" w:cs="仿宋_GB2312"/>
                <w:kern w:val="0"/>
                <w:sz w:val="18"/>
                <w:szCs w:val="18"/>
                <w:lang w:bidi="ar"/>
              </w:rPr>
              <w:t>条“改制、合并、分立期间，未明确安全生产责任人和安全生产管理机构，或者在完成改制、合并、分立后，未重新取得或者及时变更安全生产许可证等” 重大事故隐患</w:t>
            </w:r>
          </w:p>
          <w:p w14:paraId="6C844EE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是指有下列情形之一的：</w:t>
            </w:r>
          </w:p>
          <w:p w14:paraId="3148C82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（一）改制、合并、分立期间，未明确安全生产责任主体或者安全生产第一责任人进行生产建设。</w:t>
            </w:r>
          </w:p>
          <w:p w14:paraId="13CF7CC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（二）完成改制、合并、分立后，未重新取得或者按照规定时间变更安全生产许可证进行生产建设。</w:t>
            </w:r>
          </w:p>
        </w:tc>
        <w:tc>
          <w:tcPr>
            <w:tcW w:w="4082" w:type="dxa"/>
            <w:vMerge w:val="restart"/>
            <w:tcBorders>
              <w:tl2br w:val="nil"/>
              <w:tr2bl w:val="nil"/>
            </w:tcBorders>
            <w:shd w:val="clear" w:color="auto" w:fill="auto"/>
            <w:tcMar>
              <w:top w:w="15" w:type="dxa"/>
              <w:left w:w="15" w:type="dxa"/>
              <w:right w:w="15" w:type="dxa"/>
            </w:tcMar>
            <w:vAlign w:val="center"/>
          </w:tcPr>
          <w:p w14:paraId="0D1D2B0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《煤矿安全生产条例》第六十四条  对存在重大事故隐患仍然进行生产的煤矿企业，责令停产整顿，明确整顿的内容、时间等具体要求，并处50万元以上200 万元以下的罚款；对煤矿企业主要负责人处3万元以上15 万元以下的罚款。</w:t>
            </w:r>
          </w:p>
        </w:tc>
        <w:tc>
          <w:tcPr>
            <w:tcW w:w="459" w:type="dxa"/>
            <w:tcBorders>
              <w:tl2br w:val="nil"/>
              <w:tr2bl w:val="nil"/>
            </w:tcBorders>
            <w:shd w:val="clear" w:color="auto" w:fill="auto"/>
            <w:noWrap/>
            <w:tcMar>
              <w:top w:w="15" w:type="dxa"/>
              <w:left w:w="15" w:type="dxa"/>
              <w:right w:w="15" w:type="dxa"/>
            </w:tcMar>
            <w:vAlign w:val="center"/>
          </w:tcPr>
          <w:p w14:paraId="47DB5ED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1C3478C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0B9C9FE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3941F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8654D0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58DCCD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B8F166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389190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6F0687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5C94D65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3490A82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D9C0D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6B3CB8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DD6782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BAED28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C68EC1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6C16CA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494D813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763F61A3">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5551E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1D61FF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01B472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F6642C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C74409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E665BA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1A42B71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改制、合并、分立后，未重新取得或者按照规定时间变更安全生产许可证进行生产建设</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违法所得在</w:t>
            </w:r>
            <w:r>
              <w:rPr>
                <w:rFonts w:hint="eastAsia" w:ascii="仿宋_GB2312" w:hAnsi="宋体" w:eastAsia="仿宋_GB2312" w:cs="仿宋_GB2312"/>
                <w:kern w:val="0"/>
                <w:sz w:val="18"/>
                <w:szCs w:val="18"/>
                <w:lang w:val="en-US" w:eastAsia="zh-CN" w:bidi="ar"/>
              </w:rPr>
              <w:t>1</w:t>
            </w:r>
            <w:r>
              <w:rPr>
                <w:rFonts w:hint="eastAsia" w:ascii="仿宋_GB2312" w:hAnsi="宋体" w:eastAsia="仿宋_GB2312" w:cs="仿宋_GB2312"/>
                <w:kern w:val="0"/>
                <w:sz w:val="18"/>
                <w:szCs w:val="18"/>
                <w:lang w:bidi="ar"/>
              </w:rPr>
              <w:t>00万元以</w:t>
            </w:r>
            <w:r>
              <w:rPr>
                <w:rFonts w:hint="eastAsia" w:ascii="仿宋_GB2312" w:hAnsi="宋体" w:eastAsia="仿宋_GB2312" w:cs="仿宋_GB2312"/>
                <w:kern w:val="0"/>
                <w:sz w:val="18"/>
                <w:szCs w:val="18"/>
                <w:lang w:val="en-US" w:eastAsia="zh-CN" w:bidi="ar"/>
              </w:rPr>
              <w:t>下</w:t>
            </w:r>
            <w:r>
              <w:rPr>
                <w:rFonts w:hint="eastAsia" w:ascii="仿宋_GB2312" w:hAnsi="宋体" w:eastAsia="仿宋_GB2312" w:cs="仿宋_GB2312"/>
                <w:kern w:val="0"/>
                <w:sz w:val="18"/>
                <w:szCs w:val="18"/>
                <w:lang w:bidi="ar"/>
              </w:rPr>
              <w:t>的。</w:t>
            </w:r>
          </w:p>
        </w:tc>
        <w:tc>
          <w:tcPr>
            <w:tcW w:w="2655" w:type="dxa"/>
            <w:tcBorders>
              <w:tl2br w:val="nil"/>
              <w:tr2bl w:val="nil"/>
            </w:tcBorders>
            <w:shd w:val="clear" w:color="auto" w:fill="auto"/>
            <w:tcMar>
              <w:top w:w="15" w:type="dxa"/>
              <w:left w:w="15" w:type="dxa"/>
              <w:right w:w="15" w:type="dxa"/>
            </w:tcMar>
            <w:vAlign w:val="center"/>
          </w:tcPr>
          <w:p w14:paraId="3E1909D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责令停产整顿，提出整顿的内容、时间等具体要求，处50万元以上100万元以下的罚款；对煤矿企业负责人处3万元以上5万元以下的罚款。</w:t>
            </w:r>
          </w:p>
        </w:tc>
      </w:tr>
      <w:tr w14:paraId="0E17AE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E598FB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31BA69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77619F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C93D4B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2EED9B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762320E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改制、合并、分立后，未重新取得或者按照规定时间变更安全生产许可证进行生产建设</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违法所得在</w:t>
            </w:r>
            <w:r>
              <w:rPr>
                <w:rFonts w:hint="eastAsia" w:ascii="仿宋_GB2312" w:hAnsi="宋体" w:eastAsia="仿宋_GB2312" w:cs="仿宋_GB2312"/>
                <w:kern w:val="0"/>
                <w:sz w:val="18"/>
                <w:szCs w:val="18"/>
                <w:lang w:val="en-US" w:eastAsia="zh-CN" w:bidi="ar"/>
              </w:rPr>
              <w:t>1</w:t>
            </w:r>
            <w:r>
              <w:rPr>
                <w:rFonts w:hint="eastAsia" w:ascii="仿宋_GB2312" w:hAnsi="宋体" w:eastAsia="仿宋_GB2312" w:cs="仿宋_GB2312"/>
                <w:kern w:val="0"/>
                <w:sz w:val="18"/>
                <w:szCs w:val="18"/>
                <w:lang w:bidi="ar"/>
              </w:rPr>
              <w:t>00万元以上</w:t>
            </w:r>
            <w:r>
              <w:rPr>
                <w:rFonts w:hint="eastAsia" w:ascii="仿宋_GB2312" w:hAnsi="宋体" w:eastAsia="仿宋_GB2312" w:cs="仿宋_GB2312"/>
                <w:kern w:val="0"/>
                <w:sz w:val="18"/>
                <w:szCs w:val="18"/>
                <w:lang w:val="en-US" w:eastAsia="zh-CN" w:bidi="ar"/>
              </w:rPr>
              <w:t>500万元以下</w:t>
            </w:r>
            <w:r>
              <w:rPr>
                <w:rFonts w:hint="eastAsia" w:ascii="仿宋_GB2312" w:hAnsi="宋体" w:eastAsia="仿宋_GB2312" w:cs="仿宋_GB2312"/>
                <w:kern w:val="0"/>
                <w:sz w:val="18"/>
                <w:szCs w:val="18"/>
                <w:lang w:bidi="ar"/>
              </w:rPr>
              <w:t>的。</w:t>
            </w:r>
          </w:p>
        </w:tc>
        <w:tc>
          <w:tcPr>
            <w:tcW w:w="2655" w:type="dxa"/>
            <w:tcBorders>
              <w:tl2br w:val="nil"/>
              <w:tr2bl w:val="nil"/>
            </w:tcBorders>
            <w:shd w:val="clear" w:color="auto" w:fill="auto"/>
            <w:tcMar>
              <w:top w:w="15" w:type="dxa"/>
              <w:left w:w="15" w:type="dxa"/>
              <w:right w:w="15" w:type="dxa"/>
            </w:tcMar>
            <w:vAlign w:val="center"/>
          </w:tcPr>
          <w:p w14:paraId="672FD55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责令停产整顿，提出整顿的内容、时间等具体要求，处100万元以上150万元以下的罚款；对煤矿企业负责人处5万元以上10万元以下的罚款。</w:t>
            </w:r>
          </w:p>
        </w:tc>
      </w:tr>
      <w:tr w14:paraId="4E6543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66B344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9909FB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1784E3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CAC50B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ED66E9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34A204B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改制、合并、分立期间，未明确安全生产责任主体或者安全生产第一责任人进行生产建设。</w:t>
            </w:r>
            <w:r>
              <w:rPr>
                <w:rFonts w:hint="eastAsia" w:ascii="仿宋_GB2312" w:hAnsi="宋体" w:eastAsia="仿宋_GB2312" w:cs="仿宋_GB2312"/>
                <w:kern w:val="0"/>
                <w:sz w:val="18"/>
                <w:szCs w:val="18"/>
                <w:lang w:val="en-US" w:eastAsia="zh-CN" w:bidi="ar"/>
              </w:rPr>
              <w:t>或</w:t>
            </w:r>
            <w:r>
              <w:rPr>
                <w:rFonts w:hint="eastAsia" w:ascii="仿宋_GB2312" w:hAnsi="宋体" w:eastAsia="仿宋_GB2312" w:cs="仿宋_GB2312"/>
                <w:kern w:val="0"/>
                <w:sz w:val="18"/>
                <w:szCs w:val="18"/>
                <w:lang w:bidi="ar"/>
              </w:rPr>
              <w:t>改制、合并、分立后，未重新取得或者按照规定时间变更安全生产许可证进行生产建设</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违法所得在500万元以上的。</w:t>
            </w:r>
          </w:p>
        </w:tc>
        <w:tc>
          <w:tcPr>
            <w:tcW w:w="2655" w:type="dxa"/>
            <w:tcBorders>
              <w:tl2br w:val="nil"/>
              <w:tr2bl w:val="nil"/>
            </w:tcBorders>
            <w:shd w:val="clear" w:color="auto" w:fill="auto"/>
            <w:tcMar>
              <w:top w:w="15" w:type="dxa"/>
              <w:left w:w="15" w:type="dxa"/>
              <w:right w:w="15" w:type="dxa"/>
            </w:tcMar>
            <w:vAlign w:val="center"/>
          </w:tcPr>
          <w:p w14:paraId="151EE6C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责令停产整顿，提出整顿的内容、时间等具体要求，处150万元以上200万元以下的罚款；对煤矿企业负责人处10万元以上15万元以下的罚款。</w:t>
            </w:r>
          </w:p>
        </w:tc>
      </w:tr>
      <w:tr w14:paraId="51D84D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15606FB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z w:val="18"/>
                <w:szCs w:val="18"/>
                <w:lang w:eastAsia="zh-CN"/>
              </w:rPr>
            </w:pPr>
            <w:r>
              <w:rPr>
                <w:rFonts w:hint="eastAsia" w:ascii="仿宋_GB2312" w:hAnsi="宋体" w:eastAsia="仿宋_GB2312" w:cs="仿宋_GB2312"/>
                <w:kern w:val="0"/>
                <w:sz w:val="18"/>
                <w:szCs w:val="18"/>
                <w:lang w:bidi="ar"/>
              </w:rPr>
              <w:t>5</w:t>
            </w:r>
            <w:del w:id="1478" w:author="LV" w:date="2026-07-14T16:22:47Z">
              <w:r>
                <w:rPr>
                  <w:rFonts w:hint="default" w:ascii="仿宋_GB2312" w:hAnsi="宋体" w:eastAsia="仿宋_GB2312" w:cs="仿宋_GB2312"/>
                  <w:kern w:val="0"/>
                  <w:sz w:val="18"/>
                  <w:szCs w:val="18"/>
                  <w:lang w:val="en-US" w:eastAsia="zh-CN" w:bidi="ar"/>
                </w:rPr>
                <w:delText>0</w:delText>
              </w:r>
            </w:del>
            <w:ins w:id="1479" w:author="LV" w:date="2026-07-14T16:22:47Z">
              <w:r>
                <w:rPr>
                  <w:rFonts w:hint="eastAsia" w:ascii="仿宋_GB2312" w:hAnsi="宋体" w:eastAsia="仿宋_GB2312" w:cs="仿宋_GB2312"/>
                  <w:kern w:val="0"/>
                  <w:sz w:val="18"/>
                  <w:szCs w:val="18"/>
                  <w:lang w:val="en-US" w:eastAsia="zh-CN" w:bidi="ar"/>
                </w:rPr>
                <w:t>2</w:t>
              </w:r>
            </w:ins>
          </w:p>
        </w:tc>
        <w:tc>
          <w:tcPr>
            <w:tcW w:w="1005" w:type="dxa"/>
            <w:vMerge w:val="restart"/>
            <w:tcBorders>
              <w:tl2br w:val="nil"/>
              <w:tr2bl w:val="nil"/>
            </w:tcBorders>
            <w:shd w:val="clear" w:color="auto" w:fill="auto"/>
            <w:tcMar>
              <w:top w:w="15" w:type="dxa"/>
              <w:left w:w="15" w:type="dxa"/>
              <w:right w:w="15" w:type="dxa"/>
            </w:tcMar>
            <w:vAlign w:val="center"/>
          </w:tcPr>
          <w:p w14:paraId="320BC0BB">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瓦斯检查存在漏检、假检</w:t>
            </w:r>
          </w:p>
        </w:tc>
        <w:tc>
          <w:tcPr>
            <w:tcW w:w="3667" w:type="dxa"/>
            <w:vMerge w:val="restart"/>
            <w:tcBorders>
              <w:tl2br w:val="nil"/>
              <w:tr2bl w:val="nil"/>
            </w:tcBorders>
            <w:shd w:val="clear" w:color="auto" w:fill="auto"/>
            <w:tcMar>
              <w:top w:w="15" w:type="dxa"/>
              <w:left w:w="15" w:type="dxa"/>
              <w:right w:w="15" w:type="dxa"/>
            </w:tcMar>
            <w:vAlign w:val="center"/>
          </w:tcPr>
          <w:p w14:paraId="60FBD59A">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《煤矿安全生产条例》第三十六条第</w:t>
            </w:r>
            <w:r>
              <w:rPr>
                <w:rFonts w:hint="eastAsia" w:ascii="仿宋_GB2312" w:hAnsi="宋体" w:eastAsia="仿宋_GB2312" w:cs="仿宋_GB2312"/>
                <w:kern w:val="0"/>
                <w:sz w:val="18"/>
                <w:szCs w:val="18"/>
                <w:lang w:val="en-US" w:eastAsia="zh-CN" w:bidi="ar"/>
              </w:rPr>
              <w:t>十七</w:t>
            </w:r>
            <w:r>
              <w:rPr>
                <w:rFonts w:hint="eastAsia" w:ascii="仿宋_GB2312" w:hAnsi="宋体" w:eastAsia="仿宋_GB2312" w:cs="仿宋_GB2312"/>
                <w:kern w:val="0"/>
                <w:sz w:val="18"/>
                <w:szCs w:val="18"/>
                <w:lang w:bidi="ar"/>
              </w:rPr>
              <w:t>项  煤矿企业有下列情形之一的，属于重大事故隐患，应当立即停止受影响区域生产、建设，并及时消除事故隐患：（十</w:t>
            </w:r>
            <w:r>
              <w:rPr>
                <w:rFonts w:hint="eastAsia" w:ascii="仿宋_GB2312" w:hAnsi="宋体" w:eastAsia="仿宋_GB2312" w:cs="仿宋_GB2312"/>
                <w:kern w:val="0"/>
                <w:sz w:val="18"/>
                <w:szCs w:val="18"/>
                <w:lang w:val="en-US" w:eastAsia="zh-CN" w:bidi="ar"/>
              </w:rPr>
              <w:t>七</w:t>
            </w:r>
            <w:r>
              <w:rPr>
                <w:rFonts w:hint="eastAsia" w:ascii="仿宋_GB2312" w:hAnsi="宋体" w:eastAsia="仿宋_GB2312" w:cs="仿宋_GB2312"/>
                <w:kern w:val="0"/>
                <w:sz w:val="18"/>
                <w:szCs w:val="18"/>
                <w:lang w:bidi="ar"/>
              </w:rPr>
              <w:t>）有其他重大事故隐患的。</w:t>
            </w:r>
          </w:p>
          <w:p w14:paraId="69D700F0">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《煤矿重大事故隐患判定标准》第</w:t>
            </w:r>
            <w:r>
              <w:rPr>
                <w:rFonts w:hint="eastAsia" w:ascii="仿宋_GB2312" w:hAnsi="宋体" w:eastAsia="仿宋_GB2312" w:cs="仿宋_GB2312"/>
                <w:kern w:val="0"/>
                <w:sz w:val="18"/>
                <w:szCs w:val="18"/>
                <w:lang w:val="en-US" w:eastAsia="zh-CN" w:bidi="ar"/>
              </w:rPr>
              <w:t>二十</w:t>
            </w:r>
            <w:r>
              <w:rPr>
                <w:rFonts w:hint="eastAsia" w:ascii="仿宋_GB2312" w:hAnsi="宋体" w:eastAsia="仿宋_GB2312" w:cs="仿宋_GB2312"/>
                <w:kern w:val="0"/>
                <w:sz w:val="18"/>
                <w:szCs w:val="18"/>
                <w:lang w:bidi="ar"/>
              </w:rPr>
              <w:t>条</w:t>
            </w:r>
            <w:r>
              <w:rPr>
                <w:rFonts w:hint="eastAsia" w:ascii="仿宋_GB2312" w:hAnsi="宋体" w:eastAsia="仿宋_GB2312" w:cs="仿宋_GB2312"/>
                <w:kern w:val="0"/>
                <w:sz w:val="18"/>
                <w:szCs w:val="18"/>
                <w:lang w:val="en-US" w:eastAsia="zh-CN" w:bidi="ar"/>
              </w:rPr>
              <w:t xml:space="preserve">第三项 </w:t>
            </w:r>
            <w:r>
              <w:rPr>
                <w:rFonts w:hint="eastAsia" w:ascii="仿宋_GB2312" w:hAnsi="宋体" w:eastAsia="仿宋_GB2312" w:cs="仿宋_GB2312"/>
                <w:kern w:val="0"/>
                <w:sz w:val="18"/>
                <w:szCs w:val="18"/>
                <w:lang w:bidi="ar"/>
              </w:rPr>
              <w:t xml:space="preserve"> “其他重大事故隐患”，是指有下列情形之一的</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(三) 有人作业的采掘工作面 (工作面进风巷除外) 及特殊作业 (停工‹停风›地点恢复施工、巷道贯通、爆破作业、动火作业、启封密闭墙、封闭火区) 地点瓦斯检查存在漏检、假检情况</w:t>
            </w:r>
            <w:r>
              <w:rPr>
                <w:rFonts w:hint="eastAsia" w:ascii="仿宋_GB2312" w:hAnsi="宋体" w:eastAsia="仿宋_GB2312" w:cs="仿宋_GB2312"/>
                <w:kern w:val="0"/>
                <w:sz w:val="18"/>
                <w:szCs w:val="18"/>
                <w:lang w:eastAsia="zh-CN" w:bidi="ar"/>
              </w:rPr>
              <w:t>。</w:t>
            </w:r>
          </w:p>
        </w:tc>
        <w:tc>
          <w:tcPr>
            <w:tcW w:w="4082" w:type="dxa"/>
            <w:vMerge w:val="restart"/>
            <w:tcBorders>
              <w:tl2br w:val="nil"/>
              <w:tr2bl w:val="nil"/>
            </w:tcBorders>
            <w:shd w:val="clear" w:color="auto" w:fill="auto"/>
            <w:tcMar>
              <w:top w:w="15" w:type="dxa"/>
              <w:left w:w="15" w:type="dxa"/>
              <w:right w:w="15" w:type="dxa"/>
            </w:tcMar>
            <w:vAlign w:val="center"/>
          </w:tcPr>
          <w:p w14:paraId="1A99D561">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《煤矿安全生产条例》第六十四条  对存在重大事故隐患仍然进行生产的煤矿企业，责令停产整顿，明确整顿的内容、时间等具体要求，并处50万元以上200 万元以下的罚款；对煤矿企业主要负责人处3万元以上15 万元以下的罚款。</w:t>
            </w:r>
          </w:p>
        </w:tc>
        <w:tc>
          <w:tcPr>
            <w:tcW w:w="459" w:type="dxa"/>
            <w:tcBorders>
              <w:tl2br w:val="nil"/>
              <w:tr2bl w:val="nil"/>
            </w:tcBorders>
            <w:shd w:val="clear" w:color="auto" w:fill="auto"/>
            <w:noWrap/>
            <w:tcMar>
              <w:top w:w="15" w:type="dxa"/>
              <w:left w:w="15" w:type="dxa"/>
              <w:right w:w="15" w:type="dxa"/>
            </w:tcMar>
            <w:vAlign w:val="center"/>
          </w:tcPr>
          <w:p w14:paraId="609FA98F">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center"/>
              <w:rPr>
                <w:rFonts w:ascii="仿宋_GB2312" w:hAnsi="宋体" w:eastAsia="仿宋_GB2312" w:cs="仿宋_GB2312"/>
                <w:spacing w:val="-9"/>
                <w:sz w:val="18"/>
                <w:szCs w:val="18"/>
              </w:rPr>
            </w:pPr>
            <w:r>
              <w:rPr>
                <w:rFonts w:hint="eastAsia" w:ascii="仿宋_GB2312" w:hAnsi="宋体" w:eastAsia="仿宋_GB2312" w:cs="仿宋_GB2312"/>
                <w:spacing w:val="-9"/>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687609FE">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pacing w:val="-9"/>
                <w:sz w:val="18"/>
                <w:szCs w:val="18"/>
              </w:rPr>
            </w:pPr>
            <w:r>
              <w:rPr>
                <w:rFonts w:hint="eastAsia" w:ascii="仿宋_GB2312" w:hAnsi="宋体" w:eastAsia="仿宋_GB2312" w:cs="仿宋_GB2312"/>
                <w:spacing w:val="-9"/>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122D9797">
            <w:pPr>
              <w:keepNext w:val="0"/>
              <w:keepLines w:val="0"/>
              <w:pageBreakBefore w:val="0"/>
              <w:widowControl w:val="0"/>
              <w:kinsoku/>
              <w:wordWrap/>
              <w:overflowPunct w:val="0"/>
              <w:topLinePunct w:val="0"/>
              <w:autoSpaceDE/>
              <w:autoSpaceDN/>
              <w:bidi w:val="0"/>
              <w:adjustRightInd/>
              <w:snapToGrid/>
              <w:spacing w:line="240" w:lineRule="exact"/>
              <w:jc w:val="center"/>
              <w:textAlignment w:val="center"/>
              <w:rPr>
                <w:rFonts w:ascii="仿宋_GB2312" w:hAnsi="宋体" w:eastAsia="仿宋_GB2312" w:cs="仿宋_GB2312"/>
                <w:spacing w:val="-9"/>
                <w:sz w:val="18"/>
                <w:szCs w:val="18"/>
              </w:rPr>
            </w:pPr>
            <w:r>
              <w:rPr>
                <w:rFonts w:hint="eastAsia" w:ascii="仿宋_GB2312" w:hAnsi="宋体" w:eastAsia="仿宋_GB2312" w:cs="仿宋_GB2312"/>
                <w:spacing w:val="-9"/>
                <w:kern w:val="0"/>
                <w:sz w:val="18"/>
                <w:szCs w:val="18"/>
                <w:lang w:bidi="ar"/>
              </w:rPr>
              <w:t>无</w:t>
            </w:r>
          </w:p>
        </w:tc>
      </w:tr>
      <w:tr w14:paraId="1AB307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45EB53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FD48A14">
            <w:pPr>
              <w:keepNext w:val="0"/>
              <w:keepLines w:val="0"/>
              <w:pageBreakBefore w:val="0"/>
              <w:widowControl w:val="0"/>
              <w:kinsoku/>
              <w:wordWrap/>
              <w:overflowPunct w:val="0"/>
              <w:topLinePunct w:val="0"/>
              <w:autoSpaceDE/>
              <w:autoSpaceDN/>
              <w:bidi w:val="0"/>
              <w:adjustRightInd/>
              <w:snapToGrid/>
              <w:spacing w:line="24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4BDE4F9">
            <w:pPr>
              <w:keepNext w:val="0"/>
              <w:keepLines w:val="0"/>
              <w:pageBreakBefore w:val="0"/>
              <w:widowControl w:val="0"/>
              <w:kinsoku/>
              <w:wordWrap/>
              <w:overflowPunct w:val="0"/>
              <w:topLinePunct w:val="0"/>
              <w:autoSpaceDE/>
              <w:autoSpaceDN/>
              <w:bidi w:val="0"/>
              <w:adjustRightInd/>
              <w:snapToGrid/>
              <w:spacing w:line="24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207E6A3">
            <w:pPr>
              <w:keepNext w:val="0"/>
              <w:keepLines w:val="0"/>
              <w:pageBreakBefore w:val="0"/>
              <w:widowControl w:val="0"/>
              <w:kinsoku/>
              <w:wordWrap/>
              <w:overflowPunct w:val="0"/>
              <w:topLinePunct w:val="0"/>
              <w:autoSpaceDE/>
              <w:autoSpaceDN/>
              <w:bidi w:val="0"/>
              <w:adjustRightInd/>
              <w:snapToGrid/>
              <w:spacing w:line="24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339EB74">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center"/>
              <w:rPr>
                <w:rFonts w:ascii="仿宋_GB2312" w:hAnsi="宋体" w:eastAsia="仿宋_GB2312" w:cs="仿宋_GB2312"/>
                <w:spacing w:val="-9"/>
                <w:sz w:val="18"/>
                <w:szCs w:val="18"/>
              </w:rPr>
            </w:pPr>
            <w:r>
              <w:rPr>
                <w:rFonts w:hint="eastAsia" w:ascii="仿宋_GB2312" w:hAnsi="宋体" w:eastAsia="仿宋_GB2312" w:cs="仿宋_GB2312"/>
                <w:spacing w:val="-9"/>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60C8A21B">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pacing w:val="-9"/>
                <w:sz w:val="18"/>
                <w:szCs w:val="18"/>
              </w:rPr>
            </w:pPr>
            <w:r>
              <w:rPr>
                <w:rFonts w:hint="eastAsia" w:ascii="仿宋_GB2312" w:hAnsi="宋体" w:eastAsia="仿宋_GB2312" w:cs="仿宋_GB2312"/>
                <w:spacing w:val="-9"/>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2E90A062">
            <w:pPr>
              <w:keepNext w:val="0"/>
              <w:keepLines w:val="0"/>
              <w:pageBreakBefore w:val="0"/>
              <w:widowControl w:val="0"/>
              <w:kinsoku/>
              <w:wordWrap/>
              <w:overflowPunct w:val="0"/>
              <w:topLinePunct w:val="0"/>
              <w:autoSpaceDE/>
              <w:autoSpaceDN/>
              <w:bidi w:val="0"/>
              <w:adjustRightInd/>
              <w:snapToGrid/>
              <w:spacing w:line="240" w:lineRule="exact"/>
              <w:jc w:val="center"/>
              <w:textAlignment w:val="center"/>
              <w:rPr>
                <w:rFonts w:ascii="仿宋_GB2312" w:hAnsi="宋体" w:eastAsia="仿宋_GB2312" w:cs="仿宋_GB2312"/>
                <w:spacing w:val="-9"/>
                <w:sz w:val="18"/>
                <w:szCs w:val="18"/>
              </w:rPr>
            </w:pPr>
            <w:r>
              <w:rPr>
                <w:rFonts w:hint="eastAsia" w:ascii="仿宋_GB2312" w:hAnsi="宋体" w:eastAsia="仿宋_GB2312" w:cs="仿宋_GB2312"/>
                <w:spacing w:val="-9"/>
                <w:kern w:val="0"/>
                <w:sz w:val="18"/>
                <w:szCs w:val="18"/>
                <w:lang w:bidi="ar"/>
              </w:rPr>
              <w:t>无</w:t>
            </w:r>
          </w:p>
        </w:tc>
      </w:tr>
      <w:tr w14:paraId="23ABAA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8D127A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400422E">
            <w:pPr>
              <w:keepNext w:val="0"/>
              <w:keepLines w:val="0"/>
              <w:pageBreakBefore w:val="0"/>
              <w:widowControl w:val="0"/>
              <w:kinsoku/>
              <w:wordWrap/>
              <w:overflowPunct w:val="0"/>
              <w:topLinePunct w:val="0"/>
              <w:autoSpaceDE/>
              <w:autoSpaceDN/>
              <w:bidi w:val="0"/>
              <w:adjustRightInd/>
              <w:snapToGrid/>
              <w:spacing w:line="24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E75DEB2">
            <w:pPr>
              <w:keepNext w:val="0"/>
              <w:keepLines w:val="0"/>
              <w:pageBreakBefore w:val="0"/>
              <w:widowControl w:val="0"/>
              <w:kinsoku/>
              <w:wordWrap/>
              <w:overflowPunct w:val="0"/>
              <w:topLinePunct w:val="0"/>
              <w:autoSpaceDE/>
              <w:autoSpaceDN/>
              <w:bidi w:val="0"/>
              <w:adjustRightInd/>
              <w:snapToGrid/>
              <w:spacing w:line="24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AE80871">
            <w:pPr>
              <w:keepNext w:val="0"/>
              <w:keepLines w:val="0"/>
              <w:pageBreakBefore w:val="0"/>
              <w:widowControl w:val="0"/>
              <w:kinsoku/>
              <w:wordWrap/>
              <w:overflowPunct w:val="0"/>
              <w:topLinePunct w:val="0"/>
              <w:autoSpaceDE/>
              <w:autoSpaceDN/>
              <w:bidi w:val="0"/>
              <w:adjustRightInd/>
              <w:snapToGrid/>
              <w:spacing w:line="24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616D555">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center"/>
              <w:rPr>
                <w:rFonts w:ascii="仿宋_GB2312" w:hAnsi="宋体" w:eastAsia="仿宋_GB2312" w:cs="仿宋_GB2312"/>
                <w:spacing w:val="-9"/>
                <w:sz w:val="18"/>
                <w:szCs w:val="18"/>
              </w:rPr>
            </w:pPr>
            <w:r>
              <w:rPr>
                <w:rFonts w:hint="eastAsia" w:ascii="仿宋_GB2312" w:hAnsi="宋体" w:eastAsia="仿宋_GB2312" w:cs="仿宋_GB2312"/>
                <w:spacing w:val="-9"/>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2D77D719">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pacing w:val="-9"/>
                <w:sz w:val="18"/>
                <w:szCs w:val="18"/>
              </w:rPr>
            </w:pPr>
            <w:r>
              <w:rPr>
                <w:rFonts w:hint="eastAsia" w:ascii="仿宋_GB2312" w:hAnsi="宋体" w:eastAsia="仿宋_GB2312" w:cs="仿宋_GB2312"/>
                <w:spacing w:val="-9"/>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11F843C0">
            <w:pPr>
              <w:keepNext w:val="0"/>
              <w:keepLines w:val="0"/>
              <w:pageBreakBefore w:val="0"/>
              <w:widowControl w:val="0"/>
              <w:kinsoku/>
              <w:wordWrap/>
              <w:overflowPunct w:val="0"/>
              <w:topLinePunct w:val="0"/>
              <w:autoSpaceDE/>
              <w:autoSpaceDN/>
              <w:bidi w:val="0"/>
              <w:adjustRightInd/>
              <w:snapToGrid/>
              <w:spacing w:line="240" w:lineRule="exact"/>
              <w:jc w:val="center"/>
              <w:textAlignment w:val="center"/>
              <w:rPr>
                <w:rFonts w:ascii="仿宋_GB2312" w:hAnsi="宋体" w:eastAsia="仿宋_GB2312" w:cs="仿宋_GB2312"/>
                <w:spacing w:val="-9"/>
                <w:sz w:val="18"/>
                <w:szCs w:val="18"/>
              </w:rPr>
            </w:pPr>
            <w:r>
              <w:rPr>
                <w:rFonts w:hint="eastAsia" w:ascii="仿宋_GB2312" w:hAnsi="宋体" w:eastAsia="仿宋_GB2312" w:cs="仿宋_GB2312"/>
                <w:spacing w:val="-9"/>
                <w:kern w:val="0"/>
                <w:sz w:val="18"/>
                <w:szCs w:val="18"/>
                <w:lang w:bidi="ar"/>
              </w:rPr>
              <w:t>无</w:t>
            </w:r>
          </w:p>
        </w:tc>
      </w:tr>
      <w:tr w14:paraId="2E4D7C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1A7E0D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5C0D63F">
            <w:pPr>
              <w:keepNext w:val="0"/>
              <w:keepLines w:val="0"/>
              <w:pageBreakBefore w:val="0"/>
              <w:widowControl w:val="0"/>
              <w:kinsoku/>
              <w:wordWrap/>
              <w:overflowPunct w:val="0"/>
              <w:topLinePunct w:val="0"/>
              <w:autoSpaceDE/>
              <w:autoSpaceDN/>
              <w:bidi w:val="0"/>
              <w:adjustRightInd/>
              <w:snapToGrid/>
              <w:spacing w:line="24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B8CA69C">
            <w:pPr>
              <w:keepNext w:val="0"/>
              <w:keepLines w:val="0"/>
              <w:pageBreakBefore w:val="0"/>
              <w:widowControl w:val="0"/>
              <w:kinsoku/>
              <w:wordWrap/>
              <w:overflowPunct w:val="0"/>
              <w:topLinePunct w:val="0"/>
              <w:autoSpaceDE/>
              <w:autoSpaceDN/>
              <w:bidi w:val="0"/>
              <w:adjustRightInd/>
              <w:snapToGrid/>
              <w:spacing w:line="24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B6B46E1">
            <w:pPr>
              <w:keepNext w:val="0"/>
              <w:keepLines w:val="0"/>
              <w:pageBreakBefore w:val="0"/>
              <w:widowControl w:val="0"/>
              <w:kinsoku/>
              <w:wordWrap/>
              <w:overflowPunct w:val="0"/>
              <w:topLinePunct w:val="0"/>
              <w:autoSpaceDE/>
              <w:autoSpaceDN/>
              <w:bidi w:val="0"/>
              <w:adjustRightInd/>
              <w:snapToGrid/>
              <w:spacing w:line="24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193D495">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center"/>
              <w:rPr>
                <w:rFonts w:ascii="仿宋_GB2312" w:hAnsi="宋体" w:eastAsia="仿宋_GB2312" w:cs="仿宋_GB2312"/>
                <w:spacing w:val="-9"/>
                <w:sz w:val="18"/>
                <w:szCs w:val="18"/>
              </w:rPr>
            </w:pPr>
            <w:r>
              <w:rPr>
                <w:rFonts w:hint="eastAsia" w:ascii="仿宋_GB2312" w:hAnsi="宋体" w:eastAsia="仿宋_GB2312" w:cs="仿宋_GB2312"/>
                <w:spacing w:val="-9"/>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184CCC78">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pacing w:val="-9"/>
                <w:sz w:val="18"/>
                <w:szCs w:val="18"/>
              </w:rPr>
            </w:pPr>
            <w:r>
              <w:rPr>
                <w:rFonts w:hint="eastAsia" w:ascii="仿宋_GB2312" w:hAnsi="宋体" w:eastAsia="仿宋_GB2312" w:cs="仿宋_GB2312"/>
                <w:kern w:val="0"/>
                <w:sz w:val="18"/>
                <w:szCs w:val="18"/>
                <w:lang w:bidi="ar"/>
              </w:rPr>
              <w:t xml:space="preserve">有人作业的采掘工作面 (工作面进风巷除外) </w:t>
            </w:r>
            <w:r>
              <w:rPr>
                <w:rFonts w:hint="eastAsia" w:ascii="仿宋_GB2312" w:hAnsi="宋体" w:eastAsia="仿宋_GB2312" w:cs="仿宋_GB2312"/>
                <w:kern w:val="0"/>
                <w:sz w:val="18"/>
                <w:szCs w:val="18"/>
                <w:lang w:val="en-US" w:eastAsia="zh-CN" w:bidi="ar"/>
              </w:rPr>
              <w:t>瓦斯漏检的。</w:t>
            </w:r>
          </w:p>
        </w:tc>
        <w:tc>
          <w:tcPr>
            <w:tcW w:w="2655" w:type="dxa"/>
            <w:tcBorders>
              <w:tl2br w:val="nil"/>
              <w:tr2bl w:val="nil"/>
            </w:tcBorders>
            <w:shd w:val="clear" w:color="auto" w:fill="auto"/>
            <w:tcMar>
              <w:top w:w="15" w:type="dxa"/>
              <w:left w:w="15" w:type="dxa"/>
              <w:right w:w="15" w:type="dxa"/>
            </w:tcMar>
            <w:vAlign w:val="center"/>
          </w:tcPr>
          <w:p w14:paraId="2524B74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责令停产整顿，提出整顿的内容、时间等具体要求，处50万元以上100万元以下的罚款；对煤矿企业负责人处3万元以上5万元以下的罚款。</w:t>
            </w:r>
          </w:p>
        </w:tc>
      </w:tr>
      <w:tr w14:paraId="7FB66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3D2F40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C0012F2">
            <w:pPr>
              <w:keepNext w:val="0"/>
              <w:keepLines w:val="0"/>
              <w:pageBreakBefore w:val="0"/>
              <w:widowControl w:val="0"/>
              <w:kinsoku/>
              <w:wordWrap/>
              <w:overflowPunct w:val="0"/>
              <w:topLinePunct w:val="0"/>
              <w:autoSpaceDE/>
              <w:autoSpaceDN/>
              <w:bidi w:val="0"/>
              <w:adjustRightInd/>
              <w:snapToGrid/>
              <w:spacing w:line="24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E2DBCF0">
            <w:pPr>
              <w:keepNext w:val="0"/>
              <w:keepLines w:val="0"/>
              <w:pageBreakBefore w:val="0"/>
              <w:widowControl w:val="0"/>
              <w:kinsoku/>
              <w:wordWrap/>
              <w:overflowPunct w:val="0"/>
              <w:topLinePunct w:val="0"/>
              <w:autoSpaceDE/>
              <w:autoSpaceDN/>
              <w:bidi w:val="0"/>
              <w:adjustRightInd/>
              <w:snapToGrid/>
              <w:spacing w:line="24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DBFA910">
            <w:pPr>
              <w:keepNext w:val="0"/>
              <w:keepLines w:val="0"/>
              <w:pageBreakBefore w:val="0"/>
              <w:widowControl w:val="0"/>
              <w:kinsoku/>
              <w:wordWrap/>
              <w:overflowPunct w:val="0"/>
              <w:topLinePunct w:val="0"/>
              <w:autoSpaceDE/>
              <w:autoSpaceDN/>
              <w:bidi w:val="0"/>
              <w:adjustRightInd/>
              <w:snapToGrid/>
              <w:spacing w:line="24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2667B6E">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center"/>
              <w:rPr>
                <w:rFonts w:ascii="仿宋_GB2312" w:hAnsi="宋体" w:eastAsia="仿宋_GB2312" w:cs="仿宋_GB2312"/>
                <w:spacing w:val="-9"/>
                <w:sz w:val="18"/>
                <w:szCs w:val="18"/>
              </w:rPr>
            </w:pPr>
            <w:r>
              <w:rPr>
                <w:rFonts w:hint="eastAsia" w:ascii="仿宋_GB2312" w:hAnsi="宋体" w:eastAsia="仿宋_GB2312" w:cs="仿宋_GB2312"/>
                <w:spacing w:val="-9"/>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6F38D8F6">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pacing w:val="-9"/>
                <w:sz w:val="18"/>
                <w:szCs w:val="18"/>
              </w:rPr>
            </w:pPr>
            <w:r>
              <w:rPr>
                <w:rFonts w:hint="eastAsia" w:ascii="仿宋_GB2312" w:hAnsi="宋体" w:eastAsia="仿宋_GB2312" w:cs="仿宋_GB2312"/>
                <w:kern w:val="0"/>
                <w:sz w:val="18"/>
                <w:szCs w:val="18"/>
                <w:lang w:bidi="ar"/>
              </w:rPr>
              <w:t>特殊作业 (停工‹停风›地点恢复施工、巷道贯通、爆破作业、动火作业、启封密闭墙、封闭火区) 地点瓦斯检查存在漏检</w:t>
            </w:r>
            <w:r>
              <w:rPr>
                <w:rFonts w:hint="eastAsia" w:ascii="仿宋_GB2312" w:hAnsi="宋体" w:eastAsia="仿宋_GB2312" w:cs="仿宋_GB2312"/>
                <w:kern w:val="0"/>
                <w:sz w:val="18"/>
                <w:szCs w:val="18"/>
                <w:lang w:val="en-US" w:eastAsia="zh-CN" w:bidi="ar"/>
              </w:rPr>
              <w:t>的</w:t>
            </w:r>
            <w:r>
              <w:rPr>
                <w:rFonts w:hint="eastAsia" w:ascii="仿宋_GB2312" w:hAnsi="宋体" w:eastAsia="仿宋_GB2312" w:cs="仿宋_GB2312"/>
                <w:kern w:val="0"/>
                <w:sz w:val="18"/>
                <w:szCs w:val="18"/>
                <w:lang w:eastAsia="zh-CN" w:bidi="ar"/>
              </w:rPr>
              <w:t>。</w:t>
            </w:r>
          </w:p>
        </w:tc>
        <w:tc>
          <w:tcPr>
            <w:tcW w:w="2655" w:type="dxa"/>
            <w:tcBorders>
              <w:tl2br w:val="nil"/>
              <w:tr2bl w:val="nil"/>
            </w:tcBorders>
            <w:shd w:val="clear" w:color="auto" w:fill="auto"/>
            <w:tcMar>
              <w:top w:w="15" w:type="dxa"/>
              <w:left w:w="15" w:type="dxa"/>
              <w:right w:w="15" w:type="dxa"/>
            </w:tcMar>
            <w:vAlign w:val="center"/>
          </w:tcPr>
          <w:p w14:paraId="1DCCD8A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责令停产整顿，提出整顿的内容、时间等具体要求，处100万元以上150万元以下的罚款；对煤矿企业负责人处5万元以上10万元以下的罚款。</w:t>
            </w:r>
          </w:p>
        </w:tc>
      </w:tr>
      <w:tr w14:paraId="41ED4D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3"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78C788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62B8AF0">
            <w:pPr>
              <w:keepNext w:val="0"/>
              <w:keepLines w:val="0"/>
              <w:pageBreakBefore w:val="0"/>
              <w:widowControl w:val="0"/>
              <w:kinsoku/>
              <w:wordWrap/>
              <w:overflowPunct w:val="0"/>
              <w:topLinePunct w:val="0"/>
              <w:autoSpaceDE/>
              <w:autoSpaceDN/>
              <w:bidi w:val="0"/>
              <w:adjustRightInd/>
              <w:snapToGrid/>
              <w:spacing w:line="24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8853C4E">
            <w:pPr>
              <w:keepNext w:val="0"/>
              <w:keepLines w:val="0"/>
              <w:pageBreakBefore w:val="0"/>
              <w:widowControl w:val="0"/>
              <w:kinsoku/>
              <w:wordWrap/>
              <w:overflowPunct w:val="0"/>
              <w:topLinePunct w:val="0"/>
              <w:autoSpaceDE/>
              <w:autoSpaceDN/>
              <w:bidi w:val="0"/>
              <w:adjustRightInd/>
              <w:snapToGrid/>
              <w:spacing w:line="24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90B6283">
            <w:pPr>
              <w:keepNext w:val="0"/>
              <w:keepLines w:val="0"/>
              <w:pageBreakBefore w:val="0"/>
              <w:widowControl w:val="0"/>
              <w:kinsoku/>
              <w:wordWrap/>
              <w:overflowPunct w:val="0"/>
              <w:topLinePunct w:val="0"/>
              <w:autoSpaceDE/>
              <w:autoSpaceDN/>
              <w:bidi w:val="0"/>
              <w:adjustRightInd/>
              <w:snapToGrid/>
              <w:spacing w:line="24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8A0A65A">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center"/>
              <w:rPr>
                <w:rFonts w:ascii="仿宋_GB2312" w:hAnsi="宋体" w:eastAsia="仿宋_GB2312" w:cs="仿宋_GB2312"/>
                <w:spacing w:val="-9"/>
                <w:sz w:val="18"/>
                <w:szCs w:val="18"/>
              </w:rPr>
            </w:pPr>
            <w:r>
              <w:rPr>
                <w:rFonts w:hint="eastAsia" w:ascii="仿宋_GB2312" w:hAnsi="宋体" w:eastAsia="仿宋_GB2312" w:cs="仿宋_GB2312"/>
                <w:spacing w:val="-9"/>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1B055498">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pacing w:val="-9"/>
                <w:sz w:val="18"/>
                <w:szCs w:val="18"/>
              </w:rPr>
            </w:pPr>
            <w:r>
              <w:rPr>
                <w:rFonts w:hint="eastAsia" w:ascii="仿宋_GB2312" w:hAnsi="宋体" w:eastAsia="仿宋_GB2312" w:cs="仿宋_GB2312"/>
                <w:spacing w:val="-9"/>
                <w:sz w:val="18"/>
                <w:szCs w:val="18"/>
              </w:rPr>
              <w:t>瓦斯检查存在假检情况且进行作业的</w:t>
            </w:r>
            <w:r>
              <w:rPr>
                <w:rFonts w:hint="eastAsia" w:ascii="仿宋_GB2312" w:hAnsi="宋体" w:eastAsia="仿宋_GB2312" w:cs="仿宋_GB2312"/>
                <w:spacing w:val="-9"/>
                <w:sz w:val="18"/>
                <w:szCs w:val="18"/>
                <w:lang w:eastAsia="zh-CN"/>
              </w:rPr>
              <w:t>。</w:t>
            </w:r>
          </w:p>
        </w:tc>
        <w:tc>
          <w:tcPr>
            <w:tcW w:w="2655" w:type="dxa"/>
            <w:tcBorders>
              <w:tl2br w:val="nil"/>
              <w:tr2bl w:val="nil"/>
            </w:tcBorders>
            <w:shd w:val="clear" w:color="auto" w:fill="auto"/>
            <w:tcMar>
              <w:top w:w="15" w:type="dxa"/>
              <w:left w:w="15" w:type="dxa"/>
              <w:right w:w="15" w:type="dxa"/>
            </w:tcMar>
            <w:vAlign w:val="center"/>
          </w:tcPr>
          <w:p w14:paraId="3FFFAEFE">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1480" w:author="LV" w:date="2026-07-14T16:23:15Z"/>
                <w:rFonts w:hint="eastAsia" w:ascii="仿宋_GB2312" w:hAnsi="宋体" w:eastAsia="仿宋_GB2312" w:cs="仿宋_GB2312"/>
                <w:kern w:val="0"/>
                <w:sz w:val="18"/>
                <w:szCs w:val="18"/>
                <w:lang w:bidi="ar"/>
              </w:rPr>
            </w:pPr>
          </w:p>
          <w:p w14:paraId="39A4FA60">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1481" w:author="LV" w:date="2026-07-14T16:23:16Z"/>
                <w:rFonts w:hint="eastAsia" w:ascii="仿宋_GB2312" w:hAnsi="宋体" w:eastAsia="仿宋_GB2312" w:cs="仿宋_GB2312"/>
                <w:kern w:val="0"/>
                <w:sz w:val="18"/>
                <w:szCs w:val="18"/>
                <w:lang w:bidi="ar"/>
              </w:rPr>
            </w:pPr>
          </w:p>
          <w:p w14:paraId="3793781A">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1482" w:author="LV" w:date="2026-07-14T16:23:18Z"/>
                <w:rFonts w:hint="eastAsia" w:ascii="仿宋_GB2312" w:hAnsi="宋体" w:eastAsia="仿宋_GB2312" w:cs="仿宋_GB2312"/>
                <w:kern w:val="0"/>
                <w:sz w:val="18"/>
                <w:szCs w:val="18"/>
                <w:lang w:bidi="ar"/>
              </w:rPr>
            </w:pPr>
          </w:p>
          <w:p w14:paraId="583C13FA">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1483" w:author="LV" w:date="2026-07-14T16:23:05Z"/>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责令停产整顿，提出整顿的内容、时间等具体要求，处150万元以上200万元以下的罚款；对煤矿企业负责人处10万元以上15万元以下的罚款。</w:t>
            </w:r>
          </w:p>
          <w:p w14:paraId="5CFAD0C0">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1484" w:author="LV" w:date="2026-07-14T16:23:26Z"/>
                <w:rFonts w:hint="eastAsia" w:ascii="仿宋_GB2312" w:hAnsi="宋体" w:eastAsia="仿宋_GB2312" w:cs="仿宋_GB2312"/>
                <w:kern w:val="0"/>
                <w:sz w:val="18"/>
                <w:szCs w:val="18"/>
                <w:lang w:bidi="ar"/>
              </w:rPr>
            </w:pPr>
          </w:p>
          <w:p w14:paraId="62AEEC6C">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1485" w:author="LV" w:date="2026-07-14T16:23:29Z"/>
                <w:rFonts w:hint="eastAsia" w:ascii="仿宋_GB2312" w:hAnsi="宋体" w:eastAsia="仿宋_GB2312" w:cs="仿宋_GB2312"/>
                <w:kern w:val="0"/>
                <w:sz w:val="18"/>
                <w:szCs w:val="18"/>
                <w:lang w:bidi="ar"/>
              </w:rPr>
            </w:pPr>
          </w:p>
          <w:p w14:paraId="61FDA051">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1486" w:author="LV" w:date="2026-07-14T16:23:07Z"/>
                <w:rFonts w:hint="eastAsia" w:ascii="仿宋_GB2312" w:hAnsi="宋体" w:eastAsia="仿宋_GB2312" w:cs="仿宋_GB2312"/>
                <w:kern w:val="0"/>
                <w:sz w:val="18"/>
                <w:szCs w:val="18"/>
                <w:lang w:bidi="ar"/>
              </w:rPr>
            </w:pPr>
          </w:p>
          <w:p w14:paraId="1B10882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val="en-US" w:eastAsia="zh-CN" w:bidi="ar"/>
              </w:rPr>
            </w:pPr>
          </w:p>
        </w:tc>
      </w:tr>
      <w:tr w14:paraId="2EBEB1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76900A2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z w:val="18"/>
                <w:szCs w:val="18"/>
                <w:lang w:eastAsia="zh-CN"/>
              </w:rPr>
            </w:pPr>
            <w:r>
              <w:rPr>
                <w:rFonts w:hint="eastAsia" w:ascii="仿宋_GB2312" w:hAnsi="宋体" w:eastAsia="仿宋_GB2312" w:cs="仿宋_GB2312"/>
                <w:kern w:val="0"/>
                <w:sz w:val="18"/>
                <w:szCs w:val="18"/>
                <w:lang w:bidi="ar"/>
              </w:rPr>
              <w:t>5</w:t>
            </w:r>
            <w:del w:id="1487" w:author="LV" w:date="2026-07-14T16:23:39Z">
              <w:r>
                <w:rPr>
                  <w:rFonts w:hint="default" w:ascii="仿宋_GB2312" w:hAnsi="宋体" w:eastAsia="仿宋_GB2312" w:cs="仿宋_GB2312"/>
                  <w:kern w:val="0"/>
                  <w:sz w:val="18"/>
                  <w:szCs w:val="18"/>
                  <w:lang w:val="en-US" w:eastAsia="zh-CN" w:bidi="ar"/>
                </w:rPr>
                <w:delText>1</w:delText>
              </w:r>
            </w:del>
            <w:ins w:id="1488" w:author="LV" w:date="2026-07-14T16:23:39Z">
              <w:r>
                <w:rPr>
                  <w:rFonts w:hint="eastAsia" w:ascii="仿宋_GB2312" w:hAnsi="宋体" w:eastAsia="仿宋_GB2312" w:cs="仿宋_GB2312"/>
                  <w:kern w:val="0"/>
                  <w:sz w:val="18"/>
                  <w:szCs w:val="18"/>
                  <w:lang w:val="en-US" w:eastAsia="zh-CN" w:bidi="ar"/>
                </w:rPr>
                <w:t>3</w:t>
              </w:r>
            </w:ins>
          </w:p>
        </w:tc>
        <w:tc>
          <w:tcPr>
            <w:tcW w:w="1005" w:type="dxa"/>
            <w:vMerge w:val="restart"/>
            <w:tcBorders>
              <w:tl2br w:val="nil"/>
              <w:tr2bl w:val="nil"/>
            </w:tcBorders>
            <w:shd w:val="clear" w:color="auto" w:fill="auto"/>
            <w:tcMar>
              <w:top w:w="15" w:type="dxa"/>
              <w:left w:w="15" w:type="dxa"/>
              <w:right w:w="15" w:type="dxa"/>
            </w:tcMar>
            <w:vAlign w:val="center"/>
          </w:tcPr>
          <w:p w14:paraId="65CE610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仿宋_GB2312" w:eastAsia="仿宋_GB2312" w:cs="仿宋_GB2312"/>
                <w:color w:val="000000" w:themeColor="text1"/>
                <w:sz w:val="18"/>
                <w:szCs w:val="18"/>
                <w:lang w:val="en-US" w:eastAsia="zh-CN"/>
                <w14:textFill>
                  <w14:solidFill>
                    <w14:schemeClr w14:val="tx1"/>
                  </w14:solidFill>
                </w14:textFill>
              </w:rPr>
              <w:t>未按照国家规定进行瓦斯等级鉴定，或者瓦斯等级鉴定弄虚作假</w:t>
            </w:r>
          </w:p>
        </w:tc>
        <w:tc>
          <w:tcPr>
            <w:tcW w:w="3667" w:type="dxa"/>
            <w:vMerge w:val="restart"/>
            <w:tcBorders>
              <w:tl2br w:val="nil"/>
              <w:tr2bl w:val="nil"/>
            </w:tcBorders>
            <w:shd w:val="clear" w:color="auto" w:fill="auto"/>
            <w:tcMar>
              <w:top w:w="15" w:type="dxa"/>
              <w:left w:w="15" w:type="dxa"/>
              <w:right w:w="15" w:type="dxa"/>
            </w:tcMar>
            <w:vAlign w:val="center"/>
          </w:tcPr>
          <w:p w14:paraId="7D3F8E6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《煤矿安全生产条例》第三十六条第</w:t>
            </w:r>
            <w:r>
              <w:rPr>
                <w:rFonts w:hint="eastAsia" w:ascii="仿宋_GB2312" w:hAnsi="宋体" w:eastAsia="仿宋_GB2312" w:cs="仿宋_GB2312"/>
                <w:kern w:val="0"/>
                <w:sz w:val="18"/>
                <w:szCs w:val="18"/>
                <w:lang w:val="en-US" w:eastAsia="zh-CN" w:bidi="ar"/>
              </w:rPr>
              <w:t>十七</w:t>
            </w:r>
            <w:r>
              <w:rPr>
                <w:rFonts w:hint="eastAsia" w:ascii="仿宋_GB2312" w:hAnsi="宋体" w:eastAsia="仿宋_GB2312" w:cs="仿宋_GB2312"/>
                <w:kern w:val="0"/>
                <w:sz w:val="18"/>
                <w:szCs w:val="18"/>
                <w:lang w:bidi="ar"/>
              </w:rPr>
              <w:t>项  煤矿企业有下列情形之一的，属于重大事故隐患，应当立即停止受影响区域生产、建设，并及时消除事故隐患：（十</w:t>
            </w:r>
            <w:r>
              <w:rPr>
                <w:rFonts w:hint="eastAsia" w:ascii="仿宋_GB2312" w:hAnsi="宋体" w:eastAsia="仿宋_GB2312" w:cs="仿宋_GB2312"/>
                <w:kern w:val="0"/>
                <w:sz w:val="18"/>
                <w:szCs w:val="18"/>
                <w:lang w:val="en-US" w:eastAsia="zh-CN" w:bidi="ar"/>
              </w:rPr>
              <w:t>七</w:t>
            </w:r>
            <w:r>
              <w:rPr>
                <w:rFonts w:hint="eastAsia" w:ascii="仿宋_GB2312" w:hAnsi="宋体" w:eastAsia="仿宋_GB2312" w:cs="仿宋_GB2312"/>
                <w:kern w:val="0"/>
                <w:sz w:val="18"/>
                <w:szCs w:val="18"/>
                <w:lang w:bidi="ar"/>
              </w:rPr>
              <w:t>）有其他重大事故隐患的。</w:t>
            </w:r>
          </w:p>
          <w:p w14:paraId="514C4C5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《煤矿重大事故隐患判定标准》第</w:t>
            </w:r>
            <w:r>
              <w:rPr>
                <w:rFonts w:hint="eastAsia" w:ascii="仿宋_GB2312" w:hAnsi="宋体" w:eastAsia="仿宋_GB2312" w:cs="仿宋_GB2312"/>
                <w:kern w:val="0"/>
                <w:sz w:val="18"/>
                <w:szCs w:val="18"/>
                <w:lang w:val="en-US" w:eastAsia="zh-CN" w:bidi="ar"/>
              </w:rPr>
              <w:t>二十</w:t>
            </w:r>
            <w:r>
              <w:rPr>
                <w:rFonts w:hint="eastAsia" w:ascii="仿宋_GB2312" w:hAnsi="宋体" w:eastAsia="仿宋_GB2312" w:cs="仿宋_GB2312"/>
                <w:kern w:val="0"/>
                <w:sz w:val="18"/>
                <w:szCs w:val="18"/>
                <w:lang w:bidi="ar"/>
              </w:rPr>
              <w:t>条</w:t>
            </w:r>
            <w:r>
              <w:rPr>
                <w:rFonts w:hint="eastAsia" w:ascii="仿宋_GB2312" w:hAnsi="宋体" w:eastAsia="仿宋_GB2312" w:cs="仿宋_GB2312"/>
                <w:kern w:val="0"/>
                <w:sz w:val="18"/>
                <w:szCs w:val="18"/>
                <w:lang w:val="en-US" w:eastAsia="zh-CN" w:bidi="ar"/>
              </w:rPr>
              <w:t xml:space="preserve">第四项 </w:t>
            </w:r>
            <w:r>
              <w:rPr>
                <w:rFonts w:hint="eastAsia" w:ascii="仿宋_GB2312" w:hAnsi="宋体" w:eastAsia="仿宋_GB2312" w:cs="仿宋_GB2312"/>
                <w:kern w:val="0"/>
                <w:sz w:val="18"/>
                <w:szCs w:val="18"/>
                <w:lang w:bidi="ar"/>
              </w:rPr>
              <w:t>“其他重大事故隐患”，是指有下列情形之一的</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w:t>
            </w:r>
            <w:r>
              <w:rPr>
                <w:rFonts w:hint="eastAsia" w:ascii="仿宋_GB2312" w:hAnsi="宋体" w:eastAsia="仿宋_GB2312" w:cs="仿宋_GB2312"/>
                <w:kern w:val="0"/>
                <w:sz w:val="18"/>
                <w:szCs w:val="18"/>
                <w:lang w:val="en-US" w:eastAsia="zh-CN" w:bidi="ar"/>
              </w:rPr>
              <w:t>四</w:t>
            </w:r>
            <w:r>
              <w:rPr>
                <w:rFonts w:hint="eastAsia" w:ascii="仿宋_GB2312" w:hAnsi="宋体" w:eastAsia="仿宋_GB2312" w:cs="仿宋_GB2312"/>
                <w:kern w:val="0"/>
                <w:sz w:val="18"/>
                <w:szCs w:val="18"/>
                <w:lang w:bidi="ar"/>
              </w:rPr>
              <w:t>)瓦斯等级鉴定存在下列情形之一的：1.低瓦斯矿井未每2年进行瓦斯等级鉴定。2.高瓦斯、煤 (岩) 与瓦斯 (二氧化碳) 突出矿井未每年测定和计算矿井、采区、工作面瓦斯涌出量。</w:t>
            </w:r>
            <w:bookmarkStart w:id="0" w:name="OLE_LINK1"/>
            <w:r>
              <w:rPr>
                <w:rFonts w:hint="eastAsia" w:ascii="仿宋_GB2312" w:hAnsi="宋体" w:eastAsia="仿宋_GB2312" w:cs="仿宋_GB2312"/>
                <w:kern w:val="0"/>
                <w:sz w:val="18"/>
                <w:szCs w:val="18"/>
                <w:lang w:bidi="ar"/>
              </w:rPr>
              <w:t>3.煤层突出危险性鉴定为非突出煤层的，井巷揭煤作业、煤巷施工超出鉴定范围、开拓新水平或者采深增加超过 50m 时，未测定瓦斯压力、瓦斯含量。4.未按照《煤矿安全规程》规定开展煤 (岩) 与瓦斯 (二氧化碳) 突出鉴定，或者瓦斯等级鉴定弄虚作假。</w:t>
            </w:r>
            <w:bookmarkEnd w:id="0"/>
          </w:p>
        </w:tc>
        <w:tc>
          <w:tcPr>
            <w:tcW w:w="4082" w:type="dxa"/>
            <w:vMerge w:val="restart"/>
            <w:tcBorders>
              <w:tl2br w:val="nil"/>
              <w:tr2bl w:val="nil"/>
            </w:tcBorders>
            <w:shd w:val="clear" w:color="auto" w:fill="auto"/>
            <w:tcMar>
              <w:top w:w="15" w:type="dxa"/>
              <w:left w:w="15" w:type="dxa"/>
              <w:right w:w="15" w:type="dxa"/>
            </w:tcMar>
            <w:vAlign w:val="center"/>
          </w:tcPr>
          <w:p w14:paraId="7C35F81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《煤矿安全生产条例》第六十四条  对存在重大事故隐患仍然进行生产的煤矿企业，责令停产整顿，明确整顿的内容、时间等具体要求，并处50万元以上200 万元以下的罚款；对煤矿企业主要负责人处3万元以上15 万元以下的罚款。</w:t>
            </w:r>
          </w:p>
        </w:tc>
        <w:tc>
          <w:tcPr>
            <w:tcW w:w="459" w:type="dxa"/>
            <w:tcBorders>
              <w:tl2br w:val="nil"/>
              <w:tr2bl w:val="nil"/>
            </w:tcBorders>
            <w:shd w:val="clear" w:color="auto" w:fill="auto"/>
            <w:noWrap/>
            <w:tcMar>
              <w:top w:w="15" w:type="dxa"/>
              <w:left w:w="15" w:type="dxa"/>
              <w:right w:w="15" w:type="dxa"/>
            </w:tcMar>
            <w:vAlign w:val="center"/>
          </w:tcPr>
          <w:p w14:paraId="0606F0D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290181F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2A07C31F">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4E3C6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CE4876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FBA7AE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8F4F3C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A052F1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DA0F03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00E40B2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05DCEF4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FFB14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5E13AA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0632D1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FAE69C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A636E0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35E18F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74A9F10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0EA556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50BE3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027C23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BDA02E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C41ECB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86A6EC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7F9DD43">
            <w:pPr>
              <w:keepNext w:val="0"/>
              <w:keepLines w:val="0"/>
              <w:pageBreakBefore w:val="0"/>
              <w:widowControl w:val="0"/>
              <w:kinsoku/>
              <w:wordWrap/>
              <w:overflowPunct w:val="0"/>
              <w:topLinePunct w:val="0"/>
              <w:autoSpaceDE/>
              <w:autoSpaceDN/>
              <w:bidi w:val="0"/>
              <w:adjustRightInd/>
              <w:snapToGrid/>
              <w:spacing w:line="20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47A5E189">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低瓦斯矿井未每2年进行瓦斯等级鉴定</w:t>
            </w:r>
            <w:r>
              <w:rPr>
                <w:rFonts w:hint="eastAsia" w:ascii="仿宋_GB2312" w:hAnsi="宋体" w:eastAsia="仿宋_GB2312" w:cs="仿宋_GB2312"/>
                <w:kern w:val="0"/>
                <w:sz w:val="18"/>
                <w:szCs w:val="18"/>
                <w:lang w:eastAsia="zh-CN" w:bidi="ar"/>
              </w:rPr>
              <w:t>。</w:t>
            </w:r>
          </w:p>
        </w:tc>
        <w:tc>
          <w:tcPr>
            <w:tcW w:w="2655" w:type="dxa"/>
            <w:tcBorders>
              <w:tl2br w:val="nil"/>
              <w:tr2bl w:val="nil"/>
            </w:tcBorders>
            <w:shd w:val="clear" w:color="auto" w:fill="auto"/>
            <w:tcMar>
              <w:top w:w="15" w:type="dxa"/>
              <w:left w:w="15" w:type="dxa"/>
              <w:right w:w="15" w:type="dxa"/>
            </w:tcMar>
            <w:vAlign w:val="center"/>
          </w:tcPr>
          <w:p w14:paraId="43B4356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责令停产整顿，提出整顿的内容、时间等具体要求，处50万元以上100万元以下的罚款；对煤矿企业负责人处3万元以上5万元以下的罚款。</w:t>
            </w:r>
          </w:p>
        </w:tc>
      </w:tr>
      <w:tr w14:paraId="3FC724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8065C1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993F71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A6CBD0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A5114A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A675728">
            <w:pPr>
              <w:keepNext w:val="0"/>
              <w:keepLines w:val="0"/>
              <w:pageBreakBefore w:val="0"/>
              <w:widowControl w:val="0"/>
              <w:kinsoku/>
              <w:wordWrap/>
              <w:overflowPunct w:val="0"/>
              <w:topLinePunct w:val="0"/>
              <w:autoSpaceDE/>
              <w:autoSpaceDN/>
              <w:bidi w:val="0"/>
              <w:adjustRightInd/>
              <w:snapToGrid/>
              <w:spacing w:line="20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10B176FA">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高瓦斯、煤 (岩) 与瓦斯 (二氧化碳) 突出矿井未每年测定和计算矿井、采区、工作面瓦斯涌出量</w:t>
            </w:r>
          </w:p>
        </w:tc>
        <w:tc>
          <w:tcPr>
            <w:tcW w:w="2655" w:type="dxa"/>
            <w:tcBorders>
              <w:tl2br w:val="nil"/>
              <w:tr2bl w:val="nil"/>
            </w:tcBorders>
            <w:shd w:val="clear" w:color="auto" w:fill="auto"/>
            <w:tcMar>
              <w:top w:w="15" w:type="dxa"/>
              <w:left w:w="15" w:type="dxa"/>
              <w:right w:w="15" w:type="dxa"/>
            </w:tcMar>
            <w:vAlign w:val="center"/>
          </w:tcPr>
          <w:p w14:paraId="3E1DB7A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责令停产整顿，提出整顿的内容、时间等具体要求，处100万元以上150万元以下的罚款；对煤矿企业负责人处5万元以上10万元以下的罚款。</w:t>
            </w:r>
          </w:p>
        </w:tc>
      </w:tr>
      <w:tr w14:paraId="20EAA2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5AE1E4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4A4F9B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6732B6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183304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BDD6EE7">
            <w:pPr>
              <w:keepNext w:val="0"/>
              <w:keepLines w:val="0"/>
              <w:pageBreakBefore w:val="0"/>
              <w:widowControl w:val="0"/>
              <w:kinsoku/>
              <w:wordWrap/>
              <w:overflowPunct w:val="0"/>
              <w:topLinePunct w:val="0"/>
              <w:autoSpaceDE/>
              <w:autoSpaceDN/>
              <w:bidi w:val="0"/>
              <w:adjustRightInd/>
              <w:snapToGrid/>
              <w:spacing w:line="20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1E7615C0">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val="en-US" w:eastAsia="zh-CN" w:bidi="ar"/>
              </w:rPr>
              <w:t>①</w:t>
            </w:r>
            <w:r>
              <w:rPr>
                <w:rFonts w:hint="eastAsia" w:ascii="仿宋_GB2312" w:hAnsi="宋体" w:eastAsia="仿宋_GB2312" w:cs="仿宋_GB2312"/>
                <w:kern w:val="0"/>
                <w:sz w:val="18"/>
                <w:szCs w:val="18"/>
                <w:lang w:bidi="ar"/>
              </w:rPr>
              <w:t>煤层突出危险性鉴定为非突出煤层的，井巷揭煤作业、煤巷施工超出鉴定范围、开拓新水平或者采深增加超过 50m 时，未测定瓦斯压力、瓦斯含量。</w:t>
            </w:r>
          </w:p>
          <w:p w14:paraId="1D92E98C">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val="en-US" w:eastAsia="zh-CN" w:bidi="ar"/>
              </w:rPr>
              <w:t>②</w:t>
            </w:r>
            <w:r>
              <w:rPr>
                <w:rFonts w:hint="eastAsia" w:ascii="仿宋_GB2312" w:hAnsi="宋体" w:eastAsia="仿宋_GB2312" w:cs="仿宋_GB2312"/>
                <w:kern w:val="0"/>
                <w:sz w:val="18"/>
                <w:szCs w:val="18"/>
                <w:lang w:bidi="ar"/>
              </w:rPr>
              <w:t>未按照《煤矿安全规程》规定开展煤 (岩) 与瓦斯 (二氧化碳) 突出鉴定，或者瓦斯等级鉴定弄虚作假。</w:t>
            </w:r>
          </w:p>
        </w:tc>
        <w:tc>
          <w:tcPr>
            <w:tcW w:w="2655" w:type="dxa"/>
            <w:tcBorders>
              <w:tl2br w:val="nil"/>
              <w:tr2bl w:val="nil"/>
            </w:tcBorders>
            <w:shd w:val="clear" w:color="auto" w:fill="auto"/>
            <w:tcMar>
              <w:top w:w="15" w:type="dxa"/>
              <w:left w:w="15" w:type="dxa"/>
              <w:right w:w="15" w:type="dxa"/>
            </w:tcMar>
            <w:vAlign w:val="center"/>
          </w:tcPr>
          <w:p w14:paraId="50A5CAB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责令停产整顿，提出整顿的内容、时间等具体要求，处150万元以上200万元以下的罚款；对煤矿企业负责人处10万元以上15万元以下的罚款。</w:t>
            </w:r>
          </w:p>
        </w:tc>
      </w:tr>
      <w:tr w14:paraId="013C59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2F60FC6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hint="default" w:ascii="仿宋_GB2312" w:hAnsi="宋体" w:eastAsia="仿宋_GB2312" w:cs="仿宋_GB2312"/>
                <w:sz w:val="18"/>
                <w:szCs w:val="18"/>
                <w:lang w:val="en-US" w:eastAsia="zh-CN"/>
              </w:rPr>
            </w:pPr>
            <w:r>
              <w:rPr>
                <w:rFonts w:hint="eastAsia" w:ascii="仿宋_GB2312" w:hAnsi="宋体" w:eastAsia="仿宋_GB2312" w:cs="仿宋_GB2312"/>
                <w:sz w:val="18"/>
                <w:szCs w:val="18"/>
                <w:lang w:val="en-US" w:eastAsia="zh-CN"/>
              </w:rPr>
              <w:t>5</w:t>
            </w:r>
            <w:del w:id="1489" w:author="LV" w:date="2026-07-14T16:23:43Z">
              <w:r>
                <w:rPr>
                  <w:rFonts w:hint="default" w:ascii="仿宋_GB2312" w:hAnsi="宋体" w:eastAsia="仿宋_GB2312" w:cs="仿宋_GB2312"/>
                  <w:sz w:val="18"/>
                  <w:szCs w:val="18"/>
                  <w:lang w:val="en-US" w:eastAsia="zh-CN"/>
                </w:rPr>
                <w:delText>2</w:delText>
              </w:r>
            </w:del>
            <w:ins w:id="1490" w:author="LV" w:date="2026-07-14T16:23:43Z">
              <w:r>
                <w:rPr>
                  <w:rFonts w:hint="eastAsia" w:ascii="仿宋_GB2312" w:hAnsi="宋体" w:eastAsia="仿宋_GB2312" w:cs="仿宋_GB2312"/>
                  <w:sz w:val="18"/>
                  <w:szCs w:val="18"/>
                  <w:lang w:val="en-US" w:eastAsia="zh-CN"/>
                </w:rPr>
                <w:t>4</w:t>
              </w:r>
            </w:ins>
          </w:p>
        </w:tc>
        <w:tc>
          <w:tcPr>
            <w:tcW w:w="1005" w:type="dxa"/>
            <w:vMerge w:val="restart"/>
            <w:tcBorders>
              <w:tl2br w:val="nil"/>
              <w:tr2bl w:val="nil"/>
            </w:tcBorders>
            <w:shd w:val="clear" w:color="auto" w:fill="auto"/>
            <w:tcMar>
              <w:top w:w="15" w:type="dxa"/>
              <w:left w:w="15" w:type="dxa"/>
              <w:right w:w="15" w:type="dxa"/>
            </w:tcMar>
            <w:vAlign w:val="center"/>
          </w:tcPr>
          <w:p w14:paraId="7D2A34F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非突出煤层出现</w:t>
            </w:r>
            <w:r>
              <w:rPr>
                <w:rFonts w:hint="eastAsia" w:ascii="仿宋_GB2312" w:hAnsi="宋体" w:eastAsia="仿宋_GB2312" w:cs="仿宋_GB2312"/>
                <w:kern w:val="0"/>
                <w:sz w:val="18"/>
                <w:szCs w:val="18"/>
                <w:lang w:val="en-US" w:eastAsia="zh-CN" w:bidi="ar"/>
              </w:rPr>
              <w:t>瓦斯动力现象</w:t>
            </w:r>
            <w:r>
              <w:rPr>
                <w:rFonts w:hint="eastAsia" w:ascii="仿宋_GB2312" w:hAnsi="宋体" w:eastAsia="仿宋_GB2312" w:cs="仿宋_GB2312"/>
                <w:kern w:val="0"/>
                <w:sz w:val="18"/>
                <w:szCs w:val="18"/>
                <w:lang w:bidi="ar"/>
              </w:rPr>
              <w:t>，未在6个月内完成煤层突出危险性鉴定（直接认定为突出煤层的除外），或者鉴定、直接认定前，未按照突出煤层管理的</w:t>
            </w:r>
          </w:p>
        </w:tc>
        <w:tc>
          <w:tcPr>
            <w:tcW w:w="3667" w:type="dxa"/>
            <w:vMerge w:val="restart"/>
            <w:tcBorders>
              <w:tl2br w:val="nil"/>
              <w:tr2bl w:val="nil"/>
            </w:tcBorders>
            <w:shd w:val="clear" w:color="auto" w:fill="auto"/>
            <w:tcMar>
              <w:top w:w="15" w:type="dxa"/>
              <w:left w:w="15" w:type="dxa"/>
              <w:right w:w="15" w:type="dxa"/>
            </w:tcMar>
            <w:vAlign w:val="center"/>
          </w:tcPr>
          <w:p w14:paraId="3888F53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《煤矿安全生产条例》第三十六条第</w:t>
            </w:r>
            <w:r>
              <w:rPr>
                <w:rFonts w:hint="eastAsia" w:ascii="仿宋_GB2312" w:hAnsi="宋体" w:eastAsia="仿宋_GB2312" w:cs="仿宋_GB2312"/>
                <w:kern w:val="0"/>
                <w:sz w:val="18"/>
                <w:szCs w:val="18"/>
                <w:lang w:val="en-US" w:eastAsia="zh-CN" w:bidi="ar"/>
              </w:rPr>
              <w:t>十七</w:t>
            </w:r>
            <w:r>
              <w:rPr>
                <w:rFonts w:hint="eastAsia" w:ascii="仿宋_GB2312" w:hAnsi="宋体" w:eastAsia="仿宋_GB2312" w:cs="仿宋_GB2312"/>
                <w:kern w:val="0"/>
                <w:sz w:val="18"/>
                <w:szCs w:val="18"/>
                <w:lang w:bidi="ar"/>
              </w:rPr>
              <w:t>项  煤矿企业有下列情形之一的，属于重大事故隐患，应当立即停止受影响区域生产、建设，并及时消除事故隐患：（十</w:t>
            </w:r>
            <w:r>
              <w:rPr>
                <w:rFonts w:hint="eastAsia" w:ascii="仿宋_GB2312" w:hAnsi="宋体" w:eastAsia="仿宋_GB2312" w:cs="仿宋_GB2312"/>
                <w:kern w:val="0"/>
                <w:sz w:val="18"/>
                <w:szCs w:val="18"/>
                <w:lang w:val="en-US" w:eastAsia="zh-CN" w:bidi="ar"/>
              </w:rPr>
              <w:t>七</w:t>
            </w:r>
            <w:r>
              <w:rPr>
                <w:rFonts w:hint="eastAsia" w:ascii="仿宋_GB2312" w:hAnsi="宋体" w:eastAsia="仿宋_GB2312" w:cs="仿宋_GB2312"/>
                <w:kern w:val="0"/>
                <w:sz w:val="18"/>
                <w:szCs w:val="18"/>
                <w:lang w:bidi="ar"/>
              </w:rPr>
              <w:t>）有其他重大事故隐患的。</w:t>
            </w:r>
          </w:p>
          <w:p w14:paraId="08D642C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《煤矿重大事故隐患判定标准》第</w:t>
            </w:r>
            <w:r>
              <w:rPr>
                <w:rFonts w:hint="eastAsia" w:ascii="仿宋_GB2312" w:hAnsi="宋体" w:eastAsia="仿宋_GB2312" w:cs="仿宋_GB2312"/>
                <w:kern w:val="0"/>
                <w:sz w:val="18"/>
                <w:szCs w:val="18"/>
                <w:lang w:val="en-US" w:eastAsia="zh-CN" w:bidi="ar"/>
              </w:rPr>
              <w:t>二十</w:t>
            </w:r>
            <w:r>
              <w:rPr>
                <w:rFonts w:hint="eastAsia" w:ascii="仿宋_GB2312" w:hAnsi="宋体" w:eastAsia="仿宋_GB2312" w:cs="仿宋_GB2312"/>
                <w:kern w:val="0"/>
                <w:sz w:val="18"/>
                <w:szCs w:val="18"/>
                <w:lang w:bidi="ar"/>
              </w:rPr>
              <w:t>条</w:t>
            </w:r>
            <w:r>
              <w:rPr>
                <w:rFonts w:hint="eastAsia" w:ascii="仿宋_GB2312" w:hAnsi="宋体" w:eastAsia="仿宋_GB2312" w:cs="仿宋_GB2312"/>
                <w:kern w:val="0"/>
                <w:sz w:val="18"/>
                <w:szCs w:val="18"/>
                <w:lang w:val="en-US" w:eastAsia="zh-CN" w:bidi="ar"/>
              </w:rPr>
              <w:t xml:space="preserve">第五项 </w:t>
            </w:r>
            <w:r>
              <w:rPr>
                <w:rFonts w:hint="eastAsia" w:ascii="仿宋_GB2312" w:hAnsi="宋体" w:eastAsia="仿宋_GB2312" w:cs="仿宋_GB2312"/>
                <w:kern w:val="0"/>
                <w:sz w:val="18"/>
                <w:szCs w:val="18"/>
                <w:lang w:bidi="ar"/>
              </w:rPr>
              <w:t>“其他重大事故隐患”，是指有下列情形之一的</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w:t>
            </w:r>
            <w:r>
              <w:rPr>
                <w:rFonts w:hint="eastAsia" w:ascii="仿宋_GB2312" w:hAnsi="宋体" w:eastAsia="仿宋_GB2312" w:cs="仿宋_GB2312"/>
                <w:kern w:val="0"/>
                <w:sz w:val="18"/>
                <w:szCs w:val="18"/>
                <w:lang w:val="en-US" w:eastAsia="zh-CN" w:bidi="ar"/>
              </w:rPr>
              <w:t>五</w:t>
            </w:r>
            <w:r>
              <w:rPr>
                <w:rFonts w:hint="eastAsia" w:ascii="仿宋_GB2312" w:hAnsi="宋体" w:eastAsia="仿宋_GB2312" w:cs="仿宋_GB2312"/>
                <w:kern w:val="0"/>
                <w:sz w:val="18"/>
                <w:szCs w:val="18"/>
                <w:lang w:bidi="ar"/>
              </w:rPr>
              <w:t>)非突出煤层出现下列情形之一，未在6个月内完成煤层突出危险性鉴定（直接认定为突出煤层的除外），或者鉴定、直接认定前，未按照突出煤层管理的：1. 有瓦斯动力现象。2.瓦斯压力达到 0.74MPa 以上。3.相邻矿井开采的同一煤层发生突出或者被鉴定、认定为突出煤层。</w:t>
            </w:r>
          </w:p>
          <w:p w14:paraId="43F7FCE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restart"/>
            <w:tcBorders>
              <w:tl2br w:val="nil"/>
              <w:tr2bl w:val="nil"/>
            </w:tcBorders>
            <w:shd w:val="clear" w:color="auto" w:fill="auto"/>
            <w:tcMar>
              <w:top w:w="15" w:type="dxa"/>
              <w:left w:w="15" w:type="dxa"/>
              <w:right w:w="15" w:type="dxa"/>
            </w:tcMar>
            <w:vAlign w:val="center"/>
          </w:tcPr>
          <w:p w14:paraId="68A136B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hint="eastAsia" w:ascii="仿宋_GB2312" w:hAnsi="宋体" w:eastAsia="仿宋_GB2312" w:cs="仿宋_GB2312"/>
                <w:sz w:val="18"/>
                <w:szCs w:val="18"/>
              </w:rPr>
              <w:t>《煤矿安全生产条例》第六十四条  对存在重大事故隐患仍然进行生产的煤矿企业，责令停产整顿，明确整顿的内容、时间等具体要求，并处50万元以上 200 万元以下的罚款；对煤矿企业主要负责人处3万元以上 15 万元以下的罚款。</w:t>
            </w:r>
          </w:p>
        </w:tc>
        <w:tc>
          <w:tcPr>
            <w:tcW w:w="459" w:type="dxa"/>
            <w:tcBorders>
              <w:tl2br w:val="nil"/>
              <w:tr2bl w:val="nil"/>
            </w:tcBorders>
            <w:shd w:val="clear" w:color="auto" w:fill="auto"/>
            <w:noWrap/>
            <w:tcMar>
              <w:top w:w="15" w:type="dxa"/>
              <w:left w:w="15" w:type="dxa"/>
              <w:right w:w="15" w:type="dxa"/>
            </w:tcMar>
            <w:vAlign w:val="center"/>
          </w:tcPr>
          <w:p w14:paraId="082030E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51A05FF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019B47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781696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4A1D67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0BD1DB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0A2456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A1EBBF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BBB596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2FED990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1DD8EEC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18E3F7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23DE52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B5F242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62C790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4478CD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A1CC95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7E6D01C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5BCD8C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4A26EC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7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83312D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3AAF0D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D00FD6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F6F0DA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8DF023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7355D77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val="en-US" w:eastAsia="zh-CN" w:bidi="ar"/>
              </w:rPr>
              <w:t>未</w:t>
            </w:r>
            <w:r>
              <w:rPr>
                <w:rFonts w:hint="eastAsia" w:ascii="仿宋_GB2312" w:hAnsi="宋体" w:eastAsia="仿宋_GB2312" w:cs="仿宋_GB2312"/>
                <w:kern w:val="0"/>
                <w:sz w:val="18"/>
                <w:szCs w:val="18"/>
                <w:lang w:bidi="ar"/>
              </w:rPr>
              <w:t>在6个月内完成煤层突出危险性</w:t>
            </w:r>
            <w:r>
              <w:rPr>
                <w:rFonts w:hint="eastAsia" w:ascii="仿宋_GB2312" w:hAnsi="宋体" w:eastAsia="仿宋_GB2312" w:cs="仿宋_GB2312"/>
                <w:kern w:val="0"/>
                <w:sz w:val="18"/>
                <w:szCs w:val="18"/>
                <w:lang w:val="en-US" w:eastAsia="zh-CN" w:bidi="ar"/>
              </w:rPr>
              <w:t>鉴定的</w:t>
            </w:r>
          </w:p>
        </w:tc>
        <w:tc>
          <w:tcPr>
            <w:tcW w:w="2655" w:type="dxa"/>
            <w:tcBorders>
              <w:tl2br w:val="nil"/>
              <w:tr2bl w:val="nil"/>
            </w:tcBorders>
            <w:shd w:val="clear" w:color="auto" w:fill="auto"/>
            <w:tcMar>
              <w:top w:w="15" w:type="dxa"/>
              <w:left w:w="15" w:type="dxa"/>
              <w:right w:w="15" w:type="dxa"/>
            </w:tcMar>
            <w:vAlign w:val="center"/>
          </w:tcPr>
          <w:p w14:paraId="0012AD2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责令停产整顿，提出整顿的内容、时间等具体要求，处50万元以上100万元以下的罚款；对煤矿企业负责人处3万元以上5万元以下的罚款。</w:t>
            </w:r>
          </w:p>
        </w:tc>
      </w:tr>
      <w:tr w14:paraId="0C435A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1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57BA07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F9A6F0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31DD49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E5915D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DB6518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5CE8416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直接认定前，未按照突出煤层管理的</w:t>
            </w:r>
          </w:p>
        </w:tc>
        <w:tc>
          <w:tcPr>
            <w:tcW w:w="2655" w:type="dxa"/>
            <w:tcBorders>
              <w:tl2br w:val="nil"/>
              <w:tr2bl w:val="nil"/>
            </w:tcBorders>
            <w:shd w:val="clear" w:color="auto" w:fill="auto"/>
            <w:tcMar>
              <w:top w:w="15" w:type="dxa"/>
              <w:left w:w="15" w:type="dxa"/>
              <w:right w:w="15" w:type="dxa"/>
            </w:tcMar>
            <w:vAlign w:val="center"/>
          </w:tcPr>
          <w:p w14:paraId="0812A0C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责令停产整顿，提出整顿的内容、时间等具体要求，处100万元以上150万元以下的罚款；对煤矿企业负责人处5万元以上10万元以下的罚款。</w:t>
            </w:r>
          </w:p>
        </w:tc>
      </w:tr>
      <w:tr w14:paraId="336629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532333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9DA1DE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FB5BEE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03C140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93C6E2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704EE13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鉴定</w:t>
            </w:r>
            <w:r>
              <w:rPr>
                <w:rFonts w:hint="eastAsia" w:ascii="仿宋_GB2312" w:hAnsi="宋体" w:eastAsia="仿宋_GB2312" w:cs="仿宋_GB2312"/>
                <w:kern w:val="0"/>
                <w:sz w:val="18"/>
                <w:szCs w:val="18"/>
                <w:lang w:val="en-US" w:eastAsia="zh-CN" w:bidi="ar"/>
              </w:rPr>
              <w:t>或</w:t>
            </w:r>
            <w:r>
              <w:rPr>
                <w:rFonts w:hint="eastAsia" w:ascii="仿宋_GB2312" w:hAnsi="宋体" w:eastAsia="仿宋_GB2312" w:cs="仿宋_GB2312"/>
                <w:kern w:val="0"/>
                <w:sz w:val="18"/>
                <w:szCs w:val="18"/>
                <w:lang w:bidi="ar"/>
              </w:rPr>
              <w:t>认定为突出煤层</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val="en-US" w:eastAsia="zh-CN" w:bidi="ar"/>
              </w:rPr>
              <w:t>未</w:t>
            </w:r>
            <w:r>
              <w:rPr>
                <w:rFonts w:hint="eastAsia" w:ascii="仿宋_GB2312" w:hAnsi="宋体" w:eastAsia="仿宋_GB2312" w:cs="仿宋_GB2312"/>
                <w:kern w:val="0"/>
                <w:sz w:val="18"/>
                <w:szCs w:val="18"/>
                <w:lang w:bidi="ar"/>
              </w:rPr>
              <w:t>按照突出煤层管理的</w:t>
            </w:r>
          </w:p>
        </w:tc>
        <w:tc>
          <w:tcPr>
            <w:tcW w:w="2655" w:type="dxa"/>
            <w:tcBorders>
              <w:tl2br w:val="nil"/>
              <w:tr2bl w:val="nil"/>
            </w:tcBorders>
            <w:shd w:val="clear" w:color="auto" w:fill="auto"/>
            <w:tcMar>
              <w:top w:w="15" w:type="dxa"/>
              <w:left w:w="15" w:type="dxa"/>
              <w:right w:w="15" w:type="dxa"/>
            </w:tcMar>
            <w:vAlign w:val="center"/>
          </w:tcPr>
          <w:p w14:paraId="2EAD1AA0">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1491" w:author="LV" w:date="2026-07-14T16:23:48Z"/>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责令停产整顿，提出整顿的内容、时间等具体要求，处150万元以上200万元以下的罚款；对煤矿企业负责人处10万元以上15万元以下的罚款。</w:t>
            </w:r>
          </w:p>
          <w:p w14:paraId="10FD6406">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1492" w:author="LV" w:date="2026-07-14T16:23:49Z"/>
                <w:rFonts w:hint="eastAsia" w:ascii="仿宋_GB2312" w:hAnsi="宋体" w:eastAsia="仿宋_GB2312" w:cs="仿宋_GB2312"/>
                <w:kern w:val="0"/>
                <w:sz w:val="18"/>
                <w:szCs w:val="18"/>
                <w:lang w:bidi="ar"/>
              </w:rPr>
            </w:pPr>
          </w:p>
          <w:p w14:paraId="276E2E2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val="en-US" w:eastAsia="zh-CN" w:bidi="ar"/>
              </w:rPr>
            </w:pPr>
          </w:p>
        </w:tc>
      </w:tr>
      <w:tr w14:paraId="449200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486E3B2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z w:val="18"/>
                <w:szCs w:val="18"/>
                <w:lang w:eastAsia="zh-CN"/>
              </w:rPr>
            </w:pPr>
            <w:r>
              <w:rPr>
                <w:rFonts w:hint="eastAsia" w:ascii="仿宋_GB2312" w:hAnsi="宋体" w:eastAsia="仿宋_GB2312" w:cs="仿宋_GB2312"/>
                <w:kern w:val="0"/>
                <w:sz w:val="18"/>
                <w:szCs w:val="18"/>
                <w:lang w:bidi="ar"/>
              </w:rPr>
              <w:t>5</w:t>
            </w:r>
            <w:del w:id="1493" w:author="LV" w:date="2026-07-14T16:23:55Z">
              <w:r>
                <w:rPr>
                  <w:rFonts w:hint="default" w:ascii="仿宋_GB2312" w:hAnsi="宋体" w:eastAsia="仿宋_GB2312" w:cs="仿宋_GB2312"/>
                  <w:kern w:val="0"/>
                  <w:sz w:val="18"/>
                  <w:szCs w:val="18"/>
                  <w:lang w:val="en-US" w:bidi="ar"/>
                </w:rPr>
                <w:delText>3</w:delText>
              </w:r>
            </w:del>
            <w:ins w:id="1494" w:author="LV" w:date="2026-07-14T16:23:55Z">
              <w:r>
                <w:rPr>
                  <w:rFonts w:hint="eastAsia" w:ascii="仿宋_GB2312" w:hAnsi="宋体" w:eastAsia="仿宋_GB2312" w:cs="仿宋_GB2312"/>
                  <w:kern w:val="0"/>
                  <w:sz w:val="18"/>
                  <w:szCs w:val="18"/>
                  <w:lang w:val="en-US" w:eastAsia="zh-CN" w:bidi="ar"/>
                </w:rPr>
                <w:t>5</w:t>
              </w:r>
            </w:ins>
          </w:p>
        </w:tc>
        <w:tc>
          <w:tcPr>
            <w:tcW w:w="1005" w:type="dxa"/>
            <w:vMerge w:val="restart"/>
            <w:tcBorders>
              <w:tl2br w:val="nil"/>
              <w:tr2bl w:val="nil"/>
            </w:tcBorders>
            <w:shd w:val="clear" w:color="auto" w:fill="auto"/>
            <w:tcMar>
              <w:top w:w="15" w:type="dxa"/>
              <w:left w:w="15" w:type="dxa"/>
              <w:right w:w="15" w:type="dxa"/>
            </w:tcMar>
            <w:vAlign w:val="center"/>
          </w:tcPr>
          <w:p w14:paraId="647CEAC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 xml:space="preserve"> 隐瞒采掘工作面或者下井人数</w:t>
            </w:r>
            <w:r>
              <w:rPr>
                <w:rFonts w:hint="eastAsia" w:ascii="仿宋_GB2312" w:hAnsi="宋体" w:eastAsia="仿宋_GB2312" w:cs="仿宋_GB2312"/>
                <w:sz w:val="18"/>
                <w:szCs w:val="18"/>
                <w:lang w:val="en-US" w:eastAsia="zh-CN"/>
              </w:rPr>
              <w:t>的</w:t>
            </w:r>
          </w:p>
        </w:tc>
        <w:tc>
          <w:tcPr>
            <w:tcW w:w="3667" w:type="dxa"/>
            <w:vMerge w:val="restart"/>
            <w:tcBorders>
              <w:tl2br w:val="nil"/>
              <w:tr2bl w:val="nil"/>
            </w:tcBorders>
            <w:shd w:val="clear" w:color="auto" w:fill="auto"/>
            <w:tcMar>
              <w:top w:w="15" w:type="dxa"/>
              <w:left w:w="15" w:type="dxa"/>
              <w:right w:w="15" w:type="dxa"/>
            </w:tcMar>
            <w:vAlign w:val="center"/>
          </w:tcPr>
          <w:p w14:paraId="0CDC422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《煤矿安全生产条例》第三十六条第</w:t>
            </w:r>
            <w:r>
              <w:rPr>
                <w:rFonts w:hint="eastAsia" w:ascii="仿宋_GB2312" w:hAnsi="宋体" w:eastAsia="仿宋_GB2312" w:cs="仿宋_GB2312"/>
                <w:kern w:val="0"/>
                <w:sz w:val="18"/>
                <w:szCs w:val="18"/>
                <w:lang w:val="en-US" w:eastAsia="zh-CN" w:bidi="ar"/>
              </w:rPr>
              <w:t>十七</w:t>
            </w:r>
            <w:r>
              <w:rPr>
                <w:rFonts w:hint="eastAsia" w:ascii="仿宋_GB2312" w:hAnsi="宋体" w:eastAsia="仿宋_GB2312" w:cs="仿宋_GB2312"/>
                <w:kern w:val="0"/>
                <w:sz w:val="18"/>
                <w:szCs w:val="18"/>
                <w:lang w:bidi="ar"/>
              </w:rPr>
              <w:t>项  煤矿企业有下列情形之一的，属于重大事故隐患，应当立即停止受影响区域生产、建设，并及时消除事故隐患：（十</w:t>
            </w:r>
            <w:r>
              <w:rPr>
                <w:rFonts w:hint="eastAsia" w:ascii="仿宋_GB2312" w:hAnsi="宋体" w:eastAsia="仿宋_GB2312" w:cs="仿宋_GB2312"/>
                <w:kern w:val="0"/>
                <w:sz w:val="18"/>
                <w:szCs w:val="18"/>
                <w:lang w:val="en-US" w:eastAsia="zh-CN" w:bidi="ar"/>
              </w:rPr>
              <w:t>七</w:t>
            </w:r>
            <w:r>
              <w:rPr>
                <w:rFonts w:hint="eastAsia" w:ascii="仿宋_GB2312" w:hAnsi="宋体" w:eastAsia="仿宋_GB2312" w:cs="仿宋_GB2312"/>
                <w:kern w:val="0"/>
                <w:sz w:val="18"/>
                <w:szCs w:val="18"/>
                <w:lang w:bidi="ar"/>
              </w:rPr>
              <w:t>）有其他重大事故隐患的。</w:t>
            </w:r>
          </w:p>
          <w:p w14:paraId="36356DD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《煤矿重大事故隐患判定标准》第</w:t>
            </w:r>
            <w:r>
              <w:rPr>
                <w:rFonts w:hint="eastAsia" w:ascii="仿宋_GB2312" w:hAnsi="宋体" w:eastAsia="仿宋_GB2312" w:cs="仿宋_GB2312"/>
                <w:kern w:val="0"/>
                <w:sz w:val="18"/>
                <w:szCs w:val="18"/>
                <w:lang w:val="en-US" w:eastAsia="zh-CN" w:bidi="ar"/>
              </w:rPr>
              <w:t>二十</w:t>
            </w:r>
            <w:r>
              <w:rPr>
                <w:rFonts w:hint="eastAsia" w:ascii="仿宋_GB2312" w:hAnsi="宋体" w:eastAsia="仿宋_GB2312" w:cs="仿宋_GB2312"/>
                <w:kern w:val="0"/>
                <w:sz w:val="18"/>
                <w:szCs w:val="18"/>
                <w:lang w:bidi="ar"/>
              </w:rPr>
              <w:t>条</w:t>
            </w:r>
            <w:r>
              <w:rPr>
                <w:rFonts w:hint="eastAsia" w:ascii="仿宋_GB2312" w:hAnsi="宋体" w:eastAsia="仿宋_GB2312" w:cs="仿宋_GB2312"/>
                <w:kern w:val="0"/>
                <w:sz w:val="18"/>
                <w:szCs w:val="18"/>
                <w:lang w:val="en-US" w:eastAsia="zh-CN" w:bidi="ar"/>
              </w:rPr>
              <w:t xml:space="preserve">第六项 </w:t>
            </w:r>
            <w:r>
              <w:rPr>
                <w:rFonts w:hint="eastAsia" w:ascii="仿宋_GB2312" w:hAnsi="宋体" w:eastAsia="仿宋_GB2312" w:cs="仿宋_GB2312"/>
                <w:kern w:val="0"/>
                <w:sz w:val="18"/>
                <w:szCs w:val="18"/>
                <w:lang w:bidi="ar"/>
              </w:rPr>
              <w:t>“其他重大事故隐患”，是指有下列情形之一的</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w:t>
            </w:r>
            <w:r>
              <w:rPr>
                <w:rFonts w:hint="eastAsia" w:ascii="仿宋_GB2312" w:hAnsi="宋体" w:eastAsia="仿宋_GB2312" w:cs="仿宋_GB2312"/>
                <w:kern w:val="0"/>
                <w:sz w:val="18"/>
                <w:szCs w:val="18"/>
                <w:lang w:val="en-US" w:eastAsia="zh-CN" w:bidi="ar"/>
              </w:rPr>
              <w:t>六</w:t>
            </w:r>
            <w:r>
              <w:rPr>
                <w:rFonts w:hint="eastAsia" w:ascii="仿宋_GB2312" w:hAnsi="宋体" w:eastAsia="仿宋_GB2312" w:cs="仿宋_GB2312"/>
                <w:kern w:val="0"/>
                <w:sz w:val="18"/>
                <w:szCs w:val="18"/>
                <w:lang w:bidi="ar"/>
              </w:rPr>
              <w:t>) 隐瞒采掘工作面或者下井人数</w:t>
            </w:r>
            <w:r>
              <w:rPr>
                <w:rFonts w:hint="eastAsia" w:ascii="仿宋_GB2312" w:hAnsi="宋体" w:eastAsia="仿宋_GB2312" w:cs="仿宋_GB2312"/>
                <w:kern w:val="0"/>
                <w:sz w:val="18"/>
                <w:szCs w:val="18"/>
                <w:lang w:eastAsia="zh-CN" w:bidi="ar"/>
              </w:rPr>
              <w:t>。</w:t>
            </w:r>
          </w:p>
        </w:tc>
        <w:tc>
          <w:tcPr>
            <w:tcW w:w="4082" w:type="dxa"/>
            <w:vMerge w:val="restart"/>
            <w:tcBorders>
              <w:tl2br w:val="nil"/>
              <w:tr2bl w:val="nil"/>
            </w:tcBorders>
            <w:shd w:val="clear" w:color="auto" w:fill="auto"/>
            <w:tcMar>
              <w:top w:w="15" w:type="dxa"/>
              <w:left w:w="15" w:type="dxa"/>
              <w:right w:w="15" w:type="dxa"/>
            </w:tcMar>
            <w:vAlign w:val="center"/>
          </w:tcPr>
          <w:p w14:paraId="6977012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《煤矿安全生产条例》第六十四条  对存在重大事故隐患仍然进行生产的煤矿企业，责令停产整顿，明确整顿的内容、时间等具体要求，并处50万元以上200 万元以下的罚款；对煤矿企业主要负责人处3万元以上15 万元以下的罚款。</w:t>
            </w:r>
          </w:p>
        </w:tc>
        <w:tc>
          <w:tcPr>
            <w:tcW w:w="459" w:type="dxa"/>
            <w:tcBorders>
              <w:tl2br w:val="nil"/>
              <w:tr2bl w:val="nil"/>
            </w:tcBorders>
            <w:shd w:val="clear" w:color="auto" w:fill="auto"/>
            <w:noWrap/>
            <w:tcMar>
              <w:top w:w="15" w:type="dxa"/>
              <w:left w:w="15" w:type="dxa"/>
              <w:right w:w="15" w:type="dxa"/>
            </w:tcMar>
            <w:vAlign w:val="center"/>
          </w:tcPr>
          <w:p w14:paraId="74429BD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6C2772E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286B141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8B3CA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6FE4EC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0664C3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588055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CB200B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40571E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08CA299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7558B92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8BE30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DF7A09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C86F2D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DAB959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BAB687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03A7EC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5F36A9B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7AFCB6F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9E939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3F53DF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977440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A00838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23E24E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E26EE0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7674E1B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隐瞒下井人数，超过规定人数2人以下</w:t>
            </w:r>
            <w:r>
              <w:rPr>
                <w:rFonts w:hint="eastAsia" w:ascii="仿宋_GB2312" w:hAnsi="宋体" w:eastAsia="仿宋_GB2312" w:cs="仿宋_GB2312"/>
                <w:kern w:val="0"/>
                <w:sz w:val="18"/>
                <w:szCs w:val="18"/>
                <w:lang w:val="en-US" w:eastAsia="zh-CN" w:bidi="ar"/>
              </w:rPr>
              <w:t>的</w:t>
            </w:r>
          </w:p>
        </w:tc>
        <w:tc>
          <w:tcPr>
            <w:tcW w:w="2655" w:type="dxa"/>
            <w:tcBorders>
              <w:tl2br w:val="nil"/>
              <w:tr2bl w:val="nil"/>
            </w:tcBorders>
            <w:shd w:val="clear" w:color="auto" w:fill="auto"/>
            <w:tcMar>
              <w:top w:w="15" w:type="dxa"/>
              <w:left w:w="15" w:type="dxa"/>
              <w:right w:w="15" w:type="dxa"/>
            </w:tcMar>
            <w:vAlign w:val="center"/>
          </w:tcPr>
          <w:p w14:paraId="7F68C8A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责令停产整顿，提出整顿的内容、时间等具体要求，处50万元以上100万元以下的罚款；对煤矿企业负责人处3万元以上5万元以下的罚款。</w:t>
            </w:r>
          </w:p>
        </w:tc>
      </w:tr>
      <w:tr w14:paraId="482A7B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4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6F186C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EED112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3EBA69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F714D6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069130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44EB332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隐瞒下井人数，超过规定人数3人以上9人以下</w:t>
            </w:r>
            <w:r>
              <w:rPr>
                <w:rFonts w:hint="eastAsia" w:ascii="仿宋_GB2312" w:hAnsi="宋体" w:eastAsia="仿宋_GB2312" w:cs="仿宋_GB2312"/>
                <w:sz w:val="18"/>
                <w:szCs w:val="18"/>
                <w:lang w:val="en-US" w:eastAsia="zh-CN"/>
              </w:rPr>
              <w:t>的</w:t>
            </w:r>
          </w:p>
        </w:tc>
        <w:tc>
          <w:tcPr>
            <w:tcW w:w="2655" w:type="dxa"/>
            <w:tcBorders>
              <w:tl2br w:val="nil"/>
              <w:tr2bl w:val="nil"/>
            </w:tcBorders>
            <w:shd w:val="clear" w:color="auto" w:fill="auto"/>
            <w:tcMar>
              <w:top w:w="15" w:type="dxa"/>
              <w:left w:w="15" w:type="dxa"/>
              <w:right w:w="15" w:type="dxa"/>
            </w:tcMar>
            <w:vAlign w:val="center"/>
          </w:tcPr>
          <w:p w14:paraId="3307783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责令停产整顿，提出整顿的内容、时间等具体要求，处100万元以上150万元以下的罚款；对煤矿企业负责人处5万元以上10万元以下的罚款。</w:t>
            </w:r>
          </w:p>
        </w:tc>
      </w:tr>
      <w:tr w14:paraId="45156C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4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3F4F0D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59E7BE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AB5EC3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C653BA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DC1102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379D7C2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lang w:val="en-US" w:eastAsia="zh-CN"/>
              </w:rPr>
              <w:t>隐瞒采掘工作面或</w:t>
            </w:r>
            <w:r>
              <w:rPr>
                <w:rFonts w:hint="eastAsia" w:ascii="仿宋_GB2312" w:hAnsi="宋体" w:eastAsia="仿宋_GB2312" w:cs="仿宋_GB2312"/>
                <w:sz w:val="18"/>
                <w:szCs w:val="18"/>
              </w:rPr>
              <w:t>隐瞒下井人数，超过规定人数10人以上</w:t>
            </w:r>
            <w:r>
              <w:rPr>
                <w:rFonts w:hint="eastAsia" w:ascii="仿宋_GB2312" w:hAnsi="宋体" w:eastAsia="仿宋_GB2312" w:cs="仿宋_GB2312"/>
                <w:sz w:val="18"/>
                <w:szCs w:val="18"/>
                <w:lang w:val="en-US" w:eastAsia="zh-CN"/>
              </w:rPr>
              <w:t>的</w:t>
            </w:r>
          </w:p>
        </w:tc>
        <w:tc>
          <w:tcPr>
            <w:tcW w:w="2655" w:type="dxa"/>
            <w:tcBorders>
              <w:tl2br w:val="nil"/>
              <w:tr2bl w:val="nil"/>
            </w:tcBorders>
            <w:shd w:val="clear" w:color="auto" w:fill="auto"/>
            <w:tcMar>
              <w:top w:w="15" w:type="dxa"/>
              <w:left w:w="15" w:type="dxa"/>
              <w:right w:w="15" w:type="dxa"/>
            </w:tcMar>
            <w:vAlign w:val="center"/>
          </w:tcPr>
          <w:p w14:paraId="2997201D">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1495" w:author="LV" w:date="2026-07-14T16:24:08Z"/>
                <w:rFonts w:hint="eastAsia" w:ascii="仿宋_GB2312" w:hAnsi="宋体" w:eastAsia="仿宋_GB2312" w:cs="仿宋_GB2312"/>
                <w:kern w:val="0"/>
                <w:sz w:val="18"/>
                <w:szCs w:val="18"/>
                <w:lang w:bidi="ar"/>
              </w:rPr>
            </w:pPr>
          </w:p>
          <w:p w14:paraId="12778E80">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1496" w:author="LV" w:date="2026-07-14T16:24:08Z"/>
                <w:rFonts w:hint="eastAsia" w:ascii="仿宋_GB2312" w:hAnsi="宋体" w:eastAsia="仿宋_GB2312" w:cs="仿宋_GB2312"/>
                <w:kern w:val="0"/>
                <w:sz w:val="18"/>
                <w:szCs w:val="18"/>
                <w:lang w:bidi="ar"/>
              </w:rPr>
            </w:pPr>
          </w:p>
          <w:p w14:paraId="4250DB6B">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1497" w:author="LV" w:date="2026-07-14T16:24:17Z"/>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责令停产整顿，提出整顿的内容、时间等具体要求，处150万元以上200万元以下的罚款；对煤矿企业负责人处10万元以上15万元以下的罚款。</w:t>
            </w:r>
          </w:p>
          <w:p w14:paraId="32A8F405">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1498" w:author="LV" w:date="2026-07-14T16:24:03Z"/>
                <w:rFonts w:hint="eastAsia" w:ascii="仿宋_GB2312" w:hAnsi="宋体" w:eastAsia="仿宋_GB2312" w:cs="仿宋_GB2312"/>
                <w:kern w:val="0"/>
                <w:sz w:val="18"/>
                <w:szCs w:val="18"/>
                <w:lang w:bidi="ar"/>
              </w:rPr>
            </w:pPr>
          </w:p>
          <w:p w14:paraId="5D25786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val="en-US" w:eastAsia="zh-CN" w:bidi="ar"/>
              </w:rPr>
            </w:pPr>
          </w:p>
        </w:tc>
      </w:tr>
      <w:tr w14:paraId="554523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04FCE25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z w:val="18"/>
                <w:szCs w:val="18"/>
                <w:lang w:eastAsia="zh-CN"/>
              </w:rPr>
            </w:pPr>
            <w:r>
              <w:rPr>
                <w:rFonts w:hint="eastAsia" w:ascii="仿宋_GB2312" w:hAnsi="宋体" w:eastAsia="仿宋_GB2312" w:cs="仿宋_GB2312"/>
                <w:kern w:val="0"/>
                <w:sz w:val="18"/>
                <w:szCs w:val="18"/>
                <w:lang w:bidi="ar"/>
              </w:rPr>
              <w:t>5</w:t>
            </w:r>
            <w:del w:id="1499" w:author="LV" w:date="2026-07-14T16:24:24Z">
              <w:r>
                <w:rPr>
                  <w:rFonts w:hint="default" w:ascii="仿宋_GB2312" w:hAnsi="宋体" w:eastAsia="仿宋_GB2312" w:cs="仿宋_GB2312"/>
                  <w:kern w:val="0"/>
                  <w:sz w:val="18"/>
                  <w:szCs w:val="18"/>
                  <w:lang w:val="en-US" w:bidi="ar"/>
                </w:rPr>
                <w:delText>4</w:delText>
              </w:r>
            </w:del>
            <w:ins w:id="1500" w:author="LV" w:date="2026-07-14T16:24:24Z">
              <w:r>
                <w:rPr>
                  <w:rFonts w:hint="eastAsia" w:ascii="仿宋_GB2312" w:hAnsi="宋体" w:eastAsia="仿宋_GB2312" w:cs="仿宋_GB2312"/>
                  <w:kern w:val="0"/>
                  <w:sz w:val="18"/>
                  <w:szCs w:val="18"/>
                  <w:lang w:val="en-US" w:eastAsia="zh-CN" w:bidi="ar"/>
                </w:rPr>
                <w:t>6</w:t>
              </w:r>
            </w:ins>
          </w:p>
        </w:tc>
        <w:tc>
          <w:tcPr>
            <w:tcW w:w="1005" w:type="dxa"/>
            <w:vMerge w:val="restart"/>
            <w:tcBorders>
              <w:tl2br w:val="nil"/>
              <w:tr2bl w:val="nil"/>
            </w:tcBorders>
            <w:shd w:val="clear" w:color="auto" w:fill="auto"/>
            <w:tcMar>
              <w:top w:w="15" w:type="dxa"/>
              <w:left w:w="15" w:type="dxa"/>
              <w:right w:w="15" w:type="dxa"/>
            </w:tcMar>
            <w:vAlign w:val="center"/>
          </w:tcPr>
          <w:p w14:paraId="6C01FDF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立井、倾斜井巷升降人员的提升装置未安装过卷和过放、超速、过负荷和欠电压、限速、提升容器位置指示、闸瓦间隙、松绳减速功能、错向运行保护，或者保护失效后仍然运行</w:t>
            </w:r>
          </w:p>
        </w:tc>
        <w:tc>
          <w:tcPr>
            <w:tcW w:w="3667" w:type="dxa"/>
            <w:vMerge w:val="restart"/>
            <w:tcBorders>
              <w:tl2br w:val="nil"/>
              <w:tr2bl w:val="nil"/>
            </w:tcBorders>
            <w:shd w:val="clear" w:color="auto" w:fill="auto"/>
            <w:tcMar>
              <w:top w:w="15" w:type="dxa"/>
              <w:left w:w="15" w:type="dxa"/>
              <w:right w:w="15" w:type="dxa"/>
            </w:tcMar>
            <w:vAlign w:val="center"/>
          </w:tcPr>
          <w:p w14:paraId="5E01A00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《煤矿安全生产条例》第三十六条第</w:t>
            </w:r>
            <w:r>
              <w:rPr>
                <w:rFonts w:hint="eastAsia" w:ascii="仿宋_GB2312" w:hAnsi="宋体" w:eastAsia="仿宋_GB2312" w:cs="仿宋_GB2312"/>
                <w:kern w:val="0"/>
                <w:sz w:val="18"/>
                <w:szCs w:val="18"/>
                <w:lang w:val="en-US" w:eastAsia="zh-CN" w:bidi="ar"/>
              </w:rPr>
              <w:t>十七</w:t>
            </w:r>
            <w:r>
              <w:rPr>
                <w:rFonts w:hint="eastAsia" w:ascii="仿宋_GB2312" w:hAnsi="宋体" w:eastAsia="仿宋_GB2312" w:cs="仿宋_GB2312"/>
                <w:kern w:val="0"/>
                <w:sz w:val="18"/>
                <w:szCs w:val="18"/>
                <w:lang w:bidi="ar"/>
              </w:rPr>
              <w:t>项  煤矿企业有下列情形之一的，属于重大事故隐患，应当立即停止受影响区域生产、建设，并及时消除事故隐患：（十</w:t>
            </w:r>
            <w:r>
              <w:rPr>
                <w:rFonts w:hint="eastAsia" w:ascii="仿宋_GB2312" w:hAnsi="宋体" w:eastAsia="仿宋_GB2312" w:cs="仿宋_GB2312"/>
                <w:kern w:val="0"/>
                <w:sz w:val="18"/>
                <w:szCs w:val="18"/>
                <w:lang w:val="en-US" w:eastAsia="zh-CN" w:bidi="ar"/>
              </w:rPr>
              <w:t>七</w:t>
            </w:r>
            <w:r>
              <w:rPr>
                <w:rFonts w:hint="eastAsia" w:ascii="仿宋_GB2312" w:hAnsi="宋体" w:eastAsia="仿宋_GB2312" w:cs="仿宋_GB2312"/>
                <w:kern w:val="0"/>
                <w:sz w:val="18"/>
                <w:szCs w:val="18"/>
                <w:lang w:bidi="ar"/>
              </w:rPr>
              <w:t>）有其他重大事故隐患的。</w:t>
            </w:r>
          </w:p>
          <w:p w14:paraId="4A7ECC6D">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《煤矿重大事故隐患判定标准》第</w:t>
            </w:r>
            <w:r>
              <w:rPr>
                <w:rFonts w:hint="eastAsia" w:ascii="仿宋_GB2312" w:hAnsi="宋体" w:eastAsia="仿宋_GB2312" w:cs="仿宋_GB2312"/>
                <w:kern w:val="0"/>
                <w:sz w:val="18"/>
                <w:szCs w:val="18"/>
                <w:lang w:val="en-US" w:eastAsia="zh-CN" w:bidi="ar"/>
              </w:rPr>
              <w:t>二十</w:t>
            </w:r>
            <w:r>
              <w:rPr>
                <w:rFonts w:hint="eastAsia" w:ascii="仿宋_GB2312" w:hAnsi="宋体" w:eastAsia="仿宋_GB2312" w:cs="仿宋_GB2312"/>
                <w:kern w:val="0"/>
                <w:sz w:val="18"/>
                <w:szCs w:val="18"/>
                <w:lang w:bidi="ar"/>
              </w:rPr>
              <w:t>条</w:t>
            </w:r>
            <w:r>
              <w:rPr>
                <w:rFonts w:hint="eastAsia" w:ascii="仿宋_GB2312" w:hAnsi="宋体" w:eastAsia="仿宋_GB2312" w:cs="仿宋_GB2312"/>
                <w:kern w:val="0"/>
                <w:sz w:val="18"/>
                <w:szCs w:val="18"/>
                <w:lang w:val="en-US" w:eastAsia="zh-CN" w:bidi="ar"/>
              </w:rPr>
              <w:t xml:space="preserve">第七项 </w:t>
            </w:r>
            <w:r>
              <w:rPr>
                <w:rFonts w:hint="eastAsia" w:ascii="仿宋_GB2312" w:hAnsi="宋体" w:eastAsia="仿宋_GB2312" w:cs="仿宋_GB2312"/>
                <w:kern w:val="0"/>
                <w:sz w:val="18"/>
                <w:szCs w:val="18"/>
                <w:lang w:bidi="ar"/>
              </w:rPr>
              <w:t>“其他重大事故隐患”，是指有下列情形之一的</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w:t>
            </w:r>
            <w:r>
              <w:rPr>
                <w:rFonts w:hint="eastAsia" w:ascii="仿宋_GB2312" w:hAnsi="宋体" w:eastAsia="仿宋_GB2312" w:cs="仿宋_GB2312"/>
                <w:kern w:val="0"/>
                <w:sz w:val="18"/>
                <w:szCs w:val="18"/>
                <w:lang w:val="en-US" w:eastAsia="zh-CN" w:bidi="ar"/>
              </w:rPr>
              <w:t>七</w:t>
            </w:r>
            <w:r>
              <w:rPr>
                <w:rFonts w:hint="eastAsia" w:ascii="仿宋_GB2312" w:hAnsi="宋体" w:eastAsia="仿宋_GB2312" w:cs="仿宋_GB2312"/>
                <w:kern w:val="0"/>
                <w:sz w:val="18"/>
                <w:szCs w:val="18"/>
                <w:lang w:bidi="ar"/>
              </w:rPr>
              <w:t xml:space="preserve">)立井、倾斜井巷升降人员的提升装置未安装过卷和过放、超速、过负荷和欠电压、限速、提升容器位置指示、闸瓦间隙、松绳减速功能、错向运行保护，或者保护失效后仍然运行。 </w:t>
            </w:r>
          </w:p>
        </w:tc>
        <w:tc>
          <w:tcPr>
            <w:tcW w:w="4082" w:type="dxa"/>
            <w:vMerge w:val="restart"/>
            <w:tcBorders>
              <w:tl2br w:val="nil"/>
              <w:tr2bl w:val="nil"/>
            </w:tcBorders>
            <w:shd w:val="clear" w:color="auto" w:fill="auto"/>
            <w:tcMar>
              <w:top w:w="15" w:type="dxa"/>
              <w:left w:w="15" w:type="dxa"/>
              <w:right w:w="15" w:type="dxa"/>
            </w:tcMar>
            <w:vAlign w:val="center"/>
          </w:tcPr>
          <w:p w14:paraId="3EC4C91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《煤矿安全生产条例》第六十四条  对存在重大事故隐患仍然进行生产的煤矿企业，责令停产整顿，明确整顿的内容、时间等具体要求，并处50万元以上200 万元以下的罚款；对煤矿企业主要负责人处3万元以上15 万元以下的罚款。</w:t>
            </w:r>
          </w:p>
        </w:tc>
        <w:tc>
          <w:tcPr>
            <w:tcW w:w="459" w:type="dxa"/>
            <w:tcBorders>
              <w:tl2br w:val="nil"/>
              <w:tr2bl w:val="nil"/>
            </w:tcBorders>
            <w:shd w:val="clear" w:color="auto" w:fill="auto"/>
            <w:noWrap/>
            <w:tcMar>
              <w:top w:w="15" w:type="dxa"/>
              <w:left w:w="15" w:type="dxa"/>
              <w:right w:w="15" w:type="dxa"/>
            </w:tcMar>
            <w:vAlign w:val="center"/>
          </w:tcPr>
          <w:p w14:paraId="278CE19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64104C0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0907BA9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030A1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213933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55A0A2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1F32AF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21A71C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672C61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444ED0E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3D2FDC7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7B3F5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33CAE3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055F51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F4E57B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BA79D7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577EBD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66F5F90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CB7477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7A714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9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F756FA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54694E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90CA4D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0F02BE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2F1D63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从轻处罚</w:t>
            </w:r>
          </w:p>
        </w:tc>
        <w:tc>
          <w:tcPr>
            <w:tcW w:w="1829" w:type="dxa"/>
            <w:tcBorders>
              <w:tl2br w:val="nil"/>
              <w:tr2bl w:val="nil"/>
            </w:tcBorders>
            <w:shd w:val="clear" w:color="auto" w:fill="auto"/>
            <w:tcMar>
              <w:top w:w="15" w:type="dxa"/>
              <w:left w:w="15" w:type="dxa"/>
              <w:right w:w="15" w:type="dxa"/>
            </w:tcMar>
            <w:vAlign w:val="center"/>
          </w:tcPr>
          <w:p w14:paraId="435BA32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lang w:bidi="ar"/>
              </w:rPr>
              <w:t>立井、倾斜井巷升降人员的提升装置未安装过卷和过放、超速</w:t>
            </w:r>
            <w:r>
              <w:rPr>
                <w:rFonts w:hint="eastAsia" w:ascii="仿宋_GB2312" w:hAnsi="宋体" w:eastAsia="仿宋_GB2312" w:cs="仿宋_GB2312"/>
                <w:kern w:val="0"/>
                <w:sz w:val="18"/>
                <w:szCs w:val="18"/>
                <w:lang w:val="en-US" w:eastAsia="zh-CN" w:bidi="ar"/>
              </w:rPr>
              <w:t>等保护有1项整体失效，仍运行的</w:t>
            </w:r>
          </w:p>
        </w:tc>
        <w:tc>
          <w:tcPr>
            <w:tcW w:w="2655" w:type="dxa"/>
            <w:tcBorders>
              <w:tl2br w:val="nil"/>
              <w:tr2bl w:val="nil"/>
            </w:tcBorders>
            <w:shd w:val="clear" w:color="auto" w:fill="auto"/>
            <w:tcMar>
              <w:top w:w="15" w:type="dxa"/>
              <w:left w:w="15" w:type="dxa"/>
              <w:right w:w="15" w:type="dxa"/>
            </w:tcMar>
            <w:vAlign w:val="center"/>
          </w:tcPr>
          <w:p w14:paraId="57EB7CC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责令停产整顿，提出整顿的内容、时间等具体要求，处50万元以上100万元以下的罚款；对煤矿企业负责人处3万元以上5万元以下的罚款。</w:t>
            </w:r>
          </w:p>
        </w:tc>
      </w:tr>
      <w:tr w14:paraId="345D5F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615AF3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B3DB25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FA03D3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E58503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A5FE02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一般处罚</w:t>
            </w:r>
          </w:p>
        </w:tc>
        <w:tc>
          <w:tcPr>
            <w:tcW w:w="1829" w:type="dxa"/>
            <w:tcBorders>
              <w:tl2br w:val="nil"/>
              <w:tr2bl w:val="nil"/>
            </w:tcBorders>
            <w:shd w:val="clear" w:color="auto" w:fill="auto"/>
            <w:tcMar>
              <w:top w:w="15" w:type="dxa"/>
              <w:left w:w="15" w:type="dxa"/>
              <w:right w:w="15" w:type="dxa"/>
            </w:tcMar>
            <w:vAlign w:val="center"/>
          </w:tcPr>
          <w:p w14:paraId="031AB2D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lang w:bidi="ar"/>
              </w:rPr>
              <w:t>立井、倾斜井巷升降人员的提升装置未安装过卷和过放、超速</w:t>
            </w:r>
            <w:r>
              <w:rPr>
                <w:rFonts w:hint="eastAsia" w:ascii="仿宋_GB2312" w:hAnsi="宋体" w:eastAsia="仿宋_GB2312" w:cs="仿宋_GB2312"/>
                <w:kern w:val="0"/>
                <w:sz w:val="18"/>
                <w:szCs w:val="18"/>
                <w:lang w:val="en-US" w:eastAsia="zh-CN" w:bidi="ar"/>
              </w:rPr>
              <w:t>等保护有1项未安装，或有2项整体失效，仍运行的</w:t>
            </w:r>
          </w:p>
        </w:tc>
        <w:tc>
          <w:tcPr>
            <w:tcW w:w="2655" w:type="dxa"/>
            <w:tcBorders>
              <w:tl2br w:val="nil"/>
              <w:tr2bl w:val="nil"/>
            </w:tcBorders>
            <w:shd w:val="clear" w:color="auto" w:fill="auto"/>
            <w:tcMar>
              <w:top w:w="15" w:type="dxa"/>
              <w:left w:w="15" w:type="dxa"/>
              <w:right w:w="15" w:type="dxa"/>
            </w:tcMar>
            <w:vAlign w:val="center"/>
          </w:tcPr>
          <w:p w14:paraId="036284B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责令停产整顿，提出整顿的内容、时间等具体要求，处100万元以上150万元以下的罚款；对煤矿企业负责人处5万元以上10万元以下的罚款。</w:t>
            </w:r>
          </w:p>
        </w:tc>
      </w:tr>
      <w:tr w14:paraId="6FFBF5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65"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0F07B7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3D2A4B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8204A1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353859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FB1B2F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从重处罚</w:t>
            </w:r>
          </w:p>
        </w:tc>
        <w:tc>
          <w:tcPr>
            <w:tcW w:w="1829" w:type="dxa"/>
            <w:tcBorders>
              <w:tl2br w:val="nil"/>
              <w:tr2bl w:val="nil"/>
            </w:tcBorders>
            <w:shd w:val="clear" w:color="auto" w:fill="auto"/>
            <w:tcMar>
              <w:top w:w="15" w:type="dxa"/>
              <w:left w:w="15" w:type="dxa"/>
              <w:right w:w="15" w:type="dxa"/>
            </w:tcMar>
            <w:vAlign w:val="center"/>
          </w:tcPr>
          <w:p w14:paraId="241AF15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lang w:bidi="ar"/>
              </w:rPr>
              <w:t>立井、倾斜井巷升降人员的提升装置未安装过卷和过放、超速</w:t>
            </w:r>
            <w:r>
              <w:rPr>
                <w:rFonts w:hint="eastAsia" w:ascii="仿宋_GB2312" w:hAnsi="宋体" w:eastAsia="仿宋_GB2312" w:cs="仿宋_GB2312"/>
                <w:kern w:val="0"/>
                <w:sz w:val="18"/>
                <w:szCs w:val="18"/>
                <w:lang w:val="en-US" w:eastAsia="zh-CN" w:bidi="ar"/>
              </w:rPr>
              <w:t>等保护有2项及以上未安装，或有3项及以上整体失效，仍运行的</w:t>
            </w:r>
          </w:p>
        </w:tc>
        <w:tc>
          <w:tcPr>
            <w:tcW w:w="2655" w:type="dxa"/>
            <w:tcBorders>
              <w:tl2br w:val="nil"/>
              <w:tr2bl w:val="nil"/>
            </w:tcBorders>
            <w:shd w:val="clear" w:color="auto" w:fill="auto"/>
            <w:tcMar>
              <w:top w:w="15" w:type="dxa"/>
              <w:left w:w="15" w:type="dxa"/>
              <w:right w:w="15" w:type="dxa"/>
            </w:tcMar>
            <w:vAlign w:val="center"/>
          </w:tcPr>
          <w:p w14:paraId="0213546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责令停产整顿，提出整顿的内容、时间等具体要求，处150万元以上200万元以下的罚款；对煤矿企业负责人处10万元以上15万元以下的罚款。</w:t>
            </w:r>
          </w:p>
        </w:tc>
      </w:tr>
      <w:tr w14:paraId="0C4A2A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3A460B7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z w:val="18"/>
                <w:szCs w:val="18"/>
                <w:lang w:eastAsia="zh-CN"/>
              </w:rPr>
            </w:pPr>
            <w:r>
              <w:rPr>
                <w:rFonts w:hint="eastAsia" w:ascii="仿宋_GB2312" w:hAnsi="宋体" w:eastAsia="仿宋_GB2312" w:cs="仿宋_GB2312"/>
                <w:kern w:val="0"/>
                <w:sz w:val="18"/>
                <w:szCs w:val="18"/>
                <w:lang w:bidi="ar"/>
              </w:rPr>
              <w:t>5</w:t>
            </w:r>
            <w:del w:id="1501" w:author="LV" w:date="2026-07-14T16:24:30Z">
              <w:r>
                <w:rPr>
                  <w:rFonts w:hint="default" w:ascii="仿宋_GB2312" w:hAnsi="宋体" w:eastAsia="仿宋_GB2312" w:cs="仿宋_GB2312"/>
                  <w:kern w:val="0"/>
                  <w:sz w:val="18"/>
                  <w:szCs w:val="18"/>
                  <w:lang w:val="en-US" w:bidi="ar"/>
                </w:rPr>
                <w:delText>5</w:delText>
              </w:r>
            </w:del>
            <w:ins w:id="1502" w:author="LV" w:date="2026-07-14T16:24:30Z">
              <w:r>
                <w:rPr>
                  <w:rFonts w:hint="eastAsia" w:ascii="仿宋_GB2312" w:hAnsi="宋体" w:eastAsia="仿宋_GB2312" w:cs="仿宋_GB2312"/>
                  <w:kern w:val="0"/>
                  <w:sz w:val="18"/>
                  <w:szCs w:val="18"/>
                  <w:lang w:val="en-US" w:eastAsia="zh-CN" w:bidi="ar"/>
                </w:rPr>
                <w:t>7</w:t>
              </w:r>
            </w:ins>
          </w:p>
        </w:tc>
        <w:tc>
          <w:tcPr>
            <w:tcW w:w="1005" w:type="dxa"/>
            <w:vMerge w:val="restart"/>
            <w:tcBorders>
              <w:tl2br w:val="nil"/>
              <w:tr2bl w:val="nil"/>
            </w:tcBorders>
            <w:shd w:val="clear" w:color="auto" w:fill="auto"/>
            <w:tcMar>
              <w:top w:w="15" w:type="dxa"/>
              <w:left w:w="15" w:type="dxa"/>
              <w:right w:w="15" w:type="dxa"/>
            </w:tcMar>
            <w:vAlign w:val="center"/>
          </w:tcPr>
          <w:p w14:paraId="0E985C6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架空乘人装置未安装超速、打滑、全程急停、防脱绳、变坡点防掉绳、防反转、越位保护，或者保护失效后仍然运行。</w:t>
            </w:r>
          </w:p>
        </w:tc>
        <w:tc>
          <w:tcPr>
            <w:tcW w:w="3667" w:type="dxa"/>
            <w:vMerge w:val="restart"/>
            <w:tcBorders>
              <w:tl2br w:val="nil"/>
              <w:tr2bl w:val="nil"/>
            </w:tcBorders>
            <w:shd w:val="clear" w:color="auto" w:fill="auto"/>
            <w:tcMar>
              <w:top w:w="15" w:type="dxa"/>
              <w:left w:w="15" w:type="dxa"/>
              <w:right w:w="15" w:type="dxa"/>
            </w:tcMar>
            <w:vAlign w:val="center"/>
          </w:tcPr>
          <w:p w14:paraId="461C5FA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《煤矿安全生产条例》第三十六条第</w:t>
            </w:r>
            <w:r>
              <w:rPr>
                <w:rFonts w:hint="eastAsia" w:ascii="仿宋_GB2312" w:hAnsi="宋体" w:eastAsia="仿宋_GB2312" w:cs="仿宋_GB2312"/>
                <w:kern w:val="0"/>
                <w:sz w:val="18"/>
                <w:szCs w:val="18"/>
                <w:lang w:val="en-US" w:eastAsia="zh-CN" w:bidi="ar"/>
              </w:rPr>
              <w:t>十七</w:t>
            </w:r>
            <w:r>
              <w:rPr>
                <w:rFonts w:hint="eastAsia" w:ascii="仿宋_GB2312" w:hAnsi="宋体" w:eastAsia="仿宋_GB2312" w:cs="仿宋_GB2312"/>
                <w:kern w:val="0"/>
                <w:sz w:val="18"/>
                <w:szCs w:val="18"/>
                <w:lang w:bidi="ar"/>
              </w:rPr>
              <w:t>项  煤矿企业有下列情形之一的，属于重大事故隐患，应当立即停止受影响区域生产、建设，并及时消除事故隐患：（十</w:t>
            </w:r>
            <w:r>
              <w:rPr>
                <w:rFonts w:hint="eastAsia" w:ascii="仿宋_GB2312" w:hAnsi="宋体" w:eastAsia="仿宋_GB2312" w:cs="仿宋_GB2312"/>
                <w:kern w:val="0"/>
                <w:sz w:val="18"/>
                <w:szCs w:val="18"/>
                <w:lang w:val="en-US" w:eastAsia="zh-CN" w:bidi="ar"/>
              </w:rPr>
              <w:t>七</w:t>
            </w:r>
            <w:r>
              <w:rPr>
                <w:rFonts w:hint="eastAsia" w:ascii="仿宋_GB2312" w:hAnsi="宋体" w:eastAsia="仿宋_GB2312" w:cs="仿宋_GB2312"/>
                <w:kern w:val="0"/>
                <w:sz w:val="18"/>
                <w:szCs w:val="18"/>
                <w:lang w:bidi="ar"/>
              </w:rPr>
              <w:t>）有其他重大事故隐患的。</w:t>
            </w:r>
          </w:p>
          <w:p w14:paraId="4A54DCD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《煤矿重大事故隐患判定标准》第</w:t>
            </w:r>
            <w:r>
              <w:rPr>
                <w:rFonts w:hint="eastAsia" w:ascii="仿宋_GB2312" w:hAnsi="宋体" w:eastAsia="仿宋_GB2312" w:cs="仿宋_GB2312"/>
                <w:kern w:val="0"/>
                <w:sz w:val="18"/>
                <w:szCs w:val="18"/>
                <w:lang w:val="en-US" w:eastAsia="zh-CN" w:bidi="ar"/>
              </w:rPr>
              <w:t>二十</w:t>
            </w:r>
            <w:r>
              <w:rPr>
                <w:rFonts w:hint="eastAsia" w:ascii="仿宋_GB2312" w:hAnsi="宋体" w:eastAsia="仿宋_GB2312" w:cs="仿宋_GB2312"/>
                <w:kern w:val="0"/>
                <w:sz w:val="18"/>
                <w:szCs w:val="18"/>
                <w:lang w:bidi="ar"/>
              </w:rPr>
              <w:t>条</w:t>
            </w:r>
            <w:r>
              <w:rPr>
                <w:rFonts w:hint="eastAsia" w:ascii="仿宋_GB2312" w:hAnsi="宋体" w:eastAsia="仿宋_GB2312" w:cs="仿宋_GB2312"/>
                <w:kern w:val="0"/>
                <w:sz w:val="18"/>
                <w:szCs w:val="18"/>
                <w:lang w:val="en-US" w:eastAsia="zh-CN" w:bidi="ar"/>
              </w:rPr>
              <w:t xml:space="preserve">第八项 </w:t>
            </w:r>
            <w:r>
              <w:rPr>
                <w:rFonts w:hint="eastAsia" w:ascii="仿宋_GB2312" w:hAnsi="宋体" w:eastAsia="仿宋_GB2312" w:cs="仿宋_GB2312"/>
                <w:kern w:val="0"/>
                <w:sz w:val="18"/>
                <w:szCs w:val="18"/>
                <w:lang w:bidi="ar"/>
              </w:rPr>
              <w:t>“其他重大事故隐患”，是指有下列情形之一的</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w:t>
            </w:r>
            <w:r>
              <w:rPr>
                <w:rFonts w:hint="eastAsia" w:ascii="仿宋_GB2312" w:hAnsi="宋体" w:eastAsia="仿宋_GB2312" w:cs="仿宋_GB2312"/>
                <w:kern w:val="0"/>
                <w:sz w:val="18"/>
                <w:szCs w:val="18"/>
                <w:lang w:val="en-US" w:eastAsia="zh-CN" w:bidi="ar"/>
              </w:rPr>
              <w:t>八</w:t>
            </w:r>
            <w:r>
              <w:rPr>
                <w:rFonts w:hint="eastAsia" w:ascii="仿宋_GB2312" w:hAnsi="宋体" w:eastAsia="仿宋_GB2312" w:cs="仿宋_GB2312"/>
                <w:kern w:val="0"/>
                <w:sz w:val="18"/>
                <w:szCs w:val="18"/>
                <w:lang w:bidi="ar"/>
              </w:rPr>
              <w:t>)架空乘人装置未安装超速、打滑、全程急停、防脱绳、变坡点防掉绳、防反转、越位保护，或者保护失效后仍然运行。</w:t>
            </w:r>
          </w:p>
        </w:tc>
        <w:tc>
          <w:tcPr>
            <w:tcW w:w="4082" w:type="dxa"/>
            <w:vMerge w:val="restart"/>
            <w:tcBorders>
              <w:tl2br w:val="nil"/>
              <w:tr2bl w:val="nil"/>
            </w:tcBorders>
            <w:shd w:val="clear" w:color="auto" w:fill="auto"/>
            <w:tcMar>
              <w:top w:w="15" w:type="dxa"/>
              <w:left w:w="15" w:type="dxa"/>
              <w:right w:w="15" w:type="dxa"/>
            </w:tcMar>
            <w:vAlign w:val="center"/>
          </w:tcPr>
          <w:p w14:paraId="7391389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《煤矿安全生产条例》第六十四条  对存在重大事故隐患仍然进行生产的煤矿企业，责令停产整顿，明确整顿的内容、时间等具体要求，并处50万元以上200 万元以下的罚款；对煤矿企业主要负责人处3万元以上15 万元以下的罚款。</w:t>
            </w:r>
          </w:p>
        </w:tc>
        <w:tc>
          <w:tcPr>
            <w:tcW w:w="459" w:type="dxa"/>
            <w:tcBorders>
              <w:tl2br w:val="nil"/>
              <w:tr2bl w:val="nil"/>
            </w:tcBorders>
            <w:shd w:val="clear" w:color="auto" w:fill="auto"/>
            <w:noWrap/>
            <w:tcMar>
              <w:top w:w="15" w:type="dxa"/>
              <w:left w:w="15" w:type="dxa"/>
              <w:right w:w="15" w:type="dxa"/>
            </w:tcMar>
            <w:vAlign w:val="center"/>
          </w:tcPr>
          <w:p w14:paraId="79E4BE1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34433EB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72290EEF">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A6587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7341EC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2D8EF8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C1AB5B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013CAF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22817E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17D168F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07B33E1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EFA92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18A9D4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843196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F149F6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FF02EF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E47E5D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2343DBE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C7B4FA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47D38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65"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991B4C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8C0D64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357DDB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A77C4C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21DE32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3AB5CE2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highlight w:val="none"/>
                <w:lang w:val="en-US" w:eastAsia="zh-CN" w:bidi="ar-SA"/>
              </w:rPr>
            </w:pPr>
            <w:r>
              <w:rPr>
                <w:rFonts w:hint="eastAsia" w:ascii="仿宋_GB2312" w:hAnsi="宋体" w:eastAsia="仿宋_GB2312" w:cs="仿宋_GB2312"/>
                <w:kern w:val="0"/>
                <w:sz w:val="18"/>
                <w:szCs w:val="18"/>
                <w:lang w:bidi="ar"/>
              </w:rPr>
              <w:t>架空乘人装置未安装超速、打滑、全程急停、防脱绳、变坡点防掉绳、防反转、越位保护</w:t>
            </w:r>
            <w:r>
              <w:rPr>
                <w:rFonts w:hint="eastAsia" w:ascii="仿宋_GB2312" w:hAnsi="宋体" w:eastAsia="仿宋_GB2312" w:cs="仿宋_GB2312"/>
                <w:kern w:val="0"/>
                <w:sz w:val="18"/>
                <w:szCs w:val="18"/>
                <w:lang w:val="en-US" w:eastAsia="zh-CN" w:bidi="ar"/>
              </w:rPr>
              <w:t>有1项整体失效，仍运行的</w:t>
            </w:r>
          </w:p>
        </w:tc>
        <w:tc>
          <w:tcPr>
            <w:tcW w:w="2655" w:type="dxa"/>
            <w:tcBorders>
              <w:tl2br w:val="nil"/>
              <w:tr2bl w:val="nil"/>
            </w:tcBorders>
            <w:shd w:val="clear" w:color="auto" w:fill="auto"/>
            <w:tcMar>
              <w:top w:w="15" w:type="dxa"/>
              <w:left w:w="15" w:type="dxa"/>
              <w:right w:w="15" w:type="dxa"/>
            </w:tcMar>
            <w:vAlign w:val="center"/>
          </w:tcPr>
          <w:p w14:paraId="5C5B183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责令停产整顿，提出整顿的内容、时间等具体要求，处50万元以上100万元以下的罚款；对煤矿企业负责人处3万元以上5万元以下的罚款。</w:t>
            </w:r>
          </w:p>
        </w:tc>
      </w:tr>
      <w:tr w14:paraId="2382BF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75"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7D04DB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9A3E43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09D451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18437B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CEBFD9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6811A79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highlight w:val="none"/>
                <w:lang w:val="en-US" w:eastAsia="zh-CN" w:bidi="ar-SA"/>
              </w:rPr>
            </w:pPr>
            <w:r>
              <w:rPr>
                <w:rFonts w:hint="eastAsia" w:ascii="仿宋_GB2312" w:hAnsi="宋体" w:eastAsia="仿宋_GB2312" w:cs="仿宋_GB2312"/>
                <w:kern w:val="0"/>
                <w:sz w:val="18"/>
                <w:szCs w:val="18"/>
                <w:lang w:bidi="ar"/>
              </w:rPr>
              <w:t>架空乘人装置未安装超速、打滑、全程急停、防脱绳、变坡点防掉绳、防反转、越位保护</w:t>
            </w:r>
            <w:r>
              <w:rPr>
                <w:rFonts w:hint="eastAsia" w:ascii="仿宋_GB2312" w:hAnsi="宋体" w:eastAsia="仿宋_GB2312" w:cs="仿宋_GB2312"/>
                <w:kern w:val="0"/>
                <w:sz w:val="18"/>
                <w:szCs w:val="18"/>
                <w:lang w:val="en-US" w:eastAsia="zh-CN" w:bidi="ar"/>
              </w:rPr>
              <w:t>有1项未安装，或有2项整体失效，仍运行的</w:t>
            </w:r>
          </w:p>
        </w:tc>
        <w:tc>
          <w:tcPr>
            <w:tcW w:w="2655" w:type="dxa"/>
            <w:tcBorders>
              <w:tl2br w:val="nil"/>
              <w:tr2bl w:val="nil"/>
            </w:tcBorders>
            <w:shd w:val="clear" w:color="auto" w:fill="auto"/>
            <w:tcMar>
              <w:top w:w="15" w:type="dxa"/>
              <w:left w:w="15" w:type="dxa"/>
              <w:right w:w="15" w:type="dxa"/>
            </w:tcMar>
            <w:vAlign w:val="center"/>
          </w:tcPr>
          <w:p w14:paraId="4A83C12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责令停产整顿，提出整顿的内容、时间等具体要求，处100万元以上150万元以下的罚款；对煤矿企业负责人处5万元以上10万元以下的罚款。</w:t>
            </w:r>
          </w:p>
        </w:tc>
      </w:tr>
      <w:tr w14:paraId="516151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9617AD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780A0B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745110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93B13F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E88705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3BDF962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highlight w:val="none"/>
                <w:lang w:val="en-US" w:eastAsia="zh-CN" w:bidi="ar-SA"/>
              </w:rPr>
            </w:pPr>
            <w:r>
              <w:rPr>
                <w:rFonts w:hint="eastAsia" w:ascii="仿宋_GB2312" w:hAnsi="宋体" w:eastAsia="仿宋_GB2312" w:cs="仿宋_GB2312"/>
                <w:kern w:val="0"/>
                <w:sz w:val="18"/>
                <w:szCs w:val="18"/>
                <w:lang w:bidi="ar"/>
              </w:rPr>
              <w:t>架空乘人装置未安装超速、打滑、全程急停、防脱绳、变坡点防掉绳、防反转、越位保护</w:t>
            </w:r>
            <w:r>
              <w:rPr>
                <w:rFonts w:hint="eastAsia" w:ascii="仿宋_GB2312" w:hAnsi="宋体" w:eastAsia="仿宋_GB2312" w:cs="仿宋_GB2312"/>
                <w:kern w:val="0"/>
                <w:sz w:val="18"/>
                <w:szCs w:val="18"/>
                <w:lang w:val="en-US" w:eastAsia="zh-CN" w:bidi="ar"/>
              </w:rPr>
              <w:t>有2项及以上未安装，或有3项及以上整体失效，仍运行的</w:t>
            </w:r>
          </w:p>
        </w:tc>
        <w:tc>
          <w:tcPr>
            <w:tcW w:w="2655" w:type="dxa"/>
            <w:tcBorders>
              <w:tl2br w:val="nil"/>
              <w:tr2bl w:val="nil"/>
            </w:tcBorders>
            <w:shd w:val="clear" w:color="auto" w:fill="auto"/>
            <w:tcMar>
              <w:top w:w="15" w:type="dxa"/>
              <w:left w:w="15" w:type="dxa"/>
              <w:right w:w="15" w:type="dxa"/>
            </w:tcMar>
            <w:vAlign w:val="center"/>
          </w:tcPr>
          <w:p w14:paraId="0D927F3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责令停产整顿，提出整顿的内容、时间等具体要求，处150万元以上200万元以下的罚款；对煤矿企业负责人处10万元以上15万元以下的罚款。</w:t>
            </w:r>
          </w:p>
        </w:tc>
      </w:tr>
      <w:tr w14:paraId="1394EB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29C1240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z w:val="18"/>
                <w:szCs w:val="18"/>
                <w:lang w:eastAsia="zh-CN"/>
              </w:rPr>
            </w:pPr>
            <w:r>
              <w:rPr>
                <w:rFonts w:hint="eastAsia" w:ascii="仿宋_GB2312" w:hAnsi="宋体" w:eastAsia="仿宋_GB2312" w:cs="仿宋_GB2312"/>
                <w:kern w:val="0"/>
                <w:sz w:val="18"/>
                <w:szCs w:val="18"/>
                <w:lang w:bidi="ar"/>
              </w:rPr>
              <w:t>5</w:t>
            </w:r>
            <w:del w:id="1503" w:author="LV" w:date="2026-07-14T16:25:00Z">
              <w:r>
                <w:rPr>
                  <w:rFonts w:hint="default" w:ascii="仿宋_GB2312" w:hAnsi="宋体" w:eastAsia="仿宋_GB2312" w:cs="仿宋_GB2312"/>
                  <w:kern w:val="0"/>
                  <w:sz w:val="18"/>
                  <w:szCs w:val="18"/>
                  <w:lang w:val="en-US" w:bidi="ar"/>
                </w:rPr>
                <w:delText>6</w:delText>
              </w:r>
            </w:del>
            <w:ins w:id="1504" w:author="LV" w:date="2026-07-14T16:25:00Z">
              <w:r>
                <w:rPr>
                  <w:rFonts w:hint="eastAsia" w:ascii="仿宋_GB2312" w:hAnsi="宋体" w:eastAsia="仿宋_GB2312" w:cs="仿宋_GB2312"/>
                  <w:kern w:val="0"/>
                  <w:sz w:val="18"/>
                  <w:szCs w:val="18"/>
                  <w:lang w:val="en-US" w:eastAsia="zh-CN" w:bidi="ar"/>
                </w:rPr>
                <w:t>8</w:t>
              </w:r>
            </w:ins>
          </w:p>
        </w:tc>
        <w:tc>
          <w:tcPr>
            <w:tcW w:w="1005" w:type="dxa"/>
            <w:vMerge w:val="restart"/>
            <w:tcBorders>
              <w:tl2br w:val="nil"/>
              <w:tr2bl w:val="nil"/>
            </w:tcBorders>
            <w:shd w:val="clear" w:color="auto" w:fill="auto"/>
            <w:tcMar>
              <w:top w:w="15" w:type="dxa"/>
              <w:left w:w="15" w:type="dxa"/>
              <w:right w:w="15" w:type="dxa"/>
            </w:tcMar>
            <w:vAlign w:val="center"/>
          </w:tcPr>
          <w:p w14:paraId="18FF33B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带式输送机的输送带入井前未经过阻燃试验或者试验不合格入井</w:t>
            </w:r>
            <w:r>
              <w:rPr>
                <w:rFonts w:hint="eastAsia" w:ascii="仿宋_GB2312" w:hAnsi="宋体" w:eastAsia="仿宋_GB2312" w:cs="仿宋_GB2312"/>
                <w:sz w:val="18"/>
                <w:szCs w:val="18"/>
                <w:lang w:eastAsia="zh-CN"/>
              </w:rPr>
              <w:t>的</w:t>
            </w:r>
          </w:p>
        </w:tc>
        <w:tc>
          <w:tcPr>
            <w:tcW w:w="3667" w:type="dxa"/>
            <w:vMerge w:val="restart"/>
            <w:tcBorders>
              <w:tl2br w:val="nil"/>
              <w:tr2bl w:val="nil"/>
            </w:tcBorders>
            <w:shd w:val="clear" w:color="auto" w:fill="auto"/>
            <w:tcMar>
              <w:top w:w="15" w:type="dxa"/>
              <w:left w:w="15" w:type="dxa"/>
              <w:right w:w="15" w:type="dxa"/>
            </w:tcMar>
            <w:vAlign w:val="center"/>
          </w:tcPr>
          <w:p w14:paraId="5A1A1C5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《煤矿安全生产条例》第三十六条第</w:t>
            </w:r>
            <w:r>
              <w:rPr>
                <w:rFonts w:hint="eastAsia" w:ascii="仿宋_GB2312" w:hAnsi="宋体" w:eastAsia="仿宋_GB2312" w:cs="仿宋_GB2312"/>
                <w:kern w:val="0"/>
                <w:sz w:val="18"/>
                <w:szCs w:val="18"/>
                <w:lang w:val="en-US" w:eastAsia="zh-CN" w:bidi="ar"/>
              </w:rPr>
              <w:t>十七</w:t>
            </w:r>
            <w:r>
              <w:rPr>
                <w:rFonts w:hint="eastAsia" w:ascii="仿宋_GB2312" w:hAnsi="宋体" w:eastAsia="仿宋_GB2312" w:cs="仿宋_GB2312"/>
                <w:kern w:val="0"/>
                <w:sz w:val="18"/>
                <w:szCs w:val="18"/>
                <w:lang w:bidi="ar"/>
              </w:rPr>
              <w:t>项  煤矿企业有下列情形之一的，属于重大事故隐患，应当立即停止受影响区域生产、建设，并及时消除事故隐患：（十</w:t>
            </w:r>
            <w:r>
              <w:rPr>
                <w:rFonts w:hint="eastAsia" w:ascii="仿宋_GB2312" w:hAnsi="宋体" w:eastAsia="仿宋_GB2312" w:cs="仿宋_GB2312"/>
                <w:kern w:val="0"/>
                <w:sz w:val="18"/>
                <w:szCs w:val="18"/>
                <w:lang w:val="en-US" w:eastAsia="zh-CN" w:bidi="ar"/>
              </w:rPr>
              <w:t>七</w:t>
            </w:r>
            <w:r>
              <w:rPr>
                <w:rFonts w:hint="eastAsia" w:ascii="仿宋_GB2312" w:hAnsi="宋体" w:eastAsia="仿宋_GB2312" w:cs="仿宋_GB2312"/>
                <w:kern w:val="0"/>
                <w:sz w:val="18"/>
                <w:szCs w:val="18"/>
                <w:lang w:bidi="ar"/>
              </w:rPr>
              <w:t>）有其他重大事故隐患的。</w:t>
            </w:r>
          </w:p>
          <w:p w14:paraId="2D9BD0D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《煤矿重大事故隐患判定标准》第</w:t>
            </w:r>
            <w:r>
              <w:rPr>
                <w:rFonts w:hint="eastAsia" w:ascii="仿宋_GB2312" w:hAnsi="宋体" w:eastAsia="仿宋_GB2312" w:cs="仿宋_GB2312"/>
                <w:kern w:val="0"/>
                <w:sz w:val="18"/>
                <w:szCs w:val="18"/>
                <w:lang w:val="en-US" w:eastAsia="zh-CN" w:bidi="ar"/>
              </w:rPr>
              <w:t>二十</w:t>
            </w:r>
            <w:r>
              <w:rPr>
                <w:rFonts w:hint="eastAsia" w:ascii="仿宋_GB2312" w:hAnsi="宋体" w:eastAsia="仿宋_GB2312" w:cs="仿宋_GB2312"/>
                <w:kern w:val="0"/>
                <w:sz w:val="18"/>
                <w:szCs w:val="18"/>
                <w:lang w:bidi="ar"/>
              </w:rPr>
              <w:t>条</w:t>
            </w:r>
            <w:r>
              <w:rPr>
                <w:rFonts w:hint="eastAsia" w:ascii="仿宋_GB2312" w:hAnsi="宋体" w:eastAsia="仿宋_GB2312" w:cs="仿宋_GB2312"/>
                <w:kern w:val="0"/>
                <w:sz w:val="18"/>
                <w:szCs w:val="18"/>
                <w:lang w:val="en-US" w:eastAsia="zh-CN" w:bidi="ar"/>
              </w:rPr>
              <w:t xml:space="preserve">第九项 </w:t>
            </w:r>
            <w:r>
              <w:rPr>
                <w:rFonts w:hint="eastAsia" w:ascii="仿宋_GB2312" w:hAnsi="宋体" w:eastAsia="仿宋_GB2312" w:cs="仿宋_GB2312"/>
                <w:kern w:val="0"/>
                <w:sz w:val="18"/>
                <w:szCs w:val="18"/>
                <w:lang w:bidi="ar"/>
              </w:rPr>
              <w:t>“其他重大事故隐患”，是指有下列情形之一的</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w:t>
            </w:r>
            <w:r>
              <w:rPr>
                <w:rFonts w:hint="eastAsia" w:ascii="仿宋_GB2312" w:hAnsi="宋体" w:eastAsia="仿宋_GB2312" w:cs="仿宋_GB2312"/>
                <w:kern w:val="0"/>
                <w:sz w:val="18"/>
                <w:szCs w:val="18"/>
                <w:lang w:val="en-US" w:eastAsia="zh-CN" w:bidi="ar"/>
              </w:rPr>
              <w:t>九</w:t>
            </w:r>
            <w:r>
              <w:rPr>
                <w:rFonts w:hint="eastAsia" w:ascii="仿宋_GB2312" w:hAnsi="宋体" w:eastAsia="仿宋_GB2312" w:cs="仿宋_GB2312"/>
                <w:kern w:val="0"/>
                <w:sz w:val="18"/>
                <w:szCs w:val="18"/>
                <w:lang w:bidi="ar"/>
              </w:rPr>
              <w:t>)带式输送机的输送带入井前未经过阻燃试验或者试验不合格入井。</w:t>
            </w:r>
          </w:p>
        </w:tc>
        <w:tc>
          <w:tcPr>
            <w:tcW w:w="4082" w:type="dxa"/>
            <w:vMerge w:val="restart"/>
            <w:tcBorders>
              <w:tl2br w:val="nil"/>
              <w:tr2bl w:val="nil"/>
            </w:tcBorders>
            <w:shd w:val="clear" w:color="auto" w:fill="auto"/>
            <w:tcMar>
              <w:top w:w="15" w:type="dxa"/>
              <w:left w:w="15" w:type="dxa"/>
              <w:right w:w="15" w:type="dxa"/>
            </w:tcMar>
            <w:vAlign w:val="center"/>
          </w:tcPr>
          <w:p w14:paraId="675E877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《煤矿安全生产条例》第六十四条  对存在重大事故隐患仍然进行生产的煤矿企业，责令停产整顿，明确整顿的内容、时间等具体要求，并处50万元以上200 万元以下的罚款；对煤矿企业主要负责人处3万元以上15万元以下的罚款。</w:t>
            </w:r>
          </w:p>
        </w:tc>
        <w:tc>
          <w:tcPr>
            <w:tcW w:w="459" w:type="dxa"/>
            <w:tcBorders>
              <w:tl2br w:val="nil"/>
              <w:tr2bl w:val="nil"/>
            </w:tcBorders>
            <w:shd w:val="clear" w:color="auto" w:fill="auto"/>
            <w:noWrap/>
            <w:tcMar>
              <w:top w:w="15" w:type="dxa"/>
              <w:left w:w="15" w:type="dxa"/>
              <w:right w:w="15" w:type="dxa"/>
            </w:tcMar>
            <w:vAlign w:val="center"/>
          </w:tcPr>
          <w:p w14:paraId="6C9A5115">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05B7D460">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4B3E9EAF">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7BB59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479179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4880D9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956DF6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1ACB45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A19779A">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321AD4DE">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2E7995E5">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F15BF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B98D6B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E76242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09D6CF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1E9A45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4DD06D5">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1EC4B45A">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BAB2DD8">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4307D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72"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7AA3D4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E4B114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BF0A41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EFBE85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D7B9F7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649B42D4">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带式输送机的输送带入井前未经过阻燃试验</w:t>
            </w:r>
            <w:r>
              <w:rPr>
                <w:rFonts w:hint="eastAsia" w:ascii="仿宋_GB2312" w:hAnsi="宋体" w:eastAsia="仿宋_GB2312" w:cs="仿宋_GB2312"/>
                <w:kern w:val="0"/>
                <w:sz w:val="18"/>
                <w:szCs w:val="18"/>
                <w:lang w:val="en-US" w:eastAsia="zh-CN" w:bidi="ar"/>
              </w:rPr>
              <w:t>的</w:t>
            </w:r>
          </w:p>
        </w:tc>
        <w:tc>
          <w:tcPr>
            <w:tcW w:w="2655" w:type="dxa"/>
            <w:tcBorders>
              <w:tl2br w:val="nil"/>
              <w:tr2bl w:val="nil"/>
            </w:tcBorders>
            <w:shd w:val="clear" w:color="auto" w:fill="auto"/>
            <w:tcMar>
              <w:top w:w="15" w:type="dxa"/>
              <w:left w:w="15" w:type="dxa"/>
              <w:right w:w="15" w:type="dxa"/>
            </w:tcMar>
            <w:vAlign w:val="center"/>
          </w:tcPr>
          <w:p w14:paraId="2844E1D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责令停产整顿，提出整顿的内容、时间等具体要求，处50万元以上100万元以下的罚款；对煤矿企业负责人处3万元以上5万元以下的罚款。</w:t>
            </w:r>
          </w:p>
        </w:tc>
      </w:tr>
      <w:tr w14:paraId="5F00E2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065A53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C2565D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D56E58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12A0CB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E389CB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3E8AA9EC">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带式输送机的输送带入井前未经过阻燃试验</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val="en-US" w:eastAsia="zh-CN" w:bidi="ar"/>
              </w:rPr>
              <w:t>后期经检测阻燃试验不合格的</w:t>
            </w:r>
          </w:p>
        </w:tc>
        <w:tc>
          <w:tcPr>
            <w:tcW w:w="2655" w:type="dxa"/>
            <w:tcBorders>
              <w:tl2br w:val="nil"/>
              <w:tr2bl w:val="nil"/>
            </w:tcBorders>
            <w:shd w:val="clear" w:color="auto" w:fill="auto"/>
            <w:tcMar>
              <w:top w:w="15" w:type="dxa"/>
              <w:left w:w="15" w:type="dxa"/>
              <w:right w:w="15" w:type="dxa"/>
            </w:tcMar>
            <w:vAlign w:val="center"/>
          </w:tcPr>
          <w:p w14:paraId="65579C2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责令停产整顿，提出整顿的内容、时间等具体要求，处100万元以上150万元以下的罚款；对煤矿企业负责人处5万元以上10万元以下的罚款。</w:t>
            </w:r>
          </w:p>
        </w:tc>
      </w:tr>
      <w:tr w14:paraId="0048BE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4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DDEDDD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796B28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B2D76C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6CEF92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93B68B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2F632399">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带式输送机的输送带入井前阻燃试验不合格入井</w:t>
            </w:r>
            <w:r>
              <w:rPr>
                <w:rFonts w:hint="eastAsia" w:ascii="仿宋_GB2312" w:hAnsi="宋体" w:eastAsia="仿宋_GB2312" w:cs="仿宋_GB2312"/>
                <w:kern w:val="0"/>
                <w:sz w:val="18"/>
                <w:szCs w:val="18"/>
                <w:lang w:val="en-US" w:eastAsia="zh-CN" w:bidi="ar"/>
              </w:rPr>
              <w:t>的</w:t>
            </w:r>
          </w:p>
        </w:tc>
        <w:tc>
          <w:tcPr>
            <w:tcW w:w="2655" w:type="dxa"/>
            <w:tcBorders>
              <w:tl2br w:val="nil"/>
              <w:tr2bl w:val="nil"/>
            </w:tcBorders>
            <w:shd w:val="clear" w:color="auto" w:fill="auto"/>
            <w:tcMar>
              <w:top w:w="15" w:type="dxa"/>
              <w:left w:w="15" w:type="dxa"/>
              <w:right w:w="15" w:type="dxa"/>
            </w:tcMar>
            <w:vAlign w:val="center"/>
          </w:tcPr>
          <w:p w14:paraId="70B2633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责令停产整顿，提出整顿的内容、时间等具体要求，处150万元以上200万元以下的罚款；对煤矿企业负责人处10万元以上15万元以下的罚款。</w:t>
            </w:r>
          </w:p>
        </w:tc>
      </w:tr>
      <w:tr w14:paraId="332928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1505" w:author="LV" w:date="2026-07-14T16:25:23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wBefore w:w="0" w:type="auto"/>
          <w:trHeight w:val="1349" w:hRule="atLeast"/>
          <w:jc w:val="center"/>
          <w:trPrChange w:id="1505" w:author="LV" w:date="2026-07-14T16:25:23Z">
            <w:trPr>
              <w:gridBefore w:val="2"/>
              <w:wBefore w:w="15" w:type="dxa"/>
              <w:trHeight w:val="1964" w:hRule="atLeast"/>
              <w:jc w:val="center"/>
            </w:trPr>
          </w:trPrChange>
        </w:trPr>
        <w:tc>
          <w:tcPr>
            <w:tcW w:w="418" w:type="dxa"/>
            <w:vMerge w:val="restart"/>
            <w:tcBorders>
              <w:tl2br w:val="nil"/>
              <w:tr2bl w:val="nil"/>
            </w:tcBorders>
            <w:shd w:val="clear" w:color="auto" w:fill="auto"/>
            <w:noWrap/>
            <w:tcMar>
              <w:top w:w="15" w:type="dxa"/>
              <w:left w:w="15" w:type="dxa"/>
              <w:right w:w="15" w:type="dxa"/>
            </w:tcMar>
            <w:vAlign w:val="center"/>
            <w:tcPrChange w:id="1506" w:author="LV" w:date="2026-07-14T16:25:23Z">
              <w:tcPr>
                <w:tcW w:w="418" w:type="dxa"/>
                <w:gridSpan w:val="3"/>
                <w:vMerge w:val="restart"/>
                <w:tcBorders>
                  <w:tl2br w:val="nil"/>
                  <w:tr2bl w:val="nil"/>
                </w:tcBorders>
                <w:shd w:val="clear" w:color="auto" w:fill="auto"/>
                <w:noWrap/>
                <w:tcMar>
                  <w:top w:w="15" w:type="dxa"/>
                  <w:left w:w="15" w:type="dxa"/>
                  <w:right w:w="15" w:type="dxa"/>
                </w:tcMar>
                <w:vAlign w:val="center"/>
              </w:tcPr>
            </w:tcPrChange>
          </w:tcPr>
          <w:p w14:paraId="74A7455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hint="default" w:ascii="仿宋_GB2312" w:hAnsi="宋体" w:eastAsia="仿宋_GB2312" w:cs="仿宋_GB2312"/>
                <w:sz w:val="18"/>
                <w:szCs w:val="18"/>
                <w:lang w:val="en-US" w:eastAsia="zh-CN"/>
              </w:rPr>
            </w:pPr>
            <w:del w:id="1507" w:author="LV" w:date="2026-07-14T16:25:15Z">
              <w:r>
                <w:rPr>
                  <w:rFonts w:hint="default" w:ascii="仿宋_GB2312" w:hAnsi="宋体" w:eastAsia="仿宋_GB2312" w:cs="仿宋_GB2312"/>
                  <w:sz w:val="18"/>
                  <w:szCs w:val="18"/>
                  <w:lang w:val="en-US" w:eastAsia="zh-CN"/>
                </w:rPr>
                <w:delText>新增</w:delText>
              </w:r>
            </w:del>
            <w:ins w:id="1508" w:author="LV" w:date="2026-07-14T16:25:15Z">
              <w:r>
                <w:rPr>
                  <w:rFonts w:hint="eastAsia" w:ascii="仿宋_GB2312" w:hAnsi="宋体" w:eastAsia="仿宋_GB2312" w:cs="仿宋_GB2312"/>
                  <w:sz w:val="18"/>
                  <w:szCs w:val="18"/>
                  <w:lang w:val="en-US" w:eastAsia="zh-CN"/>
                </w:rPr>
                <w:t>5</w:t>
              </w:r>
            </w:ins>
            <w:ins w:id="1509" w:author="LV" w:date="2026-07-14T16:25:16Z">
              <w:r>
                <w:rPr>
                  <w:rFonts w:hint="eastAsia" w:ascii="仿宋_GB2312" w:hAnsi="宋体" w:eastAsia="仿宋_GB2312" w:cs="仿宋_GB2312"/>
                  <w:sz w:val="18"/>
                  <w:szCs w:val="18"/>
                  <w:lang w:val="en-US" w:eastAsia="zh-CN"/>
                </w:rPr>
                <w:t>9</w:t>
              </w:r>
            </w:ins>
          </w:p>
        </w:tc>
        <w:tc>
          <w:tcPr>
            <w:tcW w:w="1005" w:type="dxa"/>
            <w:vMerge w:val="restart"/>
            <w:tcBorders>
              <w:tl2br w:val="nil"/>
              <w:tr2bl w:val="nil"/>
            </w:tcBorders>
            <w:shd w:val="clear" w:color="auto" w:fill="auto"/>
            <w:tcMar>
              <w:top w:w="15" w:type="dxa"/>
              <w:left w:w="15" w:type="dxa"/>
              <w:right w:w="15" w:type="dxa"/>
            </w:tcMar>
            <w:vAlign w:val="center"/>
            <w:tcPrChange w:id="1510" w:author="LV" w:date="2026-07-14T16:25:23Z">
              <w:tcPr>
                <w:tcW w:w="1005" w:type="dxa"/>
                <w:gridSpan w:val="3"/>
                <w:vMerge w:val="restart"/>
                <w:tcBorders>
                  <w:tl2br w:val="nil"/>
                  <w:tr2bl w:val="nil"/>
                </w:tcBorders>
                <w:shd w:val="clear" w:color="auto" w:fill="auto"/>
                <w:tcMar>
                  <w:top w:w="15" w:type="dxa"/>
                  <w:left w:w="15" w:type="dxa"/>
                  <w:right w:w="15" w:type="dxa"/>
                </w:tcMar>
                <w:vAlign w:val="center"/>
              </w:tcPr>
            </w:tcPrChange>
          </w:tcPr>
          <w:p w14:paraId="5B9B5922">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sz w:val="18"/>
                <w:szCs w:val="18"/>
                <w:lang w:val="en-US" w:eastAsia="zh-CN"/>
              </w:rPr>
            </w:pPr>
            <w:r>
              <w:rPr>
                <w:rFonts w:hint="eastAsia" w:ascii="仿宋_GB2312" w:hAnsi="宋体" w:eastAsia="仿宋_GB2312" w:cs="仿宋_GB2312"/>
                <w:sz w:val="18"/>
                <w:szCs w:val="18"/>
              </w:rPr>
              <w:t>带式输送机未安设烟雾监测装置或者失效</w:t>
            </w:r>
            <w:r>
              <w:rPr>
                <w:rFonts w:hint="eastAsia" w:ascii="仿宋_GB2312" w:hAnsi="宋体" w:eastAsia="仿宋_GB2312" w:cs="仿宋_GB2312"/>
                <w:sz w:val="18"/>
                <w:szCs w:val="18"/>
                <w:lang w:val="en-US" w:eastAsia="zh-CN"/>
              </w:rPr>
              <w:t>的</w:t>
            </w:r>
          </w:p>
        </w:tc>
        <w:tc>
          <w:tcPr>
            <w:tcW w:w="3667" w:type="dxa"/>
            <w:vMerge w:val="restart"/>
            <w:tcBorders>
              <w:tl2br w:val="nil"/>
              <w:tr2bl w:val="nil"/>
            </w:tcBorders>
            <w:shd w:val="clear" w:color="auto" w:fill="auto"/>
            <w:tcMar>
              <w:top w:w="15" w:type="dxa"/>
              <w:left w:w="15" w:type="dxa"/>
              <w:right w:w="15" w:type="dxa"/>
            </w:tcMar>
            <w:vAlign w:val="center"/>
            <w:tcPrChange w:id="1511" w:author="LV" w:date="2026-07-14T16:25:23Z">
              <w:tcPr>
                <w:tcW w:w="3667" w:type="dxa"/>
                <w:gridSpan w:val="3"/>
                <w:vMerge w:val="restart"/>
                <w:tcBorders>
                  <w:tl2br w:val="nil"/>
                  <w:tr2bl w:val="nil"/>
                </w:tcBorders>
                <w:shd w:val="clear" w:color="auto" w:fill="auto"/>
                <w:tcMar>
                  <w:top w:w="15" w:type="dxa"/>
                  <w:left w:w="15" w:type="dxa"/>
                  <w:right w:w="15" w:type="dxa"/>
                </w:tcMar>
                <w:vAlign w:val="center"/>
              </w:tcPr>
            </w:tcPrChange>
          </w:tcPr>
          <w:p w14:paraId="6BD4C15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《煤矿安全生产条例》第三十六条第</w:t>
            </w:r>
            <w:r>
              <w:rPr>
                <w:rFonts w:hint="eastAsia" w:ascii="仿宋_GB2312" w:hAnsi="宋体" w:eastAsia="仿宋_GB2312" w:cs="仿宋_GB2312"/>
                <w:kern w:val="0"/>
                <w:sz w:val="18"/>
                <w:szCs w:val="18"/>
                <w:lang w:val="en-US" w:eastAsia="zh-CN" w:bidi="ar"/>
              </w:rPr>
              <w:t>十七</w:t>
            </w:r>
            <w:r>
              <w:rPr>
                <w:rFonts w:hint="eastAsia" w:ascii="仿宋_GB2312" w:hAnsi="宋体" w:eastAsia="仿宋_GB2312" w:cs="仿宋_GB2312"/>
                <w:kern w:val="0"/>
                <w:sz w:val="18"/>
                <w:szCs w:val="18"/>
                <w:lang w:bidi="ar"/>
              </w:rPr>
              <w:t>项  煤矿企业有下列情形之一的，属于重大事故隐患，应当立即停止受影响区域生产、建设，并及时消除事故隐患：（十</w:t>
            </w:r>
            <w:r>
              <w:rPr>
                <w:rFonts w:hint="eastAsia" w:ascii="仿宋_GB2312" w:hAnsi="宋体" w:eastAsia="仿宋_GB2312" w:cs="仿宋_GB2312"/>
                <w:kern w:val="0"/>
                <w:sz w:val="18"/>
                <w:szCs w:val="18"/>
                <w:lang w:val="en-US" w:eastAsia="zh-CN" w:bidi="ar"/>
              </w:rPr>
              <w:t>七</w:t>
            </w:r>
            <w:r>
              <w:rPr>
                <w:rFonts w:hint="eastAsia" w:ascii="仿宋_GB2312" w:hAnsi="宋体" w:eastAsia="仿宋_GB2312" w:cs="仿宋_GB2312"/>
                <w:kern w:val="0"/>
                <w:sz w:val="18"/>
                <w:szCs w:val="18"/>
                <w:lang w:bidi="ar"/>
              </w:rPr>
              <w:t>）有其他重大事故隐患的。</w:t>
            </w:r>
          </w:p>
          <w:p w14:paraId="42BAFA0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《煤矿重大事故隐患判定标准》第</w:t>
            </w:r>
            <w:r>
              <w:rPr>
                <w:rFonts w:hint="eastAsia" w:ascii="仿宋_GB2312" w:hAnsi="宋体" w:eastAsia="仿宋_GB2312" w:cs="仿宋_GB2312"/>
                <w:kern w:val="0"/>
                <w:sz w:val="18"/>
                <w:szCs w:val="18"/>
                <w:lang w:val="en-US" w:eastAsia="zh-CN" w:bidi="ar"/>
              </w:rPr>
              <w:t>二十</w:t>
            </w:r>
            <w:r>
              <w:rPr>
                <w:rFonts w:hint="eastAsia" w:ascii="仿宋_GB2312" w:hAnsi="宋体" w:eastAsia="仿宋_GB2312" w:cs="仿宋_GB2312"/>
                <w:kern w:val="0"/>
                <w:sz w:val="18"/>
                <w:szCs w:val="18"/>
                <w:lang w:bidi="ar"/>
              </w:rPr>
              <w:t>条</w:t>
            </w:r>
            <w:r>
              <w:rPr>
                <w:rFonts w:hint="eastAsia" w:ascii="仿宋_GB2312" w:hAnsi="宋体" w:eastAsia="仿宋_GB2312" w:cs="仿宋_GB2312"/>
                <w:kern w:val="0"/>
                <w:sz w:val="18"/>
                <w:szCs w:val="18"/>
                <w:lang w:val="en-US" w:eastAsia="zh-CN" w:bidi="ar"/>
              </w:rPr>
              <w:t xml:space="preserve">第十项 </w:t>
            </w:r>
            <w:r>
              <w:rPr>
                <w:rFonts w:hint="eastAsia" w:ascii="仿宋_GB2312" w:hAnsi="宋体" w:eastAsia="仿宋_GB2312" w:cs="仿宋_GB2312"/>
                <w:kern w:val="0"/>
                <w:sz w:val="18"/>
                <w:szCs w:val="18"/>
                <w:lang w:bidi="ar"/>
              </w:rPr>
              <w:t>“其他重大事故隐患”，是指有下列情形之一的</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w:t>
            </w:r>
            <w:r>
              <w:rPr>
                <w:rFonts w:hint="eastAsia" w:ascii="仿宋_GB2312" w:hAnsi="宋体" w:eastAsia="仿宋_GB2312" w:cs="仿宋_GB2312"/>
                <w:kern w:val="0"/>
                <w:sz w:val="18"/>
                <w:szCs w:val="18"/>
                <w:lang w:val="en-US" w:eastAsia="zh-CN" w:bidi="ar"/>
              </w:rPr>
              <w:t>十</w:t>
            </w:r>
            <w:r>
              <w:rPr>
                <w:rFonts w:hint="eastAsia" w:ascii="仿宋_GB2312" w:hAnsi="宋体" w:eastAsia="仿宋_GB2312" w:cs="仿宋_GB2312"/>
                <w:kern w:val="0"/>
                <w:sz w:val="18"/>
                <w:szCs w:val="18"/>
                <w:lang w:bidi="ar"/>
              </w:rPr>
              <w:t>)带式输送机未安设烟雾监测装置或者失效。</w:t>
            </w:r>
          </w:p>
        </w:tc>
        <w:tc>
          <w:tcPr>
            <w:tcW w:w="4082" w:type="dxa"/>
            <w:vMerge w:val="restart"/>
            <w:tcBorders>
              <w:tl2br w:val="nil"/>
              <w:tr2bl w:val="nil"/>
            </w:tcBorders>
            <w:shd w:val="clear" w:color="auto" w:fill="auto"/>
            <w:tcMar>
              <w:top w:w="15" w:type="dxa"/>
              <w:left w:w="15" w:type="dxa"/>
              <w:right w:w="15" w:type="dxa"/>
            </w:tcMar>
            <w:vAlign w:val="center"/>
            <w:tcPrChange w:id="1512" w:author="LV" w:date="2026-07-14T16:25:23Z">
              <w:tcPr>
                <w:tcW w:w="4082" w:type="dxa"/>
                <w:gridSpan w:val="3"/>
                <w:vMerge w:val="restart"/>
                <w:tcBorders>
                  <w:tl2br w:val="nil"/>
                  <w:tr2bl w:val="nil"/>
                </w:tcBorders>
                <w:shd w:val="clear" w:color="auto" w:fill="auto"/>
                <w:tcMar>
                  <w:top w:w="15" w:type="dxa"/>
                  <w:left w:w="15" w:type="dxa"/>
                  <w:right w:w="15" w:type="dxa"/>
                </w:tcMar>
                <w:vAlign w:val="center"/>
              </w:tcPr>
            </w:tcPrChange>
          </w:tcPr>
          <w:p w14:paraId="5730CE9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《煤矿安全生产条例》第六十四条  对存在重大事故隐患仍然进行生产的煤矿企业，责令停产整顿，明确整顿的内容、时间等具体要求，并处50万元以上200 万元以下的罚款；对煤矿企业主要负责人处3万元以上15万元以下的罚款。</w:t>
            </w:r>
          </w:p>
        </w:tc>
        <w:tc>
          <w:tcPr>
            <w:tcW w:w="459" w:type="dxa"/>
            <w:tcBorders>
              <w:tl2br w:val="nil"/>
              <w:tr2bl w:val="nil"/>
            </w:tcBorders>
            <w:shd w:val="clear" w:color="auto" w:fill="auto"/>
            <w:noWrap/>
            <w:tcMar>
              <w:top w:w="15" w:type="dxa"/>
              <w:left w:w="15" w:type="dxa"/>
              <w:right w:w="15" w:type="dxa"/>
            </w:tcMar>
            <w:vAlign w:val="center"/>
            <w:tcPrChange w:id="1513" w:author="LV" w:date="2026-07-14T16:25:23Z">
              <w:tcPr>
                <w:tcW w:w="459" w:type="dxa"/>
                <w:gridSpan w:val="3"/>
                <w:tcBorders>
                  <w:tl2br w:val="nil"/>
                  <w:tr2bl w:val="nil"/>
                </w:tcBorders>
                <w:shd w:val="clear" w:color="auto" w:fill="auto"/>
                <w:noWrap/>
                <w:tcMar>
                  <w:top w:w="15" w:type="dxa"/>
                  <w:left w:w="15" w:type="dxa"/>
                  <w:right w:w="15" w:type="dxa"/>
                </w:tcMar>
                <w:vAlign w:val="center"/>
              </w:tcPr>
            </w:tcPrChange>
          </w:tcPr>
          <w:p w14:paraId="221C785F">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Change w:id="1514" w:author="LV" w:date="2026-07-14T16:25:23Z">
              <w:tcPr>
                <w:tcW w:w="1829" w:type="dxa"/>
                <w:gridSpan w:val="3"/>
                <w:tcBorders>
                  <w:tl2br w:val="nil"/>
                  <w:tr2bl w:val="nil"/>
                </w:tcBorders>
                <w:shd w:val="clear" w:color="auto" w:fill="auto"/>
                <w:tcMar>
                  <w:top w:w="15" w:type="dxa"/>
                  <w:left w:w="15" w:type="dxa"/>
                  <w:right w:w="15" w:type="dxa"/>
                </w:tcMar>
                <w:vAlign w:val="center"/>
              </w:tcPr>
            </w:tcPrChange>
          </w:tcPr>
          <w:p w14:paraId="3EBA3160">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Change w:id="1515" w:author="LV" w:date="2026-07-14T16:25:23Z">
              <w:tcPr>
                <w:tcW w:w="2655" w:type="dxa"/>
                <w:gridSpan w:val="3"/>
                <w:tcBorders>
                  <w:tl2br w:val="nil"/>
                  <w:tr2bl w:val="nil"/>
                </w:tcBorders>
                <w:shd w:val="clear" w:color="auto" w:fill="auto"/>
                <w:tcMar>
                  <w:top w:w="15" w:type="dxa"/>
                  <w:left w:w="15" w:type="dxa"/>
                  <w:right w:w="15" w:type="dxa"/>
                </w:tcMar>
                <w:vAlign w:val="center"/>
              </w:tcPr>
            </w:tcPrChange>
          </w:tcPr>
          <w:p w14:paraId="40EC39D3">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0A545B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791BA0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7B7222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55B09B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C87D64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4F5CF13">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77DF8050">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2E17B77A">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213A43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0800AD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B27535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398BA7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F5F894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0402D52">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57E3B749">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779B6F05">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075A6D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4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B53F32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5877BD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97A79B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4D1FEE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2A9E69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0D7827FF">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val="en-US" w:eastAsia="zh-CN" w:bidi="ar"/>
              </w:rPr>
              <w:t>有1处</w:t>
            </w:r>
            <w:r>
              <w:rPr>
                <w:rFonts w:hint="eastAsia" w:ascii="仿宋_GB2312" w:hAnsi="宋体" w:eastAsia="仿宋_GB2312" w:cs="仿宋_GB2312"/>
                <w:kern w:val="0"/>
                <w:sz w:val="18"/>
                <w:szCs w:val="18"/>
                <w:lang w:bidi="ar"/>
              </w:rPr>
              <w:t>带式输送机未安设烟雾监测装置或者失效。</w:t>
            </w:r>
          </w:p>
        </w:tc>
        <w:tc>
          <w:tcPr>
            <w:tcW w:w="2655" w:type="dxa"/>
            <w:tcBorders>
              <w:tl2br w:val="nil"/>
              <w:tr2bl w:val="nil"/>
            </w:tcBorders>
            <w:shd w:val="clear" w:color="auto" w:fill="auto"/>
            <w:tcMar>
              <w:top w:w="15" w:type="dxa"/>
              <w:left w:w="15" w:type="dxa"/>
              <w:right w:w="15" w:type="dxa"/>
            </w:tcMar>
            <w:vAlign w:val="center"/>
          </w:tcPr>
          <w:p w14:paraId="54B016C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责令停产整顿，提出整顿的内容、时间等具体要求，处50万元以上100万元以下的罚款；对煤矿企业负责人处3万元以上5万元以下的罚款。</w:t>
            </w:r>
          </w:p>
        </w:tc>
      </w:tr>
      <w:tr w14:paraId="1C4A22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EAD2DC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26C216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EEEE4F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F798CE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F3F18B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4D994281">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val="en-US" w:eastAsia="zh-CN" w:bidi="ar"/>
              </w:rPr>
              <w:t>有2处</w:t>
            </w:r>
            <w:r>
              <w:rPr>
                <w:rFonts w:hint="eastAsia" w:ascii="仿宋_GB2312" w:hAnsi="宋体" w:eastAsia="仿宋_GB2312" w:cs="仿宋_GB2312"/>
                <w:kern w:val="0"/>
                <w:sz w:val="18"/>
                <w:szCs w:val="18"/>
                <w:lang w:bidi="ar"/>
              </w:rPr>
              <w:t>带式输送机未安设烟雾监测装置或者失效。</w:t>
            </w:r>
          </w:p>
        </w:tc>
        <w:tc>
          <w:tcPr>
            <w:tcW w:w="2655" w:type="dxa"/>
            <w:tcBorders>
              <w:tl2br w:val="nil"/>
              <w:tr2bl w:val="nil"/>
            </w:tcBorders>
            <w:shd w:val="clear" w:color="auto" w:fill="auto"/>
            <w:tcMar>
              <w:top w:w="15" w:type="dxa"/>
              <w:left w:w="15" w:type="dxa"/>
              <w:right w:w="15" w:type="dxa"/>
            </w:tcMar>
            <w:vAlign w:val="center"/>
          </w:tcPr>
          <w:p w14:paraId="4D8A500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责令停产整顿，提出整顿的内容、时间等具体要求，处100万元以上150万元以下的罚款；对煤矿企业负责人处5万元以上10万元以下的罚款。</w:t>
            </w:r>
          </w:p>
        </w:tc>
      </w:tr>
      <w:tr w14:paraId="40D11E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3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A5A2C9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F6CDB2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7EAF1C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55F53F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025D12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1E05D661">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val="en-US" w:eastAsia="zh-CN" w:bidi="ar"/>
              </w:rPr>
              <w:t>有3处及以上</w:t>
            </w:r>
            <w:r>
              <w:rPr>
                <w:rFonts w:hint="eastAsia" w:ascii="仿宋_GB2312" w:hAnsi="宋体" w:eastAsia="仿宋_GB2312" w:cs="仿宋_GB2312"/>
                <w:kern w:val="0"/>
                <w:sz w:val="18"/>
                <w:szCs w:val="18"/>
                <w:lang w:bidi="ar"/>
              </w:rPr>
              <w:t>带式输送机未安设烟雾监测装置或者失效。</w:t>
            </w:r>
          </w:p>
        </w:tc>
        <w:tc>
          <w:tcPr>
            <w:tcW w:w="2655" w:type="dxa"/>
            <w:tcBorders>
              <w:tl2br w:val="nil"/>
              <w:tr2bl w:val="nil"/>
            </w:tcBorders>
            <w:shd w:val="clear" w:color="auto" w:fill="auto"/>
            <w:tcMar>
              <w:top w:w="15" w:type="dxa"/>
              <w:left w:w="15" w:type="dxa"/>
              <w:right w:w="15" w:type="dxa"/>
            </w:tcMar>
            <w:vAlign w:val="center"/>
          </w:tcPr>
          <w:p w14:paraId="60D0999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责令停产整顿，提出整顿的内容、时间等具体要求，处150万元以上200万元以下的罚款；对煤矿企业负责人处10万元以上15万元以下的罚款。</w:t>
            </w:r>
          </w:p>
        </w:tc>
      </w:tr>
      <w:tr w14:paraId="3578EA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1516" w:author="LV" w:date="2026-07-14T16:25:50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wBefore w:w="0" w:type="auto"/>
          <w:trHeight w:val="900" w:hRule="atLeast"/>
          <w:jc w:val="center"/>
          <w:trPrChange w:id="1516" w:author="LV" w:date="2026-07-14T16:25:50Z">
            <w:trPr>
              <w:gridBefore w:val="2"/>
              <w:wBefore w:w="15" w:type="dxa"/>
              <w:trHeight w:val="1225" w:hRule="atLeast"/>
              <w:jc w:val="center"/>
            </w:trPr>
          </w:trPrChange>
        </w:trPr>
        <w:tc>
          <w:tcPr>
            <w:tcW w:w="418" w:type="dxa"/>
            <w:vMerge w:val="restart"/>
            <w:tcBorders>
              <w:tl2br w:val="nil"/>
              <w:tr2bl w:val="nil"/>
            </w:tcBorders>
            <w:shd w:val="clear" w:color="auto" w:fill="auto"/>
            <w:noWrap/>
            <w:tcMar>
              <w:top w:w="15" w:type="dxa"/>
              <w:left w:w="15" w:type="dxa"/>
              <w:right w:w="15" w:type="dxa"/>
            </w:tcMar>
            <w:vAlign w:val="center"/>
            <w:tcPrChange w:id="1517" w:author="LV" w:date="2026-07-14T16:25:50Z">
              <w:tcPr>
                <w:tcW w:w="418" w:type="dxa"/>
                <w:gridSpan w:val="3"/>
                <w:vMerge w:val="restart"/>
                <w:tcBorders>
                  <w:tl2br w:val="nil"/>
                  <w:tr2bl w:val="nil"/>
                </w:tcBorders>
                <w:shd w:val="clear" w:color="auto" w:fill="auto"/>
                <w:noWrap/>
                <w:tcMar>
                  <w:top w:w="15" w:type="dxa"/>
                  <w:left w:w="15" w:type="dxa"/>
                  <w:right w:w="15" w:type="dxa"/>
                </w:tcMar>
                <w:vAlign w:val="center"/>
              </w:tcPr>
            </w:tcPrChange>
          </w:tcPr>
          <w:p w14:paraId="1F96AB3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hint="default" w:ascii="仿宋_GB2312" w:hAnsi="宋体" w:eastAsia="仿宋_GB2312" w:cs="仿宋_GB2312"/>
                <w:sz w:val="18"/>
                <w:szCs w:val="18"/>
                <w:lang w:val="en-US" w:eastAsia="zh-CN"/>
              </w:rPr>
            </w:pPr>
            <w:del w:id="1518" w:author="LV" w:date="2026-07-14T16:25:42Z">
              <w:r>
                <w:rPr>
                  <w:rFonts w:hint="default" w:ascii="仿宋_GB2312" w:hAnsi="宋体" w:eastAsia="仿宋_GB2312" w:cs="仿宋_GB2312"/>
                  <w:sz w:val="18"/>
                  <w:szCs w:val="18"/>
                  <w:lang w:val="en-US" w:eastAsia="zh-CN"/>
                </w:rPr>
                <w:delText>新增</w:delText>
              </w:r>
            </w:del>
            <w:ins w:id="1519" w:author="LV" w:date="2026-07-14T16:25:42Z">
              <w:r>
                <w:rPr>
                  <w:rFonts w:hint="eastAsia" w:ascii="仿宋_GB2312" w:hAnsi="宋体" w:eastAsia="仿宋_GB2312" w:cs="仿宋_GB2312"/>
                  <w:sz w:val="18"/>
                  <w:szCs w:val="18"/>
                  <w:lang w:val="en-US" w:eastAsia="zh-CN"/>
                </w:rPr>
                <w:t>6</w:t>
              </w:r>
            </w:ins>
            <w:ins w:id="1520" w:author="LV" w:date="2026-07-14T16:25:43Z">
              <w:r>
                <w:rPr>
                  <w:rFonts w:hint="eastAsia" w:ascii="仿宋_GB2312" w:hAnsi="宋体" w:eastAsia="仿宋_GB2312" w:cs="仿宋_GB2312"/>
                  <w:sz w:val="18"/>
                  <w:szCs w:val="18"/>
                  <w:lang w:val="en-US" w:eastAsia="zh-CN"/>
                </w:rPr>
                <w:t>0</w:t>
              </w:r>
            </w:ins>
          </w:p>
        </w:tc>
        <w:tc>
          <w:tcPr>
            <w:tcW w:w="1005" w:type="dxa"/>
            <w:vMerge w:val="restart"/>
            <w:tcBorders>
              <w:tl2br w:val="nil"/>
              <w:tr2bl w:val="nil"/>
            </w:tcBorders>
            <w:shd w:val="clear" w:color="auto" w:fill="auto"/>
            <w:tcMar>
              <w:top w:w="15" w:type="dxa"/>
              <w:left w:w="15" w:type="dxa"/>
              <w:right w:w="15" w:type="dxa"/>
            </w:tcMar>
            <w:vAlign w:val="center"/>
            <w:tcPrChange w:id="1521" w:author="LV" w:date="2026-07-14T16:25:50Z">
              <w:tcPr>
                <w:tcW w:w="1005" w:type="dxa"/>
                <w:gridSpan w:val="3"/>
                <w:vMerge w:val="restart"/>
                <w:tcBorders>
                  <w:tl2br w:val="nil"/>
                  <w:tr2bl w:val="nil"/>
                </w:tcBorders>
                <w:shd w:val="clear" w:color="auto" w:fill="auto"/>
                <w:tcMar>
                  <w:top w:w="15" w:type="dxa"/>
                  <w:left w:w="15" w:type="dxa"/>
                  <w:right w:w="15" w:type="dxa"/>
                </w:tcMar>
                <w:vAlign w:val="center"/>
              </w:tcPr>
            </w:tcPrChange>
          </w:tcPr>
          <w:p w14:paraId="0FB41542">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sz w:val="18"/>
                <w:szCs w:val="18"/>
                <w:lang w:val="en-US" w:eastAsia="zh-CN"/>
              </w:rPr>
            </w:pPr>
            <w:r>
              <w:rPr>
                <w:rFonts w:hint="eastAsia" w:ascii="仿宋_GB2312" w:hAnsi="宋体" w:eastAsia="仿宋_GB2312" w:cs="仿宋_GB2312"/>
                <w:sz w:val="18"/>
                <w:szCs w:val="18"/>
              </w:rPr>
              <w:t>带式输送机机头、机尾滚筒下风侧未安设烟雾传感器一氧化碳传感器或者失效</w:t>
            </w:r>
            <w:r>
              <w:rPr>
                <w:rFonts w:hint="eastAsia" w:ascii="仿宋_GB2312" w:hAnsi="宋体" w:eastAsia="仿宋_GB2312" w:cs="仿宋_GB2312"/>
                <w:sz w:val="18"/>
                <w:szCs w:val="18"/>
                <w:lang w:val="en-US" w:eastAsia="zh-CN"/>
              </w:rPr>
              <w:t>的</w:t>
            </w:r>
          </w:p>
        </w:tc>
        <w:tc>
          <w:tcPr>
            <w:tcW w:w="3667" w:type="dxa"/>
            <w:vMerge w:val="restart"/>
            <w:tcBorders>
              <w:tl2br w:val="nil"/>
              <w:tr2bl w:val="nil"/>
            </w:tcBorders>
            <w:shd w:val="clear" w:color="auto" w:fill="auto"/>
            <w:tcMar>
              <w:top w:w="15" w:type="dxa"/>
              <w:left w:w="15" w:type="dxa"/>
              <w:right w:w="15" w:type="dxa"/>
            </w:tcMar>
            <w:vAlign w:val="center"/>
            <w:tcPrChange w:id="1522" w:author="LV" w:date="2026-07-14T16:25:50Z">
              <w:tcPr>
                <w:tcW w:w="3667" w:type="dxa"/>
                <w:gridSpan w:val="3"/>
                <w:vMerge w:val="restart"/>
                <w:tcBorders>
                  <w:tl2br w:val="nil"/>
                  <w:tr2bl w:val="nil"/>
                </w:tcBorders>
                <w:shd w:val="clear" w:color="auto" w:fill="auto"/>
                <w:tcMar>
                  <w:top w:w="15" w:type="dxa"/>
                  <w:left w:w="15" w:type="dxa"/>
                  <w:right w:w="15" w:type="dxa"/>
                </w:tcMar>
                <w:vAlign w:val="center"/>
              </w:tcPr>
            </w:tcPrChange>
          </w:tcPr>
          <w:p w14:paraId="43F95A7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《煤矿安全生产条例》第三十六条第</w:t>
            </w:r>
            <w:r>
              <w:rPr>
                <w:rFonts w:hint="eastAsia" w:ascii="仿宋_GB2312" w:hAnsi="宋体" w:eastAsia="仿宋_GB2312" w:cs="仿宋_GB2312"/>
                <w:kern w:val="0"/>
                <w:sz w:val="18"/>
                <w:szCs w:val="18"/>
                <w:lang w:val="en-US" w:eastAsia="zh-CN" w:bidi="ar"/>
              </w:rPr>
              <w:t>十七</w:t>
            </w:r>
            <w:r>
              <w:rPr>
                <w:rFonts w:hint="eastAsia" w:ascii="仿宋_GB2312" w:hAnsi="宋体" w:eastAsia="仿宋_GB2312" w:cs="仿宋_GB2312"/>
                <w:kern w:val="0"/>
                <w:sz w:val="18"/>
                <w:szCs w:val="18"/>
                <w:lang w:bidi="ar"/>
              </w:rPr>
              <w:t>项  煤矿企业有下列情形之一的，属于重大事故隐患，应当立即停止受影响区域生产、建设，并及时消除事故隐患：（十</w:t>
            </w:r>
            <w:r>
              <w:rPr>
                <w:rFonts w:hint="eastAsia" w:ascii="仿宋_GB2312" w:hAnsi="宋体" w:eastAsia="仿宋_GB2312" w:cs="仿宋_GB2312"/>
                <w:kern w:val="0"/>
                <w:sz w:val="18"/>
                <w:szCs w:val="18"/>
                <w:lang w:val="en-US" w:eastAsia="zh-CN" w:bidi="ar"/>
              </w:rPr>
              <w:t>七</w:t>
            </w:r>
            <w:r>
              <w:rPr>
                <w:rFonts w:hint="eastAsia" w:ascii="仿宋_GB2312" w:hAnsi="宋体" w:eastAsia="仿宋_GB2312" w:cs="仿宋_GB2312"/>
                <w:kern w:val="0"/>
                <w:sz w:val="18"/>
                <w:szCs w:val="18"/>
                <w:lang w:bidi="ar"/>
              </w:rPr>
              <w:t>）有其他重大事故隐患的。</w:t>
            </w:r>
          </w:p>
          <w:p w14:paraId="2846B63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《煤矿重大事故隐患判定标准》第</w:t>
            </w:r>
            <w:r>
              <w:rPr>
                <w:rFonts w:hint="eastAsia" w:ascii="仿宋_GB2312" w:hAnsi="宋体" w:eastAsia="仿宋_GB2312" w:cs="仿宋_GB2312"/>
                <w:kern w:val="0"/>
                <w:sz w:val="18"/>
                <w:szCs w:val="18"/>
                <w:lang w:val="en-US" w:eastAsia="zh-CN" w:bidi="ar"/>
              </w:rPr>
              <w:t>二十</w:t>
            </w:r>
            <w:r>
              <w:rPr>
                <w:rFonts w:hint="eastAsia" w:ascii="仿宋_GB2312" w:hAnsi="宋体" w:eastAsia="仿宋_GB2312" w:cs="仿宋_GB2312"/>
                <w:kern w:val="0"/>
                <w:sz w:val="18"/>
                <w:szCs w:val="18"/>
                <w:lang w:bidi="ar"/>
              </w:rPr>
              <w:t>条</w:t>
            </w:r>
            <w:r>
              <w:rPr>
                <w:rFonts w:hint="eastAsia" w:ascii="仿宋_GB2312" w:hAnsi="宋体" w:eastAsia="仿宋_GB2312" w:cs="仿宋_GB2312"/>
                <w:kern w:val="0"/>
                <w:sz w:val="18"/>
                <w:szCs w:val="18"/>
                <w:lang w:val="en-US" w:eastAsia="zh-CN" w:bidi="ar"/>
              </w:rPr>
              <w:t xml:space="preserve">第十一项 </w:t>
            </w:r>
            <w:r>
              <w:rPr>
                <w:rFonts w:hint="eastAsia" w:ascii="仿宋_GB2312" w:hAnsi="宋体" w:eastAsia="仿宋_GB2312" w:cs="仿宋_GB2312"/>
                <w:kern w:val="0"/>
                <w:sz w:val="18"/>
                <w:szCs w:val="18"/>
                <w:lang w:bidi="ar"/>
              </w:rPr>
              <w:t>“其他重大事故隐患”，是指有下列情形之一的</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w:t>
            </w:r>
            <w:r>
              <w:rPr>
                <w:rFonts w:hint="eastAsia" w:ascii="仿宋_GB2312" w:hAnsi="宋体" w:eastAsia="仿宋_GB2312" w:cs="仿宋_GB2312"/>
                <w:kern w:val="0"/>
                <w:sz w:val="18"/>
                <w:szCs w:val="18"/>
                <w:lang w:val="en-US" w:eastAsia="zh-CN" w:bidi="ar"/>
              </w:rPr>
              <w:t>十一</w:t>
            </w:r>
            <w:r>
              <w:rPr>
                <w:rFonts w:hint="eastAsia" w:ascii="仿宋_GB2312" w:hAnsi="宋体" w:eastAsia="仿宋_GB2312" w:cs="仿宋_GB2312"/>
                <w:kern w:val="0"/>
                <w:sz w:val="18"/>
                <w:szCs w:val="18"/>
                <w:lang w:bidi="ar"/>
              </w:rPr>
              <w:t>)带式输送机机头、机尾滚筒下风侧未安设烟雾传感器一氧化碳传感器或者失效。</w:t>
            </w:r>
          </w:p>
        </w:tc>
        <w:tc>
          <w:tcPr>
            <w:tcW w:w="4082" w:type="dxa"/>
            <w:vMerge w:val="restart"/>
            <w:tcBorders>
              <w:tl2br w:val="nil"/>
              <w:tr2bl w:val="nil"/>
            </w:tcBorders>
            <w:shd w:val="clear" w:color="auto" w:fill="auto"/>
            <w:tcMar>
              <w:top w:w="15" w:type="dxa"/>
              <w:left w:w="15" w:type="dxa"/>
              <w:right w:w="15" w:type="dxa"/>
            </w:tcMar>
            <w:vAlign w:val="center"/>
            <w:tcPrChange w:id="1523" w:author="LV" w:date="2026-07-14T16:25:50Z">
              <w:tcPr>
                <w:tcW w:w="4082" w:type="dxa"/>
                <w:gridSpan w:val="3"/>
                <w:vMerge w:val="restart"/>
                <w:tcBorders>
                  <w:tl2br w:val="nil"/>
                  <w:tr2bl w:val="nil"/>
                </w:tcBorders>
                <w:shd w:val="clear" w:color="auto" w:fill="auto"/>
                <w:tcMar>
                  <w:top w:w="15" w:type="dxa"/>
                  <w:left w:w="15" w:type="dxa"/>
                  <w:right w:w="15" w:type="dxa"/>
                </w:tcMar>
                <w:vAlign w:val="center"/>
              </w:tcPr>
            </w:tcPrChange>
          </w:tcPr>
          <w:p w14:paraId="60AF067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《煤矿安全生产条例》第六十四条  对存在重大事故隐患仍然进行生产的煤矿企业，责令停产整顿，明确整顿的内容、时间等具体要求，并处50万元以上200 万元以下的罚款；对煤矿企业主要负责人处3万元以上15万元以下的罚款。</w:t>
            </w:r>
          </w:p>
        </w:tc>
        <w:tc>
          <w:tcPr>
            <w:tcW w:w="459" w:type="dxa"/>
            <w:tcBorders>
              <w:tl2br w:val="nil"/>
              <w:tr2bl w:val="nil"/>
            </w:tcBorders>
            <w:shd w:val="clear" w:color="auto" w:fill="auto"/>
            <w:noWrap/>
            <w:tcMar>
              <w:top w:w="15" w:type="dxa"/>
              <w:left w:w="15" w:type="dxa"/>
              <w:right w:w="15" w:type="dxa"/>
            </w:tcMar>
            <w:vAlign w:val="center"/>
            <w:tcPrChange w:id="1524" w:author="LV" w:date="2026-07-14T16:25:50Z">
              <w:tcPr>
                <w:tcW w:w="459" w:type="dxa"/>
                <w:gridSpan w:val="3"/>
                <w:tcBorders>
                  <w:tl2br w:val="nil"/>
                  <w:tr2bl w:val="nil"/>
                </w:tcBorders>
                <w:shd w:val="clear" w:color="auto" w:fill="auto"/>
                <w:noWrap/>
                <w:tcMar>
                  <w:top w:w="15" w:type="dxa"/>
                  <w:left w:w="15" w:type="dxa"/>
                  <w:right w:w="15" w:type="dxa"/>
                </w:tcMar>
                <w:vAlign w:val="center"/>
              </w:tcPr>
            </w:tcPrChange>
          </w:tcPr>
          <w:p w14:paraId="244DB753">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Change w:id="1525" w:author="LV" w:date="2026-07-14T16:25:50Z">
              <w:tcPr>
                <w:tcW w:w="1829" w:type="dxa"/>
                <w:gridSpan w:val="3"/>
                <w:tcBorders>
                  <w:tl2br w:val="nil"/>
                  <w:tr2bl w:val="nil"/>
                </w:tcBorders>
                <w:shd w:val="clear" w:color="auto" w:fill="auto"/>
                <w:tcMar>
                  <w:top w:w="15" w:type="dxa"/>
                  <w:left w:w="15" w:type="dxa"/>
                  <w:right w:w="15" w:type="dxa"/>
                </w:tcMar>
                <w:vAlign w:val="center"/>
              </w:tcPr>
            </w:tcPrChange>
          </w:tcPr>
          <w:p w14:paraId="6186959D">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Change w:id="1526" w:author="LV" w:date="2026-07-14T16:25:50Z">
              <w:tcPr>
                <w:tcW w:w="2655" w:type="dxa"/>
                <w:gridSpan w:val="3"/>
                <w:tcBorders>
                  <w:tl2br w:val="nil"/>
                  <w:tr2bl w:val="nil"/>
                </w:tcBorders>
                <w:shd w:val="clear" w:color="auto" w:fill="auto"/>
                <w:tcMar>
                  <w:top w:w="15" w:type="dxa"/>
                  <w:left w:w="15" w:type="dxa"/>
                  <w:right w:w="15" w:type="dxa"/>
                </w:tcMar>
                <w:vAlign w:val="center"/>
              </w:tcPr>
            </w:tcPrChange>
          </w:tcPr>
          <w:p w14:paraId="70D1179F">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261E23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1527" w:author="LV" w:date="2026-07-14T16:25:52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wBefore w:w="0" w:type="auto"/>
          <w:trHeight w:val="743" w:hRule="atLeast"/>
          <w:jc w:val="center"/>
          <w:trPrChange w:id="1527" w:author="LV" w:date="2026-07-14T16:25:52Z">
            <w:trPr>
              <w:gridBefore w:val="2"/>
              <w:wBefore w:w="15" w:type="dxa"/>
              <w:trHeight w:val="918" w:hRule="atLeast"/>
              <w:jc w:val="center"/>
            </w:trPr>
          </w:trPrChange>
        </w:trPr>
        <w:tc>
          <w:tcPr>
            <w:tcW w:w="418" w:type="dxa"/>
            <w:vMerge w:val="continue"/>
            <w:tcBorders>
              <w:tl2br w:val="nil"/>
              <w:tr2bl w:val="nil"/>
            </w:tcBorders>
            <w:shd w:val="clear" w:color="auto" w:fill="auto"/>
            <w:noWrap/>
            <w:tcMar>
              <w:top w:w="15" w:type="dxa"/>
              <w:left w:w="15" w:type="dxa"/>
              <w:right w:w="15" w:type="dxa"/>
            </w:tcMar>
            <w:vAlign w:val="center"/>
            <w:tcPrChange w:id="1528" w:author="LV" w:date="2026-07-14T16:25:52Z">
              <w:tcPr>
                <w:tcW w:w="418" w:type="dxa"/>
                <w:gridSpan w:val="3"/>
                <w:vMerge w:val="continue"/>
                <w:tcBorders>
                  <w:tl2br w:val="nil"/>
                  <w:tr2bl w:val="nil"/>
                </w:tcBorders>
                <w:shd w:val="clear" w:color="auto" w:fill="auto"/>
                <w:noWrap/>
                <w:tcMar>
                  <w:top w:w="15" w:type="dxa"/>
                  <w:left w:w="15" w:type="dxa"/>
                  <w:right w:w="15" w:type="dxa"/>
                </w:tcMar>
                <w:vAlign w:val="center"/>
              </w:tcPr>
            </w:tcPrChange>
          </w:tcPr>
          <w:p w14:paraId="2004A62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Change w:id="1529" w:author="LV" w:date="2026-07-14T16:25:52Z">
              <w:tcPr>
                <w:tcW w:w="1005" w:type="dxa"/>
                <w:gridSpan w:val="3"/>
                <w:vMerge w:val="continue"/>
                <w:tcBorders>
                  <w:tl2br w:val="nil"/>
                  <w:tr2bl w:val="nil"/>
                </w:tcBorders>
                <w:shd w:val="clear" w:color="auto" w:fill="auto"/>
                <w:tcMar>
                  <w:top w:w="15" w:type="dxa"/>
                  <w:left w:w="15" w:type="dxa"/>
                  <w:right w:w="15" w:type="dxa"/>
                </w:tcMar>
                <w:vAlign w:val="center"/>
              </w:tcPr>
            </w:tcPrChange>
          </w:tcPr>
          <w:p w14:paraId="2B632AB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Change w:id="1530" w:author="LV" w:date="2026-07-14T16:25:52Z">
              <w:tcPr>
                <w:tcW w:w="3667" w:type="dxa"/>
                <w:gridSpan w:val="3"/>
                <w:vMerge w:val="continue"/>
                <w:tcBorders>
                  <w:tl2br w:val="nil"/>
                  <w:tr2bl w:val="nil"/>
                </w:tcBorders>
                <w:shd w:val="clear" w:color="auto" w:fill="auto"/>
                <w:tcMar>
                  <w:top w:w="15" w:type="dxa"/>
                  <w:left w:w="15" w:type="dxa"/>
                  <w:right w:w="15" w:type="dxa"/>
                </w:tcMar>
                <w:vAlign w:val="center"/>
              </w:tcPr>
            </w:tcPrChange>
          </w:tcPr>
          <w:p w14:paraId="10C8708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Change w:id="1531" w:author="LV" w:date="2026-07-14T16:25:52Z">
              <w:tcPr>
                <w:tcW w:w="4082" w:type="dxa"/>
                <w:gridSpan w:val="3"/>
                <w:vMerge w:val="continue"/>
                <w:tcBorders>
                  <w:tl2br w:val="nil"/>
                  <w:tr2bl w:val="nil"/>
                </w:tcBorders>
                <w:shd w:val="clear" w:color="auto" w:fill="auto"/>
                <w:tcMar>
                  <w:top w:w="15" w:type="dxa"/>
                  <w:left w:w="15" w:type="dxa"/>
                  <w:right w:w="15" w:type="dxa"/>
                </w:tcMar>
                <w:vAlign w:val="center"/>
              </w:tcPr>
            </w:tcPrChange>
          </w:tcPr>
          <w:p w14:paraId="4368654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Change w:id="1532" w:author="LV" w:date="2026-07-14T16:25:52Z">
              <w:tcPr>
                <w:tcW w:w="459" w:type="dxa"/>
                <w:gridSpan w:val="3"/>
                <w:tcBorders>
                  <w:tl2br w:val="nil"/>
                  <w:tr2bl w:val="nil"/>
                </w:tcBorders>
                <w:shd w:val="clear" w:color="auto" w:fill="auto"/>
                <w:noWrap/>
                <w:tcMar>
                  <w:top w:w="15" w:type="dxa"/>
                  <w:left w:w="15" w:type="dxa"/>
                  <w:right w:w="15" w:type="dxa"/>
                </w:tcMar>
                <w:vAlign w:val="center"/>
              </w:tcPr>
            </w:tcPrChange>
          </w:tcPr>
          <w:p w14:paraId="707F6498">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Change w:id="1533" w:author="LV" w:date="2026-07-14T16:25:52Z">
              <w:tcPr>
                <w:tcW w:w="1829" w:type="dxa"/>
                <w:gridSpan w:val="3"/>
                <w:tcBorders>
                  <w:tl2br w:val="nil"/>
                  <w:tr2bl w:val="nil"/>
                </w:tcBorders>
                <w:shd w:val="clear" w:color="auto" w:fill="auto"/>
                <w:tcMar>
                  <w:top w:w="15" w:type="dxa"/>
                  <w:left w:w="15" w:type="dxa"/>
                  <w:right w:w="15" w:type="dxa"/>
                </w:tcMar>
                <w:vAlign w:val="center"/>
              </w:tcPr>
            </w:tcPrChange>
          </w:tcPr>
          <w:p w14:paraId="142D4088">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Change w:id="1534" w:author="LV" w:date="2026-07-14T16:25:52Z">
              <w:tcPr>
                <w:tcW w:w="2655" w:type="dxa"/>
                <w:gridSpan w:val="3"/>
                <w:tcBorders>
                  <w:tl2br w:val="nil"/>
                  <w:tr2bl w:val="nil"/>
                </w:tcBorders>
                <w:shd w:val="clear" w:color="auto" w:fill="auto"/>
                <w:tcMar>
                  <w:top w:w="15" w:type="dxa"/>
                  <w:left w:w="15" w:type="dxa"/>
                  <w:right w:w="15" w:type="dxa"/>
                </w:tcMar>
                <w:vAlign w:val="center"/>
              </w:tcPr>
            </w:tcPrChange>
          </w:tcPr>
          <w:p w14:paraId="64CA78D8">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0D54FF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1535" w:author="LV" w:date="2026-07-14T16:25:54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wBefore w:w="0" w:type="auto"/>
          <w:trHeight w:val="904" w:hRule="atLeast"/>
          <w:jc w:val="center"/>
          <w:trPrChange w:id="1535" w:author="LV" w:date="2026-07-14T16:25:54Z">
            <w:trPr>
              <w:gridBefore w:val="2"/>
              <w:wBefore w:w="15" w:type="dxa"/>
              <w:trHeight w:val="1169" w:hRule="atLeast"/>
              <w:jc w:val="center"/>
            </w:trPr>
          </w:trPrChange>
        </w:trPr>
        <w:tc>
          <w:tcPr>
            <w:tcW w:w="418" w:type="dxa"/>
            <w:vMerge w:val="continue"/>
            <w:tcBorders>
              <w:tl2br w:val="nil"/>
              <w:tr2bl w:val="nil"/>
            </w:tcBorders>
            <w:shd w:val="clear" w:color="auto" w:fill="auto"/>
            <w:noWrap/>
            <w:tcMar>
              <w:top w:w="15" w:type="dxa"/>
              <w:left w:w="15" w:type="dxa"/>
              <w:right w:w="15" w:type="dxa"/>
            </w:tcMar>
            <w:vAlign w:val="center"/>
            <w:tcPrChange w:id="1536" w:author="LV" w:date="2026-07-14T16:25:54Z">
              <w:tcPr>
                <w:tcW w:w="418" w:type="dxa"/>
                <w:gridSpan w:val="3"/>
                <w:vMerge w:val="continue"/>
                <w:tcBorders>
                  <w:tl2br w:val="nil"/>
                  <w:tr2bl w:val="nil"/>
                </w:tcBorders>
                <w:shd w:val="clear" w:color="auto" w:fill="auto"/>
                <w:noWrap/>
                <w:tcMar>
                  <w:top w:w="15" w:type="dxa"/>
                  <w:left w:w="15" w:type="dxa"/>
                  <w:right w:w="15" w:type="dxa"/>
                </w:tcMar>
                <w:vAlign w:val="center"/>
              </w:tcPr>
            </w:tcPrChange>
          </w:tcPr>
          <w:p w14:paraId="24A7176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Change w:id="1537" w:author="LV" w:date="2026-07-14T16:25:54Z">
              <w:tcPr>
                <w:tcW w:w="1005" w:type="dxa"/>
                <w:gridSpan w:val="3"/>
                <w:vMerge w:val="continue"/>
                <w:tcBorders>
                  <w:tl2br w:val="nil"/>
                  <w:tr2bl w:val="nil"/>
                </w:tcBorders>
                <w:shd w:val="clear" w:color="auto" w:fill="auto"/>
                <w:tcMar>
                  <w:top w:w="15" w:type="dxa"/>
                  <w:left w:w="15" w:type="dxa"/>
                  <w:right w:w="15" w:type="dxa"/>
                </w:tcMar>
                <w:vAlign w:val="center"/>
              </w:tcPr>
            </w:tcPrChange>
          </w:tcPr>
          <w:p w14:paraId="6965AC3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Change w:id="1538" w:author="LV" w:date="2026-07-14T16:25:54Z">
              <w:tcPr>
                <w:tcW w:w="3667" w:type="dxa"/>
                <w:gridSpan w:val="3"/>
                <w:vMerge w:val="continue"/>
                <w:tcBorders>
                  <w:tl2br w:val="nil"/>
                  <w:tr2bl w:val="nil"/>
                </w:tcBorders>
                <w:shd w:val="clear" w:color="auto" w:fill="auto"/>
                <w:tcMar>
                  <w:top w:w="15" w:type="dxa"/>
                  <w:left w:w="15" w:type="dxa"/>
                  <w:right w:w="15" w:type="dxa"/>
                </w:tcMar>
                <w:vAlign w:val="center"/>
              </w:tcPr>
            </w:tcPrChange>
          </w:tcPr>
          <w:p w14:paraId="4AF559A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Change w:id="1539" w:author="LV" w:date="2026-07-14T16:25:54Z">
              <w:tcPr>
                <w:tcW w:w="4082" w:type="dxa"/>
                <w:gridSpan w:val="3"/>
                <w:vMerge w:val="continue"/>
                <w:tcBorders>
                  <w:tl2br w:val="nil"/>
                  <w:tr2bl w:val="nil"/>
                </w:tcBorders>
                <w:shd w:val="clear" w:color="auto" w:fill="auto"/>
                <w:tcMar>
                  <w:top w:w="15" w:type="dxa"/>
                  <w:left w:w="15" w:type="dxa"/>
                  <w:right w:w="15" w:type="dxa"/>
                </w:tcMar>
                <w:vAlign w:val="center"/>
              </w:tcPr>
            </w:tcPrChange>
          </w:tcPr>
          <w:p w14:paraId="42D0B34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Change w:id="1540" w:author="LV" w:date="2026-07-14T16:25:54Z">
              <w:tcPr>
                <w:tcW w:w="459" w:type="dxa"/>
                <w:gridSpan w:val="3"/>
                <w:tcBorders>
                  <w:tl2br w:val="nil"/>
                  <w:tr2bl w:val="nil"/>
                </w:tcBorders>
                <w:shd w:val="clear" w:color="auto" w:fill="auto"/>
                <w:noWrap/>
                <w:tcMar>
                  <w:top w:w="15" w:type="dxa"/>
                  <w:left w:w="15" w:type="dxa"/>
                  <w:right w:w="15" w:type="dxa"/>
                </w:tcMar>
                <w:vAlign w:val="center"/>
              </w:tcPr>
            </w:tcPrChange>
          </w:tcPr>
          <w:p w14:paraId="3B0E8C5C">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Change w:id="1541" w:author="LV" w:date="2026-07-14T16:25:54Z">
              <w:tcPr>
                <w:tcW w:w="1829" w:type="dxa"/>
                <w:gridSpan w:val="3"/>
                <w:tcBorders>
                  <w:tl2br w:val="nil"/>
                  <w:tr2bl w:val="nil"/>
                </w:tcBorders>
                <w:shd w:val="clear" w:color="auto" w:fill="auto"/>
                <w:tcMar>
                  <w:top w:w="15" w:type="dxa"/>
                  <w:left w:w="15" w:type="dxa"/>
                  <w:right w:w="15" w:type="dxa"/>
                </w:tcMar>
                <w:vAlign w:val="center"/>
              </w:tcPr>
            </w:tcPrChange>
          </w:tcPr>
          <w:p w14:paraId="6C21585F">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Change w:id="1542" w:author="LV" w:date="2026-07-14T16:25:54Z">
              <w:tcPr>
                <w:tcW w:w="2655" w:type="dxa"/>
                <w:gridSpan w:val="3"/>
                <w:tcBorders>
                  <w:tl2br w:val="nil"/>
                  <w:tr2bl w:val="nil"/>
                </w:tcBorders>
                <w:shd w:val="clear" w:color="auto" w:fill="auto"/>
                <w:tcMar>
                  <w:top w:w="15" w:type="dxa"/>
                  <w:left w:w="15" w:type="dxa"/>
                  <w:right w:w="15" w:type="dxa"/>
                </w:tcMar>
                <w:vAlign w:val="center"/>
              </w:tcPr>
            </w:tcPrChange>
          </w:tcPr>
          <w:p w14:paraId="75B28DD6">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65436F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1543" w:author="LV" w:date="2026-07-14T16:26:01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wBefore w:w="0" w:type="auto"/>
          <w:trHeight w:val="1534" w:hRule="atLeast"/>
          <w:jc w:val="center"/>
          <w:trPrChange w:id="1543" w:author="LV" w:date="2026-07-14T16:26:01Z">
            <w:trPr>
              <w:gridBefore w:val="2"/>
              <w:wBefore w:w="15" w:type="dxa"/>
              <w:trHeight w:val="1964" w:hRule="atLeast"/>
              <w:jc w:val="center"/>
            </w:trPr>
          </w:trPrChange>
        </w:trPr>
        <w:tc>
          <w:tcPr>
            <w:tcW w:w="418" w:type="dxa"/>
            <w:vMerge w:val="continue"/>
            <w:tcBorders>
              <w:tl2br w:val="nil"/>
              <w:tr2bl w:val="nil"/>
            </w:tcBorders>
            <w:shd w:val="clear" w:color="auto" w:fill="auto"/>
            <w:noWrap/>
            <w:tcMar>
              <w:top w:w="15" w:type="dxa"/>
              <w:left w:w="15" w:type="dxa"/>
              <w:right w:w="15" w:type="dxa"/>
            </w:tcMar>
            <w:vAlign w:val="center"/>
            <w:tcPrChange w:id="1544" w:author="LV" w:date="2026-07-14T16:26:01Z">
              <w:tcPr>
                <w:tcW w:w="418" w:type="dxa"/>
                <w:gridSpan w:val="3"/>
                <w:vMerge w:val="continue"/>
                <w:tcBorders>
                  <w:tl2br w:val="nil"/>
                  <w:tr2bl w:val="nil"/>
                </w:tcBorders>
                <w:shd w:val="clear" w:color="auto" w:fill="auto"/>
                <w:noWrap/>
                <w:tcMar>
                  <w:top w:w="15" w:type="dxa"/>
                  <w:left w:w="15" w:type="dxa"/>
                  <w:right w:w="15" w:type="dxa"/>
                </w:tcMar>
                <w:vAlign w:val="center"/>
              </w:tcPr>
            </w:tcPrChange>
          </w:tcPr>
          <w:p w14:paraId="4AFDC0A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Change w:id="1545" w:author="LV" w:date="2026-07-14T16:26:01Z">
              <w:tcPr>
                <w:tcW w:w="1005" w:type="dxa"/>
                <w:gridSpan w:val="3"/>
                <w:vMerge w:val="continue"/>
                <w:tcBorders>
                  <w:tl2br w:val="nil"/>
                  <w:tr2bl w:val="nil"/>
                </w:tcBorders>
                <w:shd w:val="clear" w:color="auto" w:fill="auto"/>
                <w:tcMar>
                  <w:top w:w="15" w:type="dxa"/>
                  <w:left w:w="15" w:type="dxa"/>
                  <w:right w:w="15" w:type="dxa"/>
                </w:tcMar>
                <w:vAlign w:val="center"/>
              </w:tcPr>
            </w:tcPrChange>
          </w:tcPr>
          <w:p w14:paraId="702D3EB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Change w:id="1546" w:author="LV" w:date="2026-07-14T16:26:01Z">
              <w:tcPr>
                <w:tcW w:w="3667" w:type="dxa"/>
                <w:gridSpan w:val="3"/>
                <w:vMerge w:val="continue"/>
                <w:tcBorders>
                  <w:tl2br w:val="nil"/>
                  <w:tr2bl w:val="nil"/>
                </w:tcBorders>
                <w:shd w:val="clear" w:color="auto" w:fill="auto"/>
                <w:tcMar>
                  <w:top w:w="15" w:type="dxa"/>
                  <w:left w:w="15" w:type="dxa"/>
                  <w:right w:w="15" w:type="dxa"/>
                </w:tcMar>
                <w:vAlign w:val="center"/>
              </w:tcPr>
            </w:tcPrChange>
          </w:tcPr>
          <w:p w14:paraId="7B36F1A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Change w:id="1547" w:author="LV" w:date="2026-07-14T16:26:01Z">
              <w:tcPr>
                <w:tcW w:w="4082" w:type="dxa"/>
                <w:gridSpan w:val="3"/>
                <w:vMerge w:val="continue"/>
                <w:tcBorders>
                  <w:tl2br w:val="nil"/>
                  <w:tr2bl w:val="nil"/>
                </w:tcBorders>
                <w:shd w:val="clear" w:color="auto" w:fill="auto"/>
                <w:tcMar>
                  <w:top w:w="15" w:type="dxa"/>
                  <w:left w:w="15" w:type="dxa"/>
                  <w:right w:w="15" w:type="dxa"/>
                </w:tcMar>
                <w:vAlign w:val="center"/>
              </w:tcPr>
            </w:tcPrChange>
          </w:tcPr>
          <w:p w14:paraId="46723FA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Change w:id="1548" w:author="LV" w:date="2026-07-14T16:26:01Z">
              <w:tcPr>
                <w:tcW w:w="459" w:type="dxa"/>
                <w:gridSpan w:val="3"/>
                <w:tcBorders>
                  <w:tl2br w:val="nil"/>
                  <w:tr2bl w:val="nil"/>
                </w:tcBorders>
                <w:shd w:val="clear" w:color="auto" w:fill="auto"/>
                <w:noWrap/>
                <w:tcMar>
                  <w:top w:w="15" w:type="dxa"/>
                  <w:left w:w="15" w:type="dxa"/>
                  <w:right w:w="15" w:type="dxa"/>
                </w:tcMar>
                <w:vAlign w:val="center"/>
              </w:tcPr>
            </w:tcPrChange>
          </w:tcPr>
          <w:p w14:paraId="3480DF0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Change w:id="1549" w:author="LV" w:date="2026-07-14T16:26:01Z">
              <w:tcPr>
                <w:tcW w:w="1829" w:type="dxa"/>
                <w:gridSpan w:val="3"/>
                <w:tcBorders>
                  <w:tl2br w:val="nil"/>
                  <w:tr2bl w:val="nil"/>
                </w:tcBorders>
                <w:shd w:val="clear" w:color="auto" w:fill="auto"/>
                <w:tcMar>
                  <w:top w:w="15" w:type="dxa"/>
                  <w:left w:w="15" w:type="dxa"/>
                  <w:right w:w="15" w:type="dxa"/>
                </w:tcMar>
                <w:vAlign w:val="center"/>
              </w:tcPr>
            </w:tcPrChange>
          </w:tcPr>
          <w:p w14:paraId="320419FA">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sz w:val="18"/>
                <w:szCs w:val="18"/>
                <w:lang w:val="en-US" w:eastAsia="zh-CN"/>
              </w:rPr>
              <w:t>有1处</w:t>
            </w:r>
            <w:r>
              <w:rPr>
                <w:rFonts w:hint="eastAsia" w:ascii="仿宋_GB2312" w:hAnsi="宋体" w:eastAsia="仿宋_GB2312" w:cs="仿宋_GB2312"/>
                <w:sz w:val="18"/>
                <w:szCs w:val="18"/>
              </w:rPr>
              <w:t>带式输送机机头、机尾滚筒下风侧未安设烟雾传感器一氧化碳传感器或者失效</w:t>
            </w:r>
            <w:r>
              <w:rPr>
                <w:rFonts w:hint="eastAsia" w:ascii="仿宋_GB2312" w:hAnsi="宋体" w:eastAsia="仿宋_GB2312" w:cs="仿宋_GB2312"/>
                <w:sz w:val="18"/>
                <w:szCs w:val="18"/>
                <w:lang w:val="en-US" w:eastAsia="zh-CN"/>
              </w:rPr>
              <w:t>的</w:t>
            </w:r>
          </w:p>
        </w:tc>
        <w:tc>
          <w:tcPr>
            <w:tcW w:w="2655" w:type="dxa"/>
            <w:tcBorders>
              <w:tl2br w:val="nil"/>
              <w:tr2bl w:val="nil"/>
            </w:tcBorders>
            <w:shd w:val="clear" w:color="auto" w:fill="auto"/>
            <w:tcMar>
              <w:top w:w="15" w:type="dxa"/>
              <w:left w:w="15" w:type="dxa"/>
              <w:right w:w="15" w:type="dxa"/>
            </w:tcMar>
            <w:vAlign w:val="center"/>
            <w:tcPrChange w:id="1550" w:author="LV" w:date="2026-07-14T16:26:01Z">
              <w:tcPr>
                <w:tcW w:w="2655" w:type="dxa"/>
                <w:gridSpan w:val="3"/>
                <w:tcBorders>
                  <w:tl2br w:val="nil"/>
                  <w:tr2bl w:val="nil"/>
                </w:tcBorders>
                <w:shd w:val="clear" w:color="auto" w:fill="auto"/>
                <w:tcMar>
                  <w:top w:w="15" w:type="dxa"/>
                  <w:left w:w="15" w:type="dxa"/>
                  <w:right w:w="15" w:type="dxa"/>
                </w:tcMar>
                <w:vAlign w:val="center"/>
              </w:tcPr>
            </w:tcPrChange>
          </w:tcPr>
          <w:p w14:paraId="58098BB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责令停产整顿，提出整顿的内容、时间等具体要求，处50万元以上100万元以下的罚款；对煤矿企业负责人处3万元以上5万元以下的罚款。</w:t>
            </w:r>
          </w:p>
        </w:tc>
      </w:tr>
      <w:tr w14:paraId="3E55F7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1551" w:author="LV" w:date="2026-07-14T16:26:05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wBefore w:w="0" w:type="auto"/>
          <w:trHeight w:val="1829" w:hRule="atLeast"/>
          <w:jc w:val="center"/>
          <w:trPrChange w:id="1551" w:author="LV" w:date="2026-07-14T16:26:05Z">
            <w:trPr>
              <w:gridBefore w:val="2"/>
              <w:wBefore w:w="15" w:type="dxa"/>
              <w:trHeight w:val="1964" w:hRule="atLeast"/>
              <w:jc w:val="center"/>
            </w:trPr>
          </w:trPrChange>
        </w:trPr>
        <w:tc>
          <w:tcPr>
            <w:tcW w:w="418" w:type="dxa"/>
            <w:vMerge w:val="continue"/>
            <w:tcBorders>
              <w:tl2br w:val="nil"/>
              <w:tr2bl w:val="nil"/>
            </w:tcBorders>
            <w:shd w:val="clear" w:color="auto" w:fill="auto"/>
            <w:noWrap/>
            <w:tcMar>
              <w:top w:w="15" w:type="dxa"/>
              <w:left w:w="15" w:type="dxa"/>
              <w:right w:w="15" w:type="dxa"/>
            </w:tcMar>
            <w:vAlign w:val="center"/>
            <w:tcPrChange w:id="1552" w:author="LV" w:date="2026-07-14T16:26:05Z">
              <w:tcPr>
                <w:tcW w:w="418" w:type="dxa"/>
                <w:gridSpan w:val="3"/>
                <w:vMerge w:val="continue"/>
                <w:tcBorders>
                  <w:tl2br w:val="nil"/>
                  <w:tr2bl w:val="nil"/>
                </w:tcBorders>
                <w:shd w:val="clear" w:color="auto" w:fill="auto"/>
                <w:noWrap/>
                <w:tcMar>
                  <w:top w:w="15" w:type="dxa"/>
                  <w:left w:w="15" w:type="dxa"/>
                  <w:right w:w="15" w:type="dxa"/>
                </w:tcMar>
                <w:vAlign w:val="center"/>
              </w:tcPr>
            </w:tcPrChange>
          </w:tcPr>
          <w:p w14:paraId="30891FD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Change w:id="1553" w:author="LV" w:date="2026-07-14T16:26:05Z">
              <w:tcPr>
                <w:tcW w:w="1005" w:type="dxa"/>
                <w:gridSpan w:val="3"/>
                <w:vMerge w:val="continue"/>
                <w:tcBorders>
                  <w:tl2br w:val="nil"/>
                  <w:tr2bl w:val="nil"/>
                </w:tcBorders>
                <w:shd w:val="clear" w:color="auto" w:fill="auto"/>
                <w:tcMar>
                  <w:top w:w="15" w:type="dxa"/>
                  <w:left w:w="15" w:type="dxa"/>
                  <w:right w:w="15" w:type="dxa"/>
                </w:tcMar>
                <w:vAlign w:val="center"/>
              </w:tcPr>
            </w:tcPrChange>
          </w:tcPr>
          <w:p w14:paraId="1676281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Change w:id="1554" w:author="LV" w:date="2026-07-14T16:26:05Z">
              <w:tcPr>
                <w:tcW w:w="3667" w:type="dxa"/>
                <w:gridSpan w:val="3"/>
                <w:vMerge w:val="continue"/>
                <w:tcBorders>
                  <w:tl2br w:val="nil"/>
                  <w:tr2bl w:val="nil"/>
                </w:tcBorders>
                <w:shd w:val="clear" w:color="auto" w:fill="auto"/>
                <w:tcMar>
                  <w:top w:w="15" w:type="dxa"/>
                  <w:left w:w="15" w:type="dxa"/>
                  <w:right w:w="15" w:type="dxa"/>
                </w:tcMar>
                <w:vAlign w:val="center"/>
              </w:tcPr>
            </w:tcPrChange>
          </w:tcPr>
          <w:p w14:paraId="6508DDB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Change w:id="1555" w:author="LV" w:date="2026-07-14T16:26:05Z">
              <w:tcPr>
                <w:tcW w:w="4082" w:type="dxa"/>
                <w:gridSpan w:val="3"/>
                <w:vMerge w:val="continue"/>
                <w:tcBorders>
                  <w:tl2br w:val="nil"/>
                  <w:tr2bl w:val="nil"/>
                </w:tcBorders>
                <w:shd w:val="clear" w:color="auto" w:fill="auto"/>
                <w:tcMar>
                  <w:top w:w="15" w:type="dxa"/>
                  <w:left w:w="15" w:type="dxa"/>
                  <w:right w:w="15" w:type="dxa"/>
                </w:tcMar>
                <w:vAlign w:val="center"/>
              </w:tcPr>
            </w:tcPrChange>
          </w:tcPr>
          <w:p w14:paraId="1441D6E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Change w:id="1556" w:author="LV" w:date="2026-07-14T16:26:05Z">
              <w:tcPr>
                <w:tcW w:w="459" w:type="dxa"/>
                <w:gridSpan w:val="3"/>
                <w:tcBorders>
                  <w:tl2br w:val="nil"/>
                  <w:tr2bl w:val="nil"/>
                </w:tcBorders>
                <w:shd w:val="clear" w:color="auto" w:fill="auto"/>
                <w:noWrap/>
                <w:tcMar>
                  <w:top w:w="15" w:type="dxa"/>
                  <w:left w:w="15" w:type="dxa"/>
                  <w:right w:w="15" w:type="dxa"/>
                </w:tcMar>
                <w:vAlign w:val="center"/>
              </w:tcPr>
            </w:tcPrChange>
          </w:tcPr>
          <w:p w14:paraId="2D32BE2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Change w:id="1557" w:author="LV" w:date="2026-07-14T16:26:05Z">
              <w:tcPr>
                <w:tcW w:w="1829" w:type="dxa"/>
                <w:gridSpan w:val="3"/>
                <w:tcBorders>
                  <w:tl2br w:val="nil"/>
                  <w:tr2bl w:val="nil"/>
                </w:tcBorders>
                <w:shd w:val="clear" w:color="auto" w:fill="auto"/>
                <w:tcMar>
                  <w:top w:w="15" w:type="dxa"/>
                  <w:left w:w="15" w:type="dxa"/>
                  <w:right w:w="15" w:type="dxa"/>
                </w:tcMar>
                <w:vAlign w:val="center"/>
              </w:tcPr>
            </w:tcPrChange>
          </w:tcPr>
          <w:p w14:paraId="77386D23">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sz w:val="18"/>
                <w:szCs w:val="18"/>
                <w:lang w:val="en-US" w:eastAsia="zh-CN"/>
              </w:rPr>
              <w:t>有2处</w:t>
            </w:r>
            <w:r>
              <w:rPr>
                <w:rFonts w:hint="eastAsia" w:ascii="仿宋_GB2312" w:hAnsi="宋体" w:eastAsia="仿宋_GB2312" w:cs="仿宋_GB2312"/>
                <w:sz w:val="18"/>
                <w:szCs w:val="18"/>
              </w:rPr>
              <w:t>带式输送机机头、机尾滚筒下风侧未安设烟雾传感器一氧化碳传感器或者失效</w:t>
            </w:r>
            <w:r>
              <w:rPr>
                <w:rFonts w:hint="eastAsia" w:ascii="仿宋_GB2312" w:hAnsi="宋体" w:eastAsia="仿宋_GB2312" w:cs="仿宋_GB2312"/>
                <w:sz w:val="18"/>
                <w:szCs w:val="18"/>
                <w:lang w:val="en-US" w:eastAsia="zh-CN"/>
              </w:rPr>
              <w:t>的</w:t>
            </w:r>
          </w:p>
        </w:tc>
        <w:tc>
          <w:tcPr>
            <w:tcW w:w="2655" w:type="dxa"/>
            <w:tcBorders>
              <w:tl2br w:val="nil"/>
              <w:tr2bl w:val="nil"/>
            </w:tcBorders>
            <w:shd w:val="clear" w:color="auto" w:fill="auto"/>
            <w:tcMar>
              <w:top w:w="15" w:type="dxa"/>
              <w:left w:w="15" w:type="dxa"/>
              <w:right w:w="15" w:type="dxa"/>
            </w:tcMar>
            <w:vAlign w:val="center"/>
            <w:tcPrChange w:id="1558" w:author="LV" w:date="2026-07-14T16:26:05Z">
              <w:tcPr>
                <w:tcW w:w="2655" w:type="dxa"/>
                <w:gridSpan w:val="3"/>
                <w:tcBorders>
                  <w:tl2br w:val="nil"/>
                  <w:tr2bl w:val="nil"/>
                </w:tcBorders>
                <w:shd w:val="clear" w:color="auto" w:fill="auto"/>
                <w:tcMar>
                  <w:top w:w="15" w:type="dxa"/>
                  <w:left w:w="15" w:type="dxa"/>
                  <w:right w:w="15" w:type="dxa"/>
                </w:tcMar>
                <w:vAlign w:val="center"/>
              </w:tcPr>
            </w:tcPrChange>
          </w:tcPr>
          <w:p w14:paraId="2E2CD7D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责令停产整顿，提出整顿的内容、时间等具体要求，处100万元以上150万元以下的罚款；对煤矿企业负责人处5万元以上10万元以下的罚款。</w:t>
            </w:r>
          </w:p>
        </w:tc>
      </w:tr>
      <w:tr w14:paraId="5506F0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6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CF3E26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1E56EA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EF8E8F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A3A3EA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4ED724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6B345C5A">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sz w:val="18"/>
                <w:szCs w:val="18"/>
                <w:lang w:val="en-US" w:eastAsia="zh-CN"/>
              </w:rPr>
              <w:t>有3处及以上</w:t>
            </w:r>
            <w:r>
              <w:rPr>
                <w:rFonts w:hint="eastAsia" w:ascii="仿宋_GB2312" w:hAnsi="宋体" w:eastAsia="仿宋_GB2312" w:cs="仿宋_GB2312"/>
                <w:sz w:val="18"/>
                <w:szCs w:val="18"/>
              </w:rPr>
              <w:t>带式输送机机头、机尾滚筒下风侧未安设烟雾传感器一氧化碳传感器或者失效</w:t>
            </w:r>
            <w:r>
              <w:rPr>
                <w:rFonts w:hint="eastAsia" w:ascii="仿宋_GB2312" w:hAnsi="宋体" w:eastAsia="仿宋_GB2312" w:cs="仿宋_GB2312"/>
                <w:sz w:val="18"/>
                <w:szCs w:val="18"/>
                <w:lang w:val="en-US" w:eastAsia="zh-CN"/>
              </w:rPr>
              <w:t>的</w:t>
            </w:r>
          </w:p>
        </w:tc>
        <w:tc>
          <w:tcPr>
            <w:tcW w:w="2655" w:type="dxa"/>
            <w:tcBorders>
              <w:tl2br w:val="nil"/>
              <w:tr2bl w:val="nil"/>
            </w:tcBorders>
            <w:shd w:val="clear" w:color="auto" w:fill="auto"/>
            <w:tcMar>
              <w:top w:w="15" w:type="dxa"/>
              <w:left w:w="15" w:type="dxa"/>
              <w:right w:w="15" w:type="dxa"/>
            </w:tcMar>
            <w:vAlign w:val="center"/>
          </w:tcPr>
          <w:p w14:paraId="33E3DB1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责令停产整顿，提出整顿的内容、时间等具体要求，处150万元以上200万元以下的罚款；对煤矿企业负责人处10万元以上15万元以下的罚款。</w:t>
            </w:r>
          </w:p>
        </w:tc>
      </w:tr>
      <w:tr w14:paraId="3490D1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1"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4886DF5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hint="default" w:ascii="仿宋_GB2312" w:hAnsi="宋体" w:eastAsia="仿宋_GB2312" w:cs="仿宋_GB2312"/>
                <w:sz w:val="18"/>
                <w:szCs w:val="18"/>
                <w:lang w:val="en-US" w:eastAsia="zh-CN"/>
              </w:rPr>
            </w:pPr>
            <w:del w:id="1559" w:author="LV" w:date="2026-07-14T16:26:15Z">
              <w:r>
                <w:rPr>
                  <w:rFonts w:hint="default" w:ascii="仿宋_GB2312" w:hAnsi="宋体" w:eastAsia="仿宋_GB2312" w:cs="仿宋_GB2312"/>
                  <w:sz w:val="18"/>
                  <w:szCs w:val="18"/>
                  <w:lang w:val="en-US" w:eastAsia="zh-CN"/>
                </w:rPr>
                <w:delText>增加</w:delText>
              </w:r>
            </w:del>
            <w:ins w:id="1560" w:author="LV" w:date="2026-07-14T16:26:15Z">
              <w:r>
                <w:rPr>
                  <w:rFonts w:hint="eastAsia" w:ascii="仿宋_GB2312" w:hAnsi="宋体" w:eastAsia="仿宋_GB2312" w:cs="仿宋_GB2312"/>
                  <w:sz w:val="18"/>
                  <w:szCs w:val="18"/>
                  <w:lang w:val="en-US" w:eastAsia="zh-CN"/>
                </w:rPr>
                <w:t>61</w:t>
              </w:r>
            </w:ins>
          </w:p>
        </w:tc>
        <w:tc>
          <w:tcPr>
            <w:tcW w:w="1005" w:type="dxa"/>
            <w:vMerge w:val="restart"/>
            <w:tcBorders>
              <w:tl2br w:val="nil"/>
              <w:tr2bl w:val="nil"/>
            </w:tcBorders>
            <w:shd w:val="clear" w:color="auto" w:fill="auto"/>
            <w:tcMar>
              <w:top w:w="15" w:type="dxa"/>
              <w:left w:w="15" w:type="dxa"/>
              <w:right w:w="15" w:type="dxa"/>
            </w:tcMar>
            <w:vAlign w:val="center"/>
          </w:tcPr>
          <w:p w14:paraId="1D86796A">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sz w:val="18"/>
                <w:szCs w:val="18"/>
                <w:lang w:val="en-US" w:eastAsia="zh-CN"/>
              </w:rPr>
            </w:pPr>
            <w:r>
              <w:rPr>
                <w:rFonts w:hint="eastAsia" w:ascii="仿宋_GB2312" w:hAnsi="宋体" w:eastAsia="仿宋_GB2312" w:cs="仿宋_GB2312"/>
                <w:sz w:val="18"/>
                <w:szCs w:val="18"/>
              </w:rPr>
              <w:t>掘进工作面前方老巷、老空情况不明盲目掘进作业</w:t>
            </w:r>
            <w:r>
              <w:rPr>
                <w:rFonts w:hint="eastAsia" w:ascii="仿宋_GB2312" w:hAnsi="宋体" w:eastAsia="仿宋_GB2312" w:cs="仿宋_GB2312"/>
                <w:sz w:val="18"/>
                <w:szCs w:val="18"/>
                <w:lang w:val="en-US" w:eastAsia="zh-CN"/>
              </w:rPr>
              <w:t>的</w:t>
            </w:r>
          </w:p>
        </w:tc>
        <w:tc>
          <w:tcPr>
            <w:tcW w:w="3667" w:type="dxa"/>
            <w:vMerge w:val="restart"/>
            <w:tcBorders>
              <w:tl2br w:val="nil"/>
              <w:tr2bl w:val="nil"/>
            </w:tcBorders>
            <w:shd w:val="clear" w:color="auto" w:fill="auto"/>
            <w:tcMar>
              <w:top w:w="15" w:type="dxa"/>
              <w:left w:w="15" w:type="dxa"/>
              <w:right w:w="15" w:type="dxa"/>
            </w:tcMar>
            <w:vAlign w:val="center"/>
          </w:tcPr>
          <w:p w14:paraId="0086B9D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《煤矿安全生产条例》第三十六条第</w:t>
            </w:r>
            <w:r>
              <w:rPr>
                <w:rFonts w:hint="eastAsia" w:ascii="仿宋_GB2312" w:hAnsi="宋体" w:eastAsia="仿宋_GB2312" w:cs="仿宋_GB2312"/>
                <w:kern w:val="0"/>
                <w:sz w:val="18"/>
                <w:szCs w:val="18"/>
                <w:lang w:val="en-US" w:eastAsia="zh-CN" w:bidi="ar"/>
              </w:rPr>
              <w:t>十七</w:t>
            </w:r>
            <w:r>
              <w:rPr>
                <w:rFonts w:hint="eastAsia" w:ascii="仿宋_GB2312" w:hAnsi="宋体" w:eastAsia="仿宋_GB2312" w:cs="仿宋_GB2312"/>
                <w:kern w:val="0"/>
                <w:sz w:val="18"/>
                <w:szCs w:val="18"/>
                <w:lang w:bidi="ar"/>
              </w:rPr>
              <w:t>项  煤矿企业有下列情形之一的，属于重大事故隐患，应当立即停止受影响区域生产、建设，并及时消除事故隐患：（十</w:t>
            </w:r>
            <w:r>
              <w:rPr>
                <w:rFonts w:hint="eastAsia" w:ascii="仿宋_GB2312" w:hAnsi="宋体" w:eastAsia="仿宋_GB2312" w:cs="仿宋_GB2312"/>
                <w:kern w:val="0"/>
                <w:sz w:val="18"/>
                <w:szCs w:val="18"/>
                <w:lang w:val="en-US" w:eastAsia="zh-CN" w:bidi="ar"/>
              </w:rPr>
              <w:t>七</w:t>
            </w:r>
            <w:r>
              <w:rPr>
                <w:rFonts w:hint="eastAsia" w:ascii="仿宋_GB2312" w:hAnsi="宋体" w:eastAsia="仿宋_GB2312" w:cs="仿宋_GB2312"/>
                <w:kern w:val="0"/>
                <w:sz w:val="18"/>
                <w:szCs w:val="18"/>
                <w:lang w:bidi="ar"/>
              </w:rPr>
              <w:t>）有其他重大事故隐患的。</w:t>
            </w:r>
          </w:p>
          <w:p w14:paraId="264ECE5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《煤矿重大事故隐患判定标准》第</w:t>
            </w:r>
            <w:r>
              <w:rPr>
                <w:rFonts w:hint="eastAsia" w:ascii="仿宋_GB2312" w:hAnsi="宋体" w:eastAsia="仿宋_GB2312" w:cs="仿宋_GB2312"/>
                <w:kern w:val="0"/>
                <w:sz w:val="18"/>
                <w:szCs w:val="18"/>
                <w:lang w:val="en-US" w:eastAsia="zh-CN" w:bidi="ar"/>
              </w:rPr>
              <w:t>二十</w:t>
            </w:r>
            <w:r>
              <w:rPr>
                <w:rFonts w:hint="eastAsia" w:ascii="仿宋_GB2312" w:hAnsi="宋体" w:eastAsia="仿宋_GB2312" w:cs="仿宋_GB2312"/>
                <w:kern w:val="0"/>
                <w:sz w:val="18"/>
                <w:szCs w:val="18"/>
                <w:lang w:bidi="ar"/>
              </w:rPr>
              <w:t>条</w:t>
            </w:r>
            <w:r>
              <w:rPr>
                <w:rFonts w:hint="eastAsia" w:ascii="仿宋_GB2312" w:hAnsi="宋体" w:eastAsia="仿宋_GB2312" w:cs="仿宋_GB2312"/>
                <w:kern w:val="0"/>
                <w:sz w:val="18"/>
                <w:szCs w:val="18"/>
                <w:lang w:val="en-US" w:eastAsia="zh-CN" w:bidi="ar"/>
              </w:rPr>
              <w:t xml:space="preserve">第十二项 </w:t>
            </w:r>
            <w:r>
              <w:rPr>
                <w:rFonts w:hint="eastAsia" w:ascii="仿宋_GB2312" w:hAnsi="宋体" w:eastAsia="仿宋_GB2312" w:cs="仿宋_GB2312"/>
                <w:kern w:val="0"/>
                <w:sz w:val="18"/>
                <w:szCs w:val="18"/>
                <w:lang w:bidi="ar"/>
              </w:rPr>
              <w:t>“其他重大事故隐患”，是指有下列情形之一的</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w:t>
            </w:r>
            <w:r>
              <w:rPr>
                <w:rFonts w:hint="eastAsia" w:ascii="仿宋_GB2312" w:hAnsi="宋体" w:eastAsia="仿宋_GB2312" w:cs="仿宋_GB2312"/>
                <w:kern w:val="0"/>
                <w:sz w:val="18"/>
                <w:szCs w:val="18"/>
                <w:lang w:val="en-US" w:eastAsia="zh-CN" w:bidi="ar"/>
              </w:rPr>
              <w:t>十二</w:t>
            </w:r>
            <w:r>
              <w:rPr>
                <w:rFonts w:hint="eastAsia" w:ascii="仿宋_GB2312" w:hAnsi="宋体" w:eastAsia="仿宋_GB2312" w:cs="仿宋_GB2312"/>
                <w:kern w:val="0"/>
                <w:sz w:val="18"/>
                <w:szCs w:val="18"/>
                <w:lang w:bidi="ar"/>
              </w:rPr>
              <w:t>)掘进工作面前方老巷、老空情况不明盲目掘进作业。</w:t>
            </w:r>
          </w:p>
        </w:tc>
        <w:tc>
          <w:tcPr>
            <w:tcW w:w="4082" w:type="dxa"/>
            <w:vMerge w:val="restart"/>
            <w:tcBorders>
              <w:tl2br w:val="nil"/>
              <w:tr2bl w:val="nil"/>
            </w:tcBorders>
            <w:shd w:val="clear" w:color="auto" w:fill="auto"/>
            <w:tcMar>
              <w:top w:w="15" w:type="dxa"/>
              <w:left w:w="15" w:type="dxa"/>
              <w:right w:w="15" w:type="dxa"/>
            </w:tcMar>
            <w:vAlign w:val="center"/>
          </w:tcPr>
          <w:p w14:paraId="1D9AAA5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《煤矿安全生产条例》第六十四条  对存在重大事故隐患仍然进行生产的煤矿企业，责令停产整顿，明确整顿的内容、时间等具体要求，并处50万元以上200 万元以下的罚款；对煤矿企业主要负责人处3万元以上15万元以下的罚款。</w:t>
            </w:r>
          </w:p>
        </w:tc>
        <w:tc>
          <w:tcPr>
            <w:tcW w:w="459" w:type="dxa"/>
            <w:tcBorders>
              <w:tl2br w:val="nil"/>
              <w:tr2bl w:val="nil"/>
            </w:tcBorders>
            <w:shd w:val="clear" w:color="auto" w:fill="auto"/>
            <w:noWrap/>
            <w:tcMar>
              <w:top w:w="15" w:type="dxa"/>
              <w:left w:w="15" w:type="dxa"/>
              <w:right w:w="15" w:type="dxa"/>
            </w:tcMar>
            <w:vAlign w:val="center"/>
          </w:tcPr>
          <w:p w14:paraId="316C75D6">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761CBBF3">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3035A39">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261832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2"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E6B43B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0E8F45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5E0110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F7E8F8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D975259">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129F70A8">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13CF1A03">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4ED5B8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854A3A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BA31D3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CC574E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DF8F8A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AB3D6A1">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6C147128">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A8F2B8A">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019CB8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DBE432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5A7965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2CDECA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115D61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0A2A56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371C8CAA">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掘进工作面前方老巷、情况不明</w:t>
            </w:r>
            <w:r>
              <w:rPr>
                <w:rFonts w:hint="eastAsia" w:ascii="仿宋_GB2312" w:hAnsi="宋体" w:eastAsia="仿宋_GB2312" w:cs="仿宋_GB2312"/>
                <w:kern w:val="0"/>
                <w:sz w:val="18"/>
                <w:szCs w:val="18"/>
                <w:lang w:val="en-US" w:eastAsia="zh-CN" w:bidi="ar"/>
              </w:rPr>
              <w:t>，</w:t>
            </w:r>
            <w:r>
              <w:rPr>
                <w:rFonts w:hint="eastAsia" w:ascii="仿宋_GB2312" w:hAnsi="宋体" w:eastAsia="仿宋_GB2312" w:cs="仿宋_GB2312"/>
                <w:kern w:val="0"/>
                <w:sz w:val="18"/>
                <w:szCs w:val="18"/>
                <w:lang w:bidi="ar"/>
              </w:rPr>
              <w:t>盲目掘进作业</w:t>
            </w:r>
          </w:p>
        </w:tc>
        <w:tc>
          <w:tcPr>
            <w:tcW w:w="2655" w:type="dxa"/>
            <w:tcBorders>
              <w:tl2br w:val="nil"/>
              <w:tr2bl w:val="nil"/>
            </w:tcBorders>
            <w:shd w:val="clear" w:color="auto" w:fill="auto"/>
            <w:tcMar>
              <w:top w:w="15" w:type="dxa"/>
              <w:left w:w="15" w:type="dxa"/>
              <w:right w:w="15" w:type="dxa"/>
            </w:tcMar>
            <w:vAlign w:val="center"/>
          </w:tcPr>
          <w:p w14:paraId="62C5994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责令停产整顿，提出整顿的内容、时间等具体要求，处50万元以上100万元以下的罚款；对煤矿企业负责人处3万元以上5万元以下的罚款。</w:t>
            </w:r>
          </w:p>
        </w:tc>
      </w:tr>
      <w:tr w14:paraId="5B3735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3"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792B68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547A34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C3E42F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3C9304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263084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617C1312">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掘进工作面前方老空情况不明</w:t>
            </w:r>
            <w:r>
              <w:rPr>
                <w:rFonts w:hint="eastAsia" w:ascii="仿宋_GB2312" w:hAnsi="宋体" w:eastAsia="仿宋_GB2312" w:cs="仿宋_GB2312"/>
                <w:kern w:val="0"/>
                <w:sz w:val="18"/>
                <w:szCs w:val="18"/>
                <w:lang w:val="en-US" w:eastAsia="zh-CN" w:bidi="ar"/>
              </w:rPr>
              <w:t>，</w:t>
            </w:r>
            <w:r>
              <w:rPr>
                <w:rFonts w:hint="eastAsia" w:ascii="仿宋_GB2312" w:hAnsi="宋体" w:eastAsia="仿宋_GB2312" w:cs="仿宋_GB2312"/>
                <w:kern w:val="0"/>
                <w:sz w:val="18"/>
                <w:szCs w:val="18"/>
                <w:lang w:bidi="ar"/>
              </w:rPr>
              <w:t>盲目掘进作业</w:t>
            </w:r>
          </w:p>
        </w:tc>
        <w:tc>
          <w:tcPr>
            <w:tcW w:w="2655" w:type="dxa"/>
            <w:tcBorders>
              <w:tl2br w:val="nil"/>
              <w:tr2bl w:val="nil"/>
            </w:tcBorders>
            <w:shd w:val="clear" w:color="auto" w:fill="auto"/>
            <w:tcMar>
              <w:top w:w="15" w:type="dxa"/>
              <w:left w:w="15" w:type="dxa"/>
              <w:right w:w="15" w:type="dxa"/>
            </w:tcMar>
            <w:vAlign w:val="center"/>
          </w:tcPr>
          <w:p w14:paraId="0667753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责令停产整顿，提出整顿的内容、时间等具体要求，处100万元以上150万元以下的罚款；对煤矿企业负责人处5万元以上10万元以下的罚款。</w:t>
            </w:r>
          </w:p>
        </w:tc>
      </w:tr>
      <w:tr w14:paraId="085B79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86855A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C005AE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BCF889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E8CA17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4DFAD4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422E950B">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掘进工作面前方老巷、老空情况</w:t>
            </w:r>
            <w:r>
              <w:rPr>
                <w:rFonts w:hint="eastAsia" w:ascii="仿宋_GB2312" w:hAnsi="宋体" w:eastAsia="仿宋_GB2312" w:cs="仿宋_GB2312"/>
                <w:kern w:val="0"/>
                <w:sz w:val="18"/>
                <w:szCs w:val="18"/>
                <w:lang w:val="en-US" w:eastAsia="zh-CN" w:bidi="ar"/>
              </w:rPr>
              <w:t>均</w:t>
            </w:r>
            <w:r>
              <w:rPr>
                <w:rFonts w:hint="eastAsia" w:ascii="仿宋_GB2312" w:hAnsi="宋体" w:eastAsia="仿宋_GB2312" w:cs="仿宋_GB2312"/>
                <w:kern w:val="0"/>
                <w:sz w:val="18"/>
                <w:szCs w:val="18"/>
                <w:lang w:bidi="ar"/>
              </w:rPr>
              <w:t>不明</w:t>
            </w:r>
            <w:r>
              <w:rPr>
                <w:rFonts w:hint="eastAsia" w:ascii="仿宋_GB2312" w:hAnsi="宋体" w:eastAsia="仿宋_GB2312" w:cs="仿宋_GB2312"/>
                <w:kern w:val="0"/>
                <w:sz w:val="18"/>
                <w:szCs w:val="18"/>
                <w:lang w:val="en-US" w:eastAsia="zh-CN" w:bidi="ar"/>
              </w:rPr>
              <w:t>，</w:t>
            </w:r>
            <w:r>
              <w:rPr>
                <w:rFonts w:hint="eastAsia" w:ascii="仿宋_GB2312" w:hAnsi="宋体" w:eastAsia="仿宋_GB2312" w:cs="仿宋_GB2312"/>
                <w:kern w:val="0"/>
                <w:sz w:val="18"/>
                <w:szCs w:val="18"/>
                <w:lang w:bidi="ar"/>
              </w:rPr>
              <w:t>盲目掘进作业</w:t>
            </w:r>
          </w:p>
        </w:tc>
        <w:tc>
          <w:tcPr>
            <w:tcW w:w="2655" w:type="dxa"/>
            <w:tcBorders>
              <w:tl2br w:val="nil"/>
              <w:tr2bl w:val="nil"/>
            </w:tcBorders>
            <w:shd w:val="clear" w:color="auto" w:fill="auto"/>
            <w:tcMar>
              <w:top w:w="15" w:type="dxa"/>
              <w:left w:w="15" w:type="dxa"/>
              <w:right w:w="15" w:type="dxa"/>
            </w:tcMar>
            <w:vAlign w:val="center"/>
          </w:tcPr>
          <w:p w14:paraId="1AFA6837">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1561" w:author="LV" w:date="2026-07-14T16:26:27Z"/>
                <w:rFonts w:hint="eastAsia" w:ascii="仿宋_GB2312" w:hAnsi="宋体" w:eastAsia="仿宋_GB2312" w:cs="仿宋_GB2312"/>
                <w:kern w:val="0"/>
                <w:sz w:val="18"/>
                <w:szCs w:val="18"/>
                <w:lang w:bidi="ar"/>
              </w:rPr>
            </w:pPr>
          </w:p>
          <w:p w14:paraId="62FE78D1">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1562" w:author="LV" w:date="2026-07-14T16:26:23Z"/>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责令停产整顿，提出整顿的内容、时间等具体要求，处150万元以上200万元以下的罚款；对煤矿企业负责人处10万元以上15万元以下的罚款。</w:t>
            </w:r>
          </w:p>
          <w:p w14:paraId="216605F5">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1563" w:author="LV" w:date="2026-07-14T16:26:35Z"/>
                <w:rFonts w:hint="eastAsia" w:ascii="仿宋_GB2312" w:hAnsi="宋体" w:eastAsia="仿宋_GB2312" w:cs="仿宋_GB2312"/>
                <w:kern w:val="0"/>
                <w:sz w:val="18"/>
                <w:szCs w:val="18"/>
                <w:lang w:val="en-US" w:eastAsia="zh-CN" w:bidi="ar"/>
              </w:rPr>
            </w:pPr>
          </w:p>
          <w:p w14:paraId="3F1B837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val="en-US" w:eastAsia="zh-CN" w:bidi="ar"/>
              </w:rPr>
            </w:pPr>
          </w:p>
        </w:tc>
      </w:tr>
      <w:tr w14:paraId="3A6442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3"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30276A6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hint="default" w:ascii="仿宋_GB2312" w:hAnsi="宋体" w:eastAsia="仿宋_GB2312" w:cs="仿宋_GB2312"/>
                <w:sz w:val="18"/>
                <w:szCs w:val="18"/>
                <w:lang w:val="en-US" w:eastAsia="zh-CN"/>
              </w:rPr>
            </w:pPr>
            <w:del w:id="1564" w:author="LV" w:date="2026-07-14T16:26:53Z">
              <w:r>
                <w:rPr>
                  <w:rFonts w:hint="default" w:ascii="仿宋_GB2312" w:hAnsi="宋体" w:eastAsia="仿宋_GB2312" w:cs="仿宋_GB2312"/>
                  <w:sz w:val="18"/>
                  <w:szCs w:val="18"/>
                  <w:lang w:val="en-US" w:eastAsia="zh-CN"/>
                </w:rPr>
                <w:delText>增加</w:delText>
              </w:r>
            </w:del>
            <w:ins w:id="1565" w:author="LV" w:date="2026-07-14T16:26:53Z">
              <w:r>
                <w:rPr>
                  <w:rFonts w:hint="eastAsia" w:ascii="仿宋_GB2312" w:hAnsi="宋体" w:eastAsia="仿宋_GB2312" w:cs="仿宋_GB2312"/>
                  <w:sz w:val="18"/>
                  <w:szCs w:val="18"/>
                  <w:lang w:val="en-US" w:eastAsia="zh-CN"/>
                </w:rPr>
                <w:t>62</w:t>
              </w:r>
            </w:ins>
          </w:p>
        </w:tc>
        <w:tc>
          <w:tcPr>
            <w:tcW w:w="1005" w:type="dxa"/>
            <w:vMerge w:val="restart"/>
            <w:tcBorders>
              <w:tl2br w:val="nil"/>
              <w:tr2bl w:val="nil"/>
            </w:tcBorders>
            <w:shd w:val="clear" w:color="auto" w:fill="auto"/>
            <w:tcMar>
              <w:top w:w="15" w:type="dxa"/>
              <w:left w:w="15" w:type="dxa"/>
              <w:right w:w="15" w:type="dxa"/>
            </w:tcMar>
            <w:vAlign w:val="center"/>
          </w:tcPr>
          <w:p w14:paraId="35F446A1">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sz w:val="18"/>
                <w:szCs w:val="18"/>
                <w:lang w:val="en-US" w:eastAsia="zh-CN"/>
              </w:rPr>
            </w:pPr>
            <w:r>
              <w:rPr>
                <w:rFonts w:hint="eastAsia" w:ascii="仿宋_GB2312" w:hAnsi="宋体" w:eastAsia="仿宋_GB2312" w:cs="仿宋_GB2312"/>
                <w:sz w:val="18"/>
                <w:szCs w:val="18"/>
              </w:rPr>
              <w:t>掘进工作面后部巷道或者独头巷道挑顶、刷帮、替棚处置着火点（高温点）时，维修（处置）点以里继续掘进或者有人员进入</w:t>
            </w:r>
            <w:r>
              <w:rPr>
                <w:rFonts w:hint="eastAsia" w:ascii="仿宋_GB2312" w:hAnsi="宋体" w:eastAsia="仿宋_GB2312" w:cs="仿宋_GB2312"/>
                <w:sz w:val="18"/>
                <w:szCs w:val="18"/>
                <w:lang w:val="en-US" w:eastAsia="zh-CN"/>
              </w:rPr>
              <w:t>的</w:t>
            </w:r>
          </w:p>
        </w:tc>
        <w:tc>
          <w:tcPr>
            <w:tcW w:w="3667" w:type="dxa"/>
            <w:vMerge w:val="restart"/>
            <w:tcBorders>
              <w:tl2br w:val="nil"/>
              <w:tr2bl w:val="nil"/>
            </w:tcBorders>
            <w:shd w:val="clear" w:color="auto" w:fill="auto"/>
            <w:tcMar>
              <w:top w:w="15" w:type="dxa"/>
              <w:left w:w="15" w:type="dxa"/>
              <w:right w:w="15" w:type="dxa"/>
            </w:tcMar>
            <w:vAlign w:val="center"/>
          </w:tcPr>
          <w:p w14:paraId="2A40540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《煤矿安全生产条例》第三十六条第</w:t>
            </w:r>
            <w:r>
              <w:rPr>
                <w:rFonts w:hint="eastAsia" w:ascii="仿宋_GB2312" w:hAnsi="宋体" w:eastAsia="仿宋_GB2312" w:cs="仿宋_GB2312"/>
                <w:kern w:val="0"/>
                <w:sz w:val="18"/>
                <w:szCs w:val="18"/>
                <w:lang w:val="en-US" w:eastAsia="zh-CN" w:bidi="ar"/>
              </w:rPr>
              <w:t>十七</w:t>
            </w:r>
            <w:r>
              <w:rPr>
                <w:rFonts w:hint="eastAsia" w:ascii="仿宋_GB2312" w:hAnsi="宋体" w:eastAsia="仿宋_GB2312" w:cs="仿宋_GB2312"/>
                <w:kern w:val="0"/>
                <w:sz w:val="18"/>
                <w:szCs w:val="18"/>
                <w:lang w:bidi="ar"/>
              </w:rPr>
              <w:t>项  煤矿企业有下列情形之一的，属于重大事故隐患，应当立即停止受影响区域生产、建设，并及时消除事故隐患：（十</w:t>
            </w:r>
            <w:r>
              <w:rPr>
                <w:rFonts w:hint="eastAsia" w:ascii="仿宋_GB2312" w:hAnsi="宋体" w:eastAsia="仿宋_GB2312" w:cs="仿宋_GB2312"/>
                <w:kern w:val="0"/>
                <w:sz w:val="18"/>
                <w:szCs w:val="18"/>
                <w:lang w:val="en-US" w:eastAsia="zh-CN" w:bidi="ar"/>
              </w:rPr>
              <w:t>七</w:t>
            </w:r>
            <w:r>
              <w:rPr>
                <w:rFonts w:hint="eastAsia" w:ascii="仿宋_GB2312" w:hAnsi="宋体" w:eastAsia="仿宋_GB2312" w:cs="仿宋_GB2312"/>
                <w:kern w:val="0"/>
                <w:sz w:val="18"/>
                <w:szCs w:val="18"/>
                <w:lang w:bidi="ar"/>
              </w:rPr>
              <w:t>）有其他重大事故隐患的。</w:t>
            </w:r>
          </w:p>
          <w:p w14:paraId="0F203E1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《煤矿重大事故隐患判定标准》第</w:t>
            </w:r>
            <w:r>
              <w:rPr>
                <w:rFonts w:hint="eastAsia" w:ascii="仿宋_GB2312" w:hAnsi="宋体" w:eastAsia="仿宋_GB2312" w:cs="仿宋_GB2312"/>
                <w:kern w:val="0"/>
                <w:sz w:val="18"/>
                <w:szCs w:val="18"/>
                <w:lang w:val="en-US" w:eastAsia="zh-CN" w:bidi="ar"/>
              </w:rPr>
              <w:t>二十</w:t>
            </w:r>
            <w:r>
              <w:rPr>
                <w:rFonts w:hint="eastAsia" w:ascii="仿宋_GB2312" w:hAnsi="宋体" w:eastAsia="仿宋_GB2312" w:cs="仿宋_GB2312"/>
                <w:kern w:val="0"/>
                <w:sz w:val="18"/>
                <w:szCs w:val="18"/>
                <w:lang w:bidi="ar"/>
              </w:rPr>
              <w:t>条</w:t>
            </w:r>
            <w:r>
              <w:rPr>
                <w:rFonts w:hint="eastAsia" w:ascii="仿宋_GB2312" w:hAnsi="宋体" w:eastAsia="仿宋_GB2312" w:cs="仿宋_GB2312"/>
                <w:kern w:val="0"/>
                <w:sz w:val="18"/>
                <w:szCs w:val="18"/>
                <w:lang w:val="en-US" w:eastAsia="zh-CN" w:bidi="ar"/>
              </w:rPr>
              <w:t xml:space="preserve">第十三项 </w:t>
            </w:r>
            <w:r>
              <w:rPr>
                <w:rFonts w:hint="eastAsia" w:ascii="仿宋_GB2312" w:hAnsi="宋体" w:eastAsia="仿宋_GB2312" w:cs="仿宋_GB2312"/>
                <w:kern w:val="0"/>
                <w:sz w:val="18"/>
                <w:szCs w:val="18"/>
                <w:lang w:bidi="ar"/>
              </w:rPr>
              <w:t>“其他重大事故隐患”，是指有下列情形之一的</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w:t>
            </w:r>
            <w:r>
              <w:rPr>
                <w:rFonts w:hint="eastAsia" w:ascii="仿宋_GB2312" w:hAnsi="宋体" w:eastAsia="仿宋_GB2312" w:cs="仿宋_GB2312"/>
                <w:kern w:val="0"/>
                <w:sz w:val="18"/>
                <w:szCs w:val="18"/>
                <w:lang w:val="en-US" w:eastAsia="zh-CN" w:bidi="ar"/>
              </w:rPr>
              <w:t>十三</w:t>
            </w:r>
            <w:r>
              <w:rPr>
                <w:rFonts w:hint="eastAsia" w:ascii="仿宋_GB2312" w:hAnsi="宋体" w:eastAsia="仿宋_GB2312" w:cs="仿宋_GB2312"/>
                <w:kern w:val="0"/>
                <w:sz w:val="18"/>
                <w:szCs w:val="18"/>
                <w:lang w:bidi="ar"/>
              </w:rPr>
              <w:t>)掘进工作面后部巷道或者独头巷道挑顶、刷帮、替棚处置着火点（高温点）时，维修（处置）点以里继续掘进或者有人员进入。</w:t>
            </w:r>
          </w:p>
        </w:tc>
        <w:tc>
          <w:tcPr>
            <w:tcW w:w="4082" w:type="dxa"/>
            <w:vMerge w:val="restart"/>
            <w:tcBorders>
              <w:tl2br w:val="nil"/>
              <w:tr2bl w:val="nil"/>
            </w:tcBorders>
            <w:shd w:val="clear" w:color="auto" w:fill="auto"/>
            <w:tcMar>
              <w:top w:w="15" w:type="dxa"/>
              <w:left w:w="15" w:type="dxa"/>
              <w:right w:w="15" w:type="dxa"/>
            </w:tcMar>
            <w:vAlign w:val="center"/>
          </w:tcPr>
          <w:p w14:paraId="5369CF4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《煤矿安全生产条例》第六十四条  对存在重大事故隐患仍然进行生产的煤矿企业，责令停产整顿，明确整顿的内容、时间等具体要求，并处50万元以上200 万元以下的罚款；对煤矿企业主要负责人处3万元以上15万元以下的罚款。</w:t>
            </w:r>
          </w:p>
        </w:tc>
        <w:tc>
          <w:tcPr>
            <w:tcW w:w="459" w:type="dxa"/>
            <w:tcBorders>
              <w:tl2br w:val="nil"/>
              <w:tr2bl w:val="nil"/>
            </w:tcBorders>
            <w:shd w:val="clear" w:color="auto" w:fill="auto"/>
            <w:noWrap/>
            <w:tcMar>
              <w:top w:w="15" w:type="dxa"/>
              <w:left w:w="15" w:type="dxa"/>
              <w:right w:w="15" w:type="dxa"/>
            </w:tcMar>
            <w:vAlign w:val="center"/>
          </w:tcPr>
          <w:p w14:paraId="436D0FBC">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0F24EF86">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D5600D9">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383DF8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8"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F372CC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66C9E9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6BD2A3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F132CA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13D6918">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7BC3A811">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60557B68">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42F82C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DF23F9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DFA25D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390A8E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38E701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F35747A">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7B170D49">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FA010D8">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574904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EFAD64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E6A6A9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570CC5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AD88D7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7A8F3E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05D031DE">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掘进工作面后部巷道或者独头巷道挑顶、刷帮、替棚处置着火点（高温点）时，维修（处置）点以里</w:t>
            </w:r>
            <w:r>
              <w:rPr>
                <w:rFonts w:hint="eastAsia" w:ascii="仿宋_GB2312" w:hAnsi="宋体" w:eastAsia="仿宋_GB2312" w:cs="仿宋_GB2312"/>
                <w:kern w:val="0"/>
                <w:sz w:val="18"/>
                <w:szCs w:val="18"/>
                <w:lang w:val="en-US" w:eastAsia="zh-CN" w:bidi="ar"/>
              </w:rPr>
              <w:t>有1人进入的。</w:t>
            </w:r>
          </w:p>
        </w:tc>
        <w:tc>
          <w:tcPr>
            <w:tcW w:w="2655" w:type="dxa"/>
            <w:tcBorders>
              <w:tl2br w:val="nil"/>
              <w:tr2bl w:val="nil"/>
            </w:tcBorders>
            <w:shd w:val="clear" w:color="auto" w:fill="auto"/>
            <w:tcMar>
              <w:top w:w="15" w:type="dxa"/>
              <w:left w:w="15" w:type="dxa"/>
              <w:right w:w="15" w:type="dxa"/>
            </w:tcMar>
            <w:vAlign w:val="center"/>
          </w:tcPr>
          <w:p w14:paraId="510575A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责令停产整顿，提出整顿的内容、时间等具体要求，处50万元以上100万元以下的罚款；对煤矿企业负责人处3万元以上5万元以下的罚款。</w:t>
            </w:r>
          </w:p>
        </w:tc>
      </w:tr>
      <w:tr w14:paraId="27971C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66D6B2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EEBCC4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317019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09BE9E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3443A8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6C16DBB1">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掘进工作面后部巷道或者独头巷道挑顶、刷帮、替棚处置着火点（高温点）时，维修（处置）点以里有</w:t>
            </w:r>
            <w:r>
              <w:rPr>
                <w:rFonts w:hint="eastAsia" w:ascii="仿宋_GB2312" w:hAnsi="宋体" w:eastAsia="仿宋_GB2312" w:cs="仿宋_GB2312"/>
                <w:kern w:val="0"/>
                <w:sz w:val="18"/>
                <w:szCs w:val="18"/>
                <w:lang w:val="en-US" w:eastAsia="zh-CN" w:bidi="ar"/>
              </w:rPr>
              <w:t>2</w:t>
            </w:r>
            <w:r>
              <w:rPr>
                <w:rFonts w:hint="eastAsia" w:ascii="仿宋_GB2312" w:hAnsi="宋体" w:eastAsia="仿宋_GB2312" w:cs="仿宋_GB2312"/>
                <w:kern w:val="0"/>
                <w:sz w:val="18"/>
                <w:szCs w:val="18"/>
                <w:lang w:bidi="ar"/>
              </w:rPr>
              <w:t>人进入</w:t>
            </w:r>
            <w:r>
              <w:rPr>
                <w:rFonts w:hint="eastAsia" w:ascii="仿宋_GB2312" w:hAnsi="宋体" w:eastAsia="仿宋_GB2312" w:cs="仿宋_GB2312"/>
                <w:kern w:val="0"/>
                <w:sz w:val="18"/>
                <w:szCs w:val="18"/>
                <w:lang w:val="en-US" w:eastAsia="zh-CN" w:bidi="ar"/>
              </w:rPr>
              <w:t>的。</w:t>
            </w:r>
          </w:p>
        </w:tc>
        <w:tc>
          <w:tcPr>
            <w:tcW w:w="2655" w:type="dxa"/>
            <w:tcBorders>
              <w:tl2br w:val="nil"/>
              <w:tr2bl w:val="nil"/>
            </w:tcBorders>
            <w:shd w:val="clear" w:color="auto" w:fill="auto"/>
            <w:tcMar>
              <w:top w:w="15" w:type="dxa"/>
              <w:left w:w="15" w:type="dxa"/>
              <w:right w:w="15" w:type="dxa"/>
            </w:tcMar>
            <w:vAlign w:val="center"/>
          </w:tcPr>
          <w:p w14:paraId="3715942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责令停产整顿，提出整顿的内容、时间等具体要求，处100万元以上150万元以下的罚款；对煤矿企业负责人处5万元以上10万元以下的罚款。</w:t>
            </w:r>
          </w:p>
        </w:tc>
      </w:tr>
      <w:tr w14:paraId="672E05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9"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AAE207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3CB696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4E0A58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8F4A10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769E23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2D8BEF1E">
            <w:pPr>
              <w:keepNext w:val="0"/>
              <w:keepLines w:val="0"/>
              <w:pageBreakBefore w:val="0"/>
              <w:widowControl w:val="0"/>
              <w:kinsoku/>
              <w:wordWrap/>
              <w:overflowPunct w:val="0"/>
              <w:topLinePunct w:val="0"/>
              <w:autoSpaceDE/>
              <w:autoSpaceDN/>
              <w:bidi w:val="0"/>
              <w:adjustRightInd/>
              <w:snapToGrid/>
              <w:spacing w:line="220" w:lineRule="exact"/>
              <w:textAlignment w:val="center"/>
              <w:rPr>
                <w:ins w:id="1566" w:author="LV" w:date="2026-07-14T16:33:18Z"/>
                <w:rFonts w:hint="eastAsia" w:ascii="仿宋_GB2312" w:hAnsi="宋体" w:eastAsia="仿宋_GB2312" w:cs="仿宋_GB2312"/>
                <w:kern w:val="0"/>
                <w:sz w:val="18"/>
                <w:szCs w:val="18"/>
                <w:lang w:bidi="ar"/>
              </w:rPr>
            </w:pPr>
          </w:p>
          <w:p w14:paraId="01456BA1">
            <w:pPr>
              <w:keepNext w:val="0"/>
              <w:keepLines w:val="0"/>
              <w:pageBreakBefore w:val="0"/>
              <w:widowControl w:val="0"/>
              <w:kinsoku/>
              <w:wordWrap/>
              <w:overflowPunct w:val="0"/>
              <w:topLinePunct w:val="0"/>
              <w:autoSpaceDE/>
              <w:autoSpaceDN/>
              <w:bidi w:val="0"/>
              <w:adjustRightInd/>
              <w:snapToGrid/>
              <w:spacing w:line="220" w:lineRule="exact"/>
              <w:textAlignment w:val="center"/>
              <w:rPr>
                <w:ins w:id="1567" w:author="LV" w:date="2026-07-14T16:33:19Z"/>
                <w:rFonts w:hint="eastAsia" w:ascii="仿宋_GB2312" w:hAnsi="宋体" w:eastAsia="仿宋_GB2312" w:cs="仿宋_GB2312"/>
                <w:kern w:val="0"/>
                <w:sz w:val="18"/>
                <w:szCs w:val="18"/>
                <w:lang w:bidi="ar"/>
              </w:rPr>
            </w:pPr>
          </w:p>
          <w:p w14:paraId="6CEE374F">
            <w:pPr>
              <w:keepNext w:val="0"/>
              <w:keepLines w:val="0"/>
              <w:pageBreakBefore w:val="0"/>
              <w:widowControl w:val="0"/>
              <w:kinsoku/>
              <w:wordWrap/>
              <w:overflowPunct w:val="0"/>
              <w:topLinePunct w:val="0"/>
              <w:autoSpaceDE/>
              <w:autoSpaceDN/>
              <w:bidi w:val="0"/>
              <w:adjustRightInd/>
              <w:snapToGrid/>
              <w:spacing w:line="220" w:lineRule="exact"/>
              <w:textAlignment w:val="center"/>
              <w:rPr>
                <w:ins w:id="1568" w:author="LV" w:date="2026-07-14T16:33:13Z"/>
                <w:rFonts w:hint="eastAsia"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bidi="ar"/>
              </w:rPr>
              <w:t>掘进工作面后部巷道或者独头巷道挑顶、刷帮、替棚处置着火点（高温点）时，维修（处置）点以里继续掘进</w:t>
            </w:r>
            <w:r>
              <w:rPr>
                <w:rFonts w:hint="eastAsia" w:ascii="仿宋_GB2312" w:hAnsi="宋体" w:eastAsia="仿宋_GB2312" w:cs="仿宋_GB2312"/>
                <w:kern w:val="0"/>
                <w:sz w:val="18"/>
                <w:szCs w:val="18"/>
                <w:lang w:val="en-US" w:eastAsia="zh-CN" w:bidi="ar"/>
              </w:rPr>
              <w:t>的，或有3人以上进入的。</w:t>
            </w:r>
          </w:p>
          <w:p w14:paraId="63116472">
            <w:pPr>
              <w:keepNext w:val="0"/>
              <w:keepLines w:val="0"/>
              <w:pageBreakBefore w:val="0"/>
              <w:widowControl w:val="0"/>
              <w:kinsoku/>
              <w:wordWrap/>
              <w:overflowPunct w:val="0"/>
              <w:topLinePunct w:val="0"/>
              <w:autoSpaceDE/>
              <w:autoSpaceDN/>
              <w:bidi w:val="0"/>
              <w:adjustRightInd/>
              <w:snapToGrid/>
              <w:spacing w:line="220" w:lineRule="exact"/>
              <w:textAlignment w:val="center"/>
              <w:rPr>
                <w:ins w:id="1569" w:author="LV" w:date="2026-07-14T16:33:14Z"/>
                <w:rFonts w:hint="eastAsia" w:ascii="仿宋_GB2312" w:hAnsi="宋体" w:eastAsia="仿宋_GB2312" w:cs="仿宋_GB2312"/>
                <w:kern w:val="0"/>
                <w:sz w:val="18"/>
                <w:szCs w:val="18"/>
                <w:lang w:val="en-US" w:eastAsia="zh-CN" w:bidi="ar"/>
              </w:rPr>
            </w:pPr>
          </w:p>
          <w:p w14:paraId="5FAA244F">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0"/>
                <w:sz w:val="18"/>
                <w:szCs w:val="18"/>
                <w:lang w:val="en-US" w:eastAsia="zh-CN" w:bidi="ar"/>
              </w:rPr>
            </w:pPr>
          </w:p>
        </w:tc>
        <w:tc>
          <w:tcPr>
            <w:tcW w:w="2655" w:type="dxa"/>
            <w:tcBorders>
              <w:tl2br w:val="nil"/>
              <w:tr2bl w:val="nil"/>
            </w:tcBorders>
            <w:shd w:val="clear" w:color="auto" w:fill="auto"/>
            <w:tcMar>
              <w:top w:w="15" w:type="dxa"/>
              <w:left w:w="15" w:type="dxa"/>
              <w:right w:w="15" w:type="dxa"/>
            </w:tcMar>
            <w:vAlign w:val="center"/>
          </w:tcPr>
          <w:p w14:paraId="191C30A3">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1570" w:author="LV" w:date="2026-07-14T16:27:12Z"/>
                <w:rFonts w:hint="eastAsia" w:ascii="仿宋_GB2312" w:hAnsi="宋体" w:eastAsia="仿宋_GB2312" w:cs="仿宋_GB2312"/>
                <w:kern w:val="0"/>
                <w:sz w:val="18"/>
                <w:szCs w:val="18"/>
                <w:lang w:bidi="ar"/>
              </w:rPr>
            </w:pPr>
          </w:p>
          <w:p w14:paraId="5DA03081">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1571" w:author="LV" w:date="2026-07-14T16:27:08Z"/>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责令停产整顿，提出整顿的内容、时间等具体要求，处150万元以上200万元以下的罚款；对煤矿企业负责人处10万元以上15万元以下的罚款。</w:t>
            </w:r>
          </w:p>
          <w:p w14:paraId="4F72EFB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val="en-US" w:eastAsia="zh-CN" w:bidi="ar"/>
              </w:rPr>
            </w:pPr>
          </w:p>
        </w:tc>
      </w:tr>
      <w:tr w14:paraId="2BE3C4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6F8CA1F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hint="default" w:ascii="仿宋_GB2312" w:hAnsi="宋体" w:eastAsia="仿宋_GB2312" w:cs="仿宋_GB2312"/>
                <w:sz w:val="18"/>
                <w:szCs w:val="18"/>
                <w:lang w:val="en-US" w:eastAsia="zh-CN"/>
              </w:rPr>
            </w:pPr>
            <w:del w:id="1572" w:author="LV" w:date="2026-07-14T16:27:05Z">
              <w:r>
                <w:rPr>
                  <w:rFonts w:hint="default" w:ascii="仿宋_GB2312" w:hAnsi="宋体" w:eastAsia="仿宋_GB2312" w:cs="仿宋_GB2312"/>
                  <w:sz w:val="18"/>
                  <w:szCs w:val="18"/>
                  <w:lang w:val="en-US" w:eastAsia="zh-CN"/>
                </w:rPr>
                <w:delText>增加</w:delText>
              </w:r>
            </w:del>
            <w:ins w:id="1573" w:author="LV" w:date="2026-07-14T16:27:05Z">
              <w:r>
                <w:rPr>
                  <w:rFonts w:hint="eastAsia" w:ascii="仿宋_GB2312" w:hAnsi="宋体" w:eastAsia="仿宋_GB2312" w:cs="仿宋_GB2312"/>
                  <w:sz w:val="18"/>
                  <w:szCs w:val="18"/>
                  <w:lang w:val="en-US" w:eastAsia="zh-CN"/>
                </w:rPr>
                <w:t>63</w:t>
              </w:r>
            </w:ins>
          </w:p>
        </w:tc>
        <w:tc>
          <w:tcPr>
            <w:tcW w:w="1005" w:type="dxa"/>
            <w:vMerge w:val="restart"/>
            <w:tcBorders>
              <w:tl2br w:val="nil"/>
              <w:tr2bl w:val="nil"/>
            </w:tcBorders>
            <w:shd w:val="clear" w:color="auto" w:fill="auto"/>
            <w:tcMar>
              <w:top w:w="15" w:type="dxa"/>
              <w:left w:w="15" w:type="dxa"/>
              <w:right w:w="15" w:type="dxa"/>
            </w:tcMar>
            <w:vAlign w:val="center"/>
          </w:tcPr>
          <w:p w14:paraId="62DB61E4">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sz w:val="18"/>
                <w:szCs w:val="18"/>
                <w:lang w:val="en-US" w:eastAsia="zh-CN"/>
              </w:rPr>
            </w:pPr>
            <w:r>
              <w:rPr>
                <w:rFonts w:hint="eastAsia" w:ascii="仿宋_GB2312" w:hAnsi="宋体" w:eastAsia="仿宋_GB2312" w:cs="仿宋_GB2312"/>
                <w:sz w:val="18"/>
                <w:szCs w:val="18"/>
              </w:rPr>
              <w:t>突出煤层、冲击地压煤层采掘工作面未安设压风自救装置</w:t>
            </w:r>
            <w:r>
              <w:rPr>
                <w:rFonts w:hint="eastAsia" w:ascii="仿宋_GB2312" w:hAnsi="宋体" w:eastAsia="仿宋_GB2312" w:cs="仿宋_GB2312"/>
                <w:sz w:val="18"/>
                <w:szCs w:val="18"/>
                <w:lang w:val="en-US" w:eastAsia="zh-CN"/>
              </w:rPr>
              <w:t>的</w:t>
            </w:r>
          </w:p>
        </w:tc>
        <w:tc>
          <w:tcPr>
            <w:tcW w:w="3667" w:type="dxa"/>
            <w:vMerge w:val="restart"/>
            <w:tcBorders>
              <w:tl2br w:val="nil"/>
              <w:tr2bl w:val="nil"/>
            </w:tcBorders>
            <w:shd w:val="clear" w:color="auto" w:fill="auto"/>
            <w:tcMar>
              <w:top w:w="15" w:type="dxa"/>
              <w:left w:w="15" w:type="dxa"/>
              <w:right w:w="15" w:type="dxa"/>
            </w:tcMar>
            <w:vAlign w:val="center"/>
          </w:tcPr>
          <w:p w14:paraId="560D77F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《煤矿安全生产条例》第三十六条第</w:t>
            </w:r>
            <w:r>
              <w:rPr>
                <w:rFonts w:hint="eastAsia" w:ascii="仿宋_GB2312" w:hAnsi="宋体" w:eastAsia="仿宋_GB2312" w:cs="仿宋_GB2312"/>
                <w:kern w:val="0"/>
                <w:sz w:val="18"/>
                <w:szCs w:val="18"/>
                <w:lang w:val="en-US" w:eastAsia="zh-CN" w:bidi="ar"/>
              </w:rPr>
              <w:t>十七</w:t>
            </w:r>
            <w:r>
              <w:rPr>
                <w:rFonts w:hint="eastAsia" w:ascii="仿宋_GB2312" w:hAnsi="宋体" w:eastAsia="仿宋_GB2312" w:cs="仿宋_GB2312"/>
                <w:kern w:val="0"/>
                <w:sz w:val="18"/>
                <w:szCs w:val="18"/>
                <w:lang w:bidi="ar"/>
              </w:rPr>
              <w:t>项  煤矿企业有下列情形之一的，属于重大事故隐患，应当立即停止受影响区域生产、建设，并及时消除事故隐患：（十</w:t>
            </w:r>
            <w:r>
              <w:rPr>
                <w:rFonts w:hint="eastAsia" w:ascii="仿宋_GB2312" w:hAnsi="宋体" w:eastAsia="仿宋_GB2312" w:cs="仿宋_GB2312"/>
                <w:kern w:val="0"/>
                <w:sz w:val="18"/>
                <w:szCs w:val="18"/>
                <w:lang w:val="en-US" w:eastAsia="zh-CN" w:bidi="ar"/>
              </w:rPr>
              <w:t>七</w:t>
            </w:r>
            <w:r>
              <w:rPr>
                <w:rFonts w:hint="eastAsia" w:ascii="仿宋_GB2312" w:hAnsi="宋体" w:eastAsia="仿宋_GB2312" w:cs="仿宋_GB2312"/>
                <w:kern w:val="0"/>
                <w:sz w:val="18"/>
                <w:szCs w:val="18"/>
                <w:lang w:bidi="ar"/>
              </w:rPr>
              <w:t>）有其他重大事故隐患的。</w:t>
            </w:r>
          </w:p>
          <w:p w14:paraId="390E10B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《煤矿重大事故隐患判定标准》第</w:t>
            </w:r>
            <w:r>
              <w:rPr>
                <w:rFonts w:hint="eastAsia" w:ascii="仿宋_GB2312" w:hAnsi="宋体" w:eastAsia="仿宋_GB2312" w:cs="仿宋_GB2312"/>
                <w:kern w:val="0"/>
                <w:sz w:val="18"/>
                <w:szCs w:val="18"/>
                <w:lang w:val="en-US" w:eastAsia="zh-CN" w:bidi="ar"/>
              </w:rPr>
              <w:t>二十</w:t>
            </w:r>
            <w:r>
              <w:rPr>
                <w:rFonts w:hint="eastAsia" w:ascii="仿宋_GB2312" w:hAnsi="宋体" w:eastAsia="仿宋_GB2312" w:cs="仿宋_GB2312"/>
                <w:kern w:val="0"/>
                <w:sz w:val="18"/>
                <w:szCs w:val="18"/>
                <w:lang w:bidi="ar"/>
              </w:rPr>
              <w:t>条</w:t>
            </w:r>
            <w:r>
              <w:rPr>
                <w:rFonts w:hint="eastAsia" w:ascii="仿宋_GB2312" w:hAnsi="宋体" w:eastAsia="仿宋_GB2312" w:cs="仿宋_GB2312"/>
                <w:kern w:val="0"/>
                <w:sz w:val="18"/>
                <w:szCs w:val="18"/>
                <w:lang w:val="en-US" w:eastAsia="zh-CN" w:bidi="ar"/>
              </w:rPr>
              <w:t xml:space="preserve">第十四项 </w:t>
            </w:r>
            <w:r>
              <w:rPr>
                <w:rFonts w:hint="eastAsia" w:ascii="仿宋_GB2312" w:hAnsi="宋体" w:eastAsia="仿宋_GB2312" w:cs="仿宋_GB2312"/>
                <w:kern w:val="0"/>
                <w:sz w:val="18"/>
                <w:szCs w:val="18"/>
                <w:lang w:bidi="ar"/>
              </w:rPr>
              <w:t>“其他重大事故隐患”，是指有下列情形之一的</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w:t>
            </w:r>
            <w:r>
              <w:rPr>
                <w:rFonts w:hint="eastAsia" w:ascii="仿宋_GB2312" w:hAnsi="宋体" w:eastAsia="仿宋_GB2312" w:cs="仿宋_GB2312"/>
                <w:kern w:val="0"/>
                <w:sz w:val="18"/>
                <w:szCs w:val="18"/>
                <w:lang w:val="en-US" w:eastAsia="zh-CN" w:bidi="ar"/>
              </w:rPr>
              <w:t>十四</w:t>
            </w:r>
            <w:r>
              <w:rPr>
                <w:rFonts w:hint="eastAsia" w:ascii="仿宋_GB2312" w:hAnsi="宋体" w:eastAsia="仿宋_GB2312" w:cs="仿宋_GB2312"/>
                <w:kern w:val="0"/>
                <w:sz w:val="18"/>
                <w:szCs w:val="18"/>
                <w:lang w:bidi="ar"/>
              </w:rPr>
              <w:t>)突出煤层、冲击地压煤层采掘工作面未安设压风自救装置。</w:t>
            </w:r>
          </w:p>
        </w:tc>
        <w:tc>
          <w:tcPr>
            <w:tcW w:w="4082" w:type="dxa"/>
            <w:vMerge w:val="restart"/>
            <w:tcBorders>
              <w:tl2br w:val="nil"/>
              <w:tr2bl w:val="nil"/>
            </w:tcBorders>
            <w:shd w:val="clear" w:color="auto" w:fill="auto"/>
            <w:tcMar>
              <w:top w:w="15" w:type="dxa"/>
              <w:left w:w="15" w:type="dxa"/>
              <w:right w:w="15" w:type="dxa"/>
            </w:tcMar>
            <w:vAlign w:val="center"/>
          </w:tcPr>
          <w:p w14:paraId="75BD398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《煤矿安全生产条例》第六十四条  对存在重大事故隐患仍然进行生产的煤矿企业，责令停产整顿，明确整顿的内容、时间等具体要求，并处50万元以上200 万元以下的罚款；对煤矿企业主要负责人处3万元以上15万元以下的罚款。</w:t>
            </w:r>
          </w:p>
        </w:tc>
        <w:tc>
          <w:tcPr>
            <w:tcW w:w="459" w:type="dxa"/>
            <w:tcBorders>
              <w:tl2br w:val="nil"/>
              <w:tr2bl w:val="nil"/>
            </w:tcBorders>
            <w:shd w:val="clear" w:color="auto" w:fill="auto"/>
            <w:noWrap/>
            <w:tcMar>
              <w:top w:w="15" w:type="dxa"/>
              <w:left w:w="15" w:type="dxa"/>
              <w:right w:w="15" w:type="dxa"/>
            </w:tcMar>
            <w:vAlign w:val="center"/>
          </w:tcPr>
          <w:p w14:paraId="59806321">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7414DBCE">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765B6858">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5630A6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49CE85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67266C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040AE1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3EADF9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0F70F77">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65399316">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1A66FC74">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74CBCB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F700DD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7289B9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DBB29D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B34DCD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14D2209">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1DC5C8A6">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7C6E2154">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6B7127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9"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1F1CA7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195C61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B54D76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56C008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BB8EB7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285D19F6">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bookmarkStart w:id="1" w:name="OLE_LINK2"/>
            <w:r>
              <w:rPr>
                <w:rFonts w:hint="eastAsia" w:ascii="仿宋_GB2312" w:hAnsi="宋体" w:eastAsia="仿宋_GB2312" w:cs="仿宋_GB2312"/>
                <w:kern w:val="0"/>
                <w:sz w:val="18"/>
                <w:szCs w:val="18"/>
                <w:lang w:bidi="ar"/>
              </w:rPr>
              <w:t>突出煤层、冲击地压煤层采掘工作面</w:t>
            </w:r>
            <w:r>
              <w:rPr>
                <w:rFonts w:hint="eastAsia" w:ascii="仿宋_GB2312" w:hAnsi="宋体" w:eastAsia="仿宋_GB2312" w:cs="仿宋_GB2312"/>
                <w:kern w:val="0"/>
                <w:sz w:val="18"/>
                <w:szCs w:val="18"/>
                <w:lang w:val="en-US" w:eastAsia="zh-CN" w:bidi="ar"/>
              </w:rPr>
              <w:t>缺少1台套</w:t>
            </w:r>
            <w:r>
              <w:rPr>
                <w:rFonts w:hint="eastAsia" w:ascii="仿宋_GB2312" w:hAnsi="宋体" w:eastAsia="仿宋_GB2312" w:cs="仿宋_GB2312"/>
                <w:kern w:val="0"/>
                <w:sz w:val="18"/>
                <w:szCs w:val="18"/>
                <w:lang w:bidi="ar"/>
              </w:rPr>
              <w:t>压风自救装置</w:t>
            </w:r>
            <w:r>
              <w:rPr>
                <w:rFonts w:hint="eastAsia" w:ascii="仿宋_GB2312" w:hAnsi="宋体" w:eastAsia="仿宋_GB2312" w:cs="仿宋_GB2312"/>
                <w:kern w:val="0"/>
                <w:sz w:val="18"/>
                <w:szCs w:val="18"/>
                <w:lang w:val="en-US" w:eastAsia="zh-CN" w:bidi="ar"/>
              </w:rPr>
              <w:t>的</w:t>
            </w:r>
            <w:bookmarkEnd w:id="1"/>
            <w:r>
              <w:rPr>
                <w:rFonts w:hint="eastAsia" w:ascii="仿宋_GB2312" w:hAnsi="宋体" w:eastAsia="仿宋_GB2312" w:cs="仿宋_GB2312"/>
                <w:kern w:val="0"/>
                <w:sz w:val="18"/>
                <w:szCs w:val="18"/>
                <w:lang w:val="en-US" w:eastAsia="zh-CN" w:bidi="ar"/>
              </w:rPr>
              <w:t>。</w:t>
            </w:r>
          </w:p>
        </w:tc>
        <w:tc>
          <w:tcPr>
            <w:tcW w:w="2655" w:type="dxa"/>
            <w:tcBorders>
              <w:tl2br w:val="nil"/>
              <w:tr2bl w:val="nil"/>
            </w:tcBorders>
            <w:shd w:val="clear" w:color="auto" w:fill="auto"/>
            <w:tcMar>
              <w:top w:w="15" w:type="dxa"/>
              <w:left w:w="15" w:type="dxa"/>
              <w:right w:w="15" w:type="dxa"/>
            </w:tcMar>
            <w:vAlign w:val="center"/>
          </w:tcPr>
          <w:p w14:paraId="49B9FAE3">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1574" w:author="LV" w:date="2026-07-14T16:33:36Z"/>
                <w:rFonts w:hint="eastAsia" w:ascii="仿宋_GB2312" w:hAnsi="宋体" w:eastAsia="仿宋_GB2312" w:cs="仿宋_GB2312"/>
                <w:kern w:val="0"/>
                <w:sz w:val="18"/>
                <w:szCs w:val="18"/>
                <w:lang w:bidi="ar"/>
              </w:rPr>
            </w:pPr>
          </w:p>
          <w:p w14:paraId="47148BE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责令停产整顿，提出整顿的内容、时间等具体要求，处50万元以上100万元以下的罚款；对煤矿企业负责人处3万元以上5万元以下的罚款。</w:t>
            </w:r>
          </w:p>
        </w:tc>
      </w:tr>
      <w:tr w14:paraId="471638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D99343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FD8496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D55965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A2C506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B9C64B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5BE33FBB">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突出煤层、冲击地压煤层采掘工作面</w:t>
            </w:r>
            <w:r>
              <w:rPr>
                <w:rFonts w:hint="eastAsia" w:ascii="仿宋_GB2312" w:hAnsi="宋体" w:eastAsia="仿宋_GB2312" w:cs="仿宋_GB2312"/>
                <w:kern w:val="0"/>
                <w:sz w:val="18"/>
                <w:szCs w:val="18"/>
                <w:lang w:val="en-US" w:eastAsia="zh-CN" w:bidi="ar"/>
              </w:rPr>
              <w:t>缺少2台套</w:t>
            </w:r>
            <w:r>
              <w:rPr>
                <w:rFonts w:hint="eastAsia" w:ascii="仿宋_GB2312" w:hAnsi="宋体" w:eastAsia="仿宋_GB2312" w:cs="仿宋_GB2312"/>
                <w:kern w:val="0"/>
                <w:sz w:val="18"/>
                <w:szCs w:val="18"/>
                <w:lang w:bidi="ar"/>
              </w:rPr>
              <w:t>压风自救装置</w:t>
            </w:r>
            <w:r>
              <w:rPr>
                <w:rFonts w:hint="eastAsia" w:ascii="仿宋_GB2312" w:hAnsi="宋体" w:eastAsia="仿宋_GB2312" w:cs="仿宋_GB2312"/>
                <w:kern w:val="0"/>
                <w:sz w:val="18"/>
                <w:szCs w:val="18"/>
                <w:lang w:val="en-US" w:eastAsia="zh-CN" w:bidi="ar"/>
              </w:rPr>
              <w:t>的。</w:t>
            </w:r>
          </w:p>
        </w:tc>
        <w:tc>
          <w:tcPr>
            <w:tcW w:w="2655" w:type="dxa"/>
            <w:tcBorders>
              <w:tl2br w:val="nil"/>
              <w:tr2bl w:val="nil"/>
            </w:tcBorders>
            <w:shd w:val="clear" w:color="auto" w:fill="auto"/>
            <w:tcMar>
              <w:top w:w="15" w:type="dxa"/>
              <w:left w:w="15" w:type="dxa"/>
              <w:right w:w="15" w:type="dxa"/>
            </w:tcMar>
            <w:vAlign w:val="center"/>
          </w:tcPr>
          <w:p w14:paraId="19F84FB8">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1575" w:author="LV" w:date="2026-07-14T16:33:33Z"/>
                <w:rFonts w:hint="eastAsia" w:ascii="仿宋_GB2312" w:hAnsi="宋体" w:eastAsia="仿宋_GB2312" w:cs="仿宋_GB2312"/>
                <w:kern w:val="0"/>
                <w:sz w:val="18"/>
                <w:szCs w:val="18"/>
                <w:lang w:bidi="ar"/>
              </w:rPr>
            </w:pPr>
          </w:p>
          <w:p w14:paraId="5C452A9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责令停产整顿，提出整顿的内容、时间等具体要求，处100万元以上150万元以下的罚款；对煤矿企业负责人处5万元以上10万元以下的罚款。</w:t>
            </w:r>
          </w:p>
        </w:tc>
      </w:tr>
      <w:tr w14:paraId="50B3A4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9"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A59124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21EF52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480B5F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AABE15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AEE2AC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36347E07">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突出煤层、冲击地压煤层采掘工作面</w:t>
            </w:r>
            <w:r>
              <w:rPr>
                <w:rFonts w:hint="eastAsia" w:ascii="仿宋_GB2312" w:hAnsi="宋体" w:eastAsia="仿宋_GB2312" w:cs="仿宋_GB2312"/>
                <w:kern w:val="0"/>
                <w:sz w:val="18"/>
                <w:szCs w:val="18"/>
                <w:lang w:val="en-US" w:eastAsia="zh-CN" w:bidi="ar"/>
              </w:rPr>
              <w:t>缺少3台套及以上</w:t>
            </w:r>
            <w:r>
              <w:rPr>
                <w:rFonts w:hint="eastAsia" w:ascii="仿宋_GB2312" w:hAnsi="宋体" w:eastAsia="仿宋_GB2312" w:cs="仿宋_GB2312"/>
                <w:kern w:val="0"/>
                <w:sz w:val="18"/>
                <w:szCs w:val="18"/>
                <w:lang w:bidi="ar"/>
              </w:rPr>
              <w:t>压风自救装置</w:t>
            </w:r>
            <w:r>
              <w:rPr>
                <w:rFonts w:hint="eastAsia" w:ascii="仿宋_GB2312" w:hAnsi="宋体" w:eastAsia="仿宋_GB2312" w:cs="仿宋_GB2312"/>
                <w:kern w:val="0"/>
                <w:sz w:val="18"/>
                <w:szCs w:val="18"/>
                <w:lang w:val="en-US" w:eastAsia="zh-CN" w:bidi="ar"/>
              </w:rPr>
              <w:t>的。</w:t>
            </w:r>
          </w:p>
        </w:tc>
        <w:tc>
          <w:tcPr>
            <w:tcW w:w="2655" w:type="dxa"/>
            <w:tcBorders>
              <w:tl2br w:val="nil"/>
              <w:tr2bl w:val="nil"/>
            </w:tcBorders>
            <w:shd w:val="clear" w:color="auto" w:fill="auto"/>
            <w:tcMar>
              <w:top w:w="15" w:type="dxa"/>
              <w:left w:w="15" w:type="dxa"/>
              <w:right w:w="15" w:type="dxa"/>
            </w:tcMar>
            <w:vAlign w:val="center"/>
          </w:tcPr>
          <w:p w14:paraId="7FD8C6EC">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1576" w:author="LV" w:date="2026-07-14T16:27:38Z"/>
                <w:rFonts w:hint="eastAsia" w:ascii="仿宋_GB2312" w:hAnsi="宋体" w:eastAsia="仿宋_GB2312" w:cs="仿宋_GB2312"/>
                <w:kern w:val="0"/>
                <w:sz w:val="18"/>
                <w:szCs w:val="18"/>
                <w:lang w:bidi="ar"/>
              </w:rPr>
            </w:pPr>
          </w:p>
          <w:p w14:paraId="33564815">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1577" w:author="LV" w:date="2026-07-14T16:27:40Z"/>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责令停产整顿，提出整顿的内容、时间等具体要求，处150万元以上200万元以下的罚款；对煤矿企业负责人处10万元以上15万元以下的罚款。</w:t>
            </w:r>
          </w:p>
          <w:p w14:paraId="4016ABC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val="en-US" w:eastAsia="zh-CN" w:bidi="ar"/>
              </w:rPr>
            </w:pPr>
          </w:p>
        </w:tc>
      </w:tr>
      <w:tr w14:paraId="7B1082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6CDC95A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hint="default" w:ascii="仿宋_GB2312" w:hAnsi="宋体" w:eastAsia="仿宋_GB2312" w:cs="仿宋_GB2312"/>
                <w:kern w:val="2"/>
                <w:sz w:val="18"/>
                <w:szCs w:val="18"/>
                <w:lang w:val="en-US" w:eastAsia="zh-CN" w:bidi="ar-SA"/>
              </w:rPr>
            </w:pPr>
            <w:del w:id="1578" w:author="LV" w:date="2026-07-14T16:27:57Z">
              <w:r>
                <w:rPr>
                  <w:rFonts w:hint="default" w:ascii="仿宋_GB2312" w:hAnsi="宋体" w:eastAsia="仿宋_GB2312" w:cs="仿宋_GB2312"/>
                  <w:sz w:val="18"/>
                  <w:szCs w:val="18"/>
                  <w:lang w:val="en-US" w:eastAsia="zh-CN"/>
                </w:rPr>
                <w:delText>增加</w:delText>
              </w:r>
            </w:del>
            <w:ins w:id="1579" w:author="LV" w:date="2026-07-14T16:27:57Z">
              <w:r>
                <w:rPr>
                  <w:rFonts w:hint="eastAsia" w:ascii="仿宋_GB2312" w:hAnsi="宋体" w:eastAsia="仿宋_GB2312" w:cs="仿宋_GB2312"/>
                  <w:sz w:val="18"/>
                  <w:szCs w:val="18"/>
                  <w:lang w:val="en-US" w:eastAsia="zh-CN"/>
                </w:rPr>
                <w:t>64</w:t>
              </w:r>
            </w:ins>
          </w:p>
        </w:tc>
        <w:tc>
          <w:tcPr>
            <w:tcW w:w="1005" w:type="dxa"/>
            <w:vMerge w:val="restart"/>
            <w:tcBorders>
              <w:tl2br w:val="nil"/>
              <w:tr2bl w:val="nil"/>
            </w:tcBorders>
            <w:shd w:val="clear" w:color="auto" w:fill="auto"/>
            <w:tcMar>
              <w:top w:w="15" w:type="dxa"/>
              <w:left w:w="15" w:type="dxa"/>
              <w:right w:w="15" w:type="dxa"/>
            </w:tcMar>
            <w:vAlign w:val="center"/>
          </w:tcPr>
          <w:p w14:paraId="56BC0A87">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sz w:val="18"/>
                <w:szCs w:val="18"/>
              </w:rPr>
              <w:t>违反《煤矿安全规程》规定进行电焊、气焊和喷灯焊接等作业</w:t>
            </w:r>
            <w:r>
              <w:rPr>
                <w:rFonts w:hint="eastAsia" w:ascii="仿宋_GB2312" w:hAnsi="宋体" w:eastAsia="仿宋_GB2312" w:cs="仿宋_GB2312"/>
                <w:sz w:val="18"/>
                <w:szCs w:val="18"/>
                <w:lang w:val="en-US" w:eastAsia="zh-CN"/>
              </w:rPr>
              <w:t>的</w:t>
            </w:r>
          </w:p>
        </w:tc>
        <w:tc>
          <w:tcPr>
            <w:tcW w:w="3667" w:type="dxa"/>
            <w:vMerge w:val="restart"/>
            <w:tcBorders>
              <w:tl2br w:val="nil"/>
              <w:tr2bl w:val="nil"/>
            </w:tcBorders>
            <w:shd w:val="clear" w:color="auto" w:fill="auto"/>
            <w:tcMar>
              <w:top w:w="15" w:type="dxa"/>
              <w:left w:w="15" w:type="dxa"/>
              <w:right w:w="15" w:type="dxa"/>
            </w:tcMar>
            <w:vAlign w:val="center"/>
          </w:tcPr>
          <w:p w14:paraId="523964E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《煤矿安全生产条例》第三十六条第</w:t>
            </w:r>
            <w:r>
              <w:rPr>
                <w:rFonts w:hint="eastAsia" w:ascii="仿宋_GB2312" w:hAnsi="宋体" w:eastAsia="仿宋_GB2312" w:cs="仿宋_GB2312"/>
                <w:kern w:val="0"/>
                <w:sz w:val="18"/>
                <w:szCs w:val="18"/>
                <w:lang w:val="en-US" w:eastAsia="zh-CN" w:bidi="ar"/>
              </w:rPr>
              <w:t>十七</w:t>
            </w:r>
            <w:r>
              <w:rPr>
                <w:rFonts w:hint="eastAsia" w:ascii="仿宋_GB2312" w:hAnsi="宋体" w:eastAsia="仿宋_GB2312" w:cs="仿宋_GB2312"/>
                <w:kern w:val="0"/>
                <w:sz w:val="18"/>
                <w:szCs w:val="18"/>
                <w:lang w:bidi="ar"/>
              </w:rPr>
              <w:t>项  煤矿企业有下列情形之一的，属于重大事故隐患，应当立即停止受影响区域生产、建设，并及时消除事故隐患：（十</w:t>
            </w:r>
            <w:r>
              <w:rPr>
                <w:rFonts w:hint="eastAsia" w:ascii="仿宋_GB2312" w:hAnsi="宋体" w:eastAsia="仿宋_GB2312" w:cs="仿宋_GB2312"/>
                <w:kern w:val="0"/>
                <w:sz w:val="18"/>
                <w:szCs w:val="18"/>
                <w:lang w:val="en-US" w:eastAsia="zh-CN" w:bidi="ar"/>
              </w:rPr>
              <w:t>七</w:t>
            </w:r>
            <w:r>
              <w:rPr>
                <w:rFonts w:hint="eastAsia" w:ascii="仿宋_GB2312" w:hAnsi="宋体" w:eastAsia="仿宋_GB2312" w:cs="仿宋_GB2312"/>
                <w:kern w:val="0"/>
                <w:sz w:val="18"/>
                <w:szCs w:val="18"/>
                <w:lang w:bidi="ar"/>
              </w:rPr>
              <w:t>）有其他重大事故隐患的。</w:t>
            </w:r>
          </w:p>
          <w:p w14:paraId="6FB4FF3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《煤矿重大事故隐患判定标准》第</w:t>
            </w:r>
            <w:r>
              <w:rPr>
                <w:rFonts w:hint="eastAsia" w:ascii="仿宋_GB2312" w:hAnsi="宋体" w:eastAsia="仿宋_GB2312" w:cs="仿宋_GB2312"/>
                <w:kern w:val="0"/>
                <w:sz w:val="18"/>
                <w:szCs w:val="18"/>
                <w:lang w:val="en-US" w:eastAsia="zh-CN" w:bidi="ar"/>
              </w:rPr>
              <w:t>二十</w:t>
            </w:r>
            <w:r>
              <w:rPr>
                <w:rFonts w:hint="eastAsia" w:ascii="仿宋_GB2312" w:hAnsi="宋体" w:eastAsia="仿宋_GB2312" w:cs="仿宋_GB2312"/>
                <w:kern w:val="0"/>
                <w:sz w:val="18"/>
                <w:szCs w:val="18"/>
                <w:lang w:bidi="ar"/>
              </w:rPr>
              <w:t>条</w:t>
            </w:r>
            <w:r>
              <w:rPr>
                <w:rFonts w:hint="eastAsia" w:ascii="仿宋_GB2312" w:hAnsi="宋体" w:eastAsia="仿宋_GB2312" w:cs="仿宋_GB2312"/>
                <w:kern w:val="0"/>
                <w:sz w:val="18"/>
                <w:szCs w:val="18"/>
                <w:lang w:val="en-US" w:eastAsia="zh-CN" w:bidi="ar"/>
              </w:rPr>
              <w:t xml:space="preserve">第十五项 </w:t>
            </w:r>
            <w:r>
              <w:rPr>
                <w:rFonts w:hint="eastAsia" w:ascii="仿宋_GB2312" w:hAnsi="宋体" w:eastAsia="仿宋_GB2312" w:cs="仿宋_GB2312"/>
                <w:kern w:val="0"/>
                <w:sz w:val="18"/>
                <w:szCs w:val="18"/>
                <w:lang w:bidi="ar"/>
              </w:rPr>
              <w:t>“其他重大事故隐患”，是指有下列情形之一的</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w:t>
            </w:r>
            <w:r>
              <w:rPr>
                <w:rFonts w:hint="eastAsia" w:ascii="仿宋_GB2312" w:hAnsi="宋体" w:eastAsia="仿宋_GB2312" w:cs="仿宋_GB2312"/>
                <w:kern w:val="0"/>
                <w:sz w:val="18"/>
                <w:szCs w:val="18"/>
                <w:lang w:val="en-US" w:eastAsia="zh-CN" w:bidi="ar"/>
              </w:rPr>
              <w:t>十五</w:t>
            </w:r>
            <w:r>
              <w:rPr>
                <w:rFonts w:hint="eastAsia" w:ascii="仿宋_GB2312" w:hAnsi="宋体" w:eastAsia="仿宋_GB2312" w:cs="仿宋_GB2312"/>
                <w:kern w:val="0"/>
                <w:sz w:val="18"/>
                <w:szCs w:val="18"/>
                <w:lang w:bidi="ar"/>
              </w:rPr>
              <w:t>)违反《煤矿安全规程》规定进行电焊、气焊和喷灯焊接等作业。</w:t>
            </w:r>
          </w:p>
        </w:tc>
        <w:tc>
          <w:tcPr>
            <w:tcW w:w="4082" w:type="dxa"/>
            <w:vMerge w:val="restart"/>
            <w:tcBorders>
              <w:tl2br w:val="nil"/>
              <w:tr2bl w:val="nil"/>
            </w:tcBorders>
            <w:shd w:val="clear" w:color="auto" w:fill="auto"/>
            <w:tcMar>
              <w:top w:w="15" w:type="dxa"/>
              <w:left w:w="15" w:type="dxa"/>
              <w:right w:w="15" w:type="dxa"/>
            </w:tcMar>
            <w:vAlign w:val="center"/>
          </w:tcPr>
          <w:p w14:paraId="2C1C35A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《煤矿安全生产条例》第六十四条  对存在重大事故隐患仍然进行生产的煤矿企业，责令停产整顿，明确整顿的内容、时间等具体要求，并处50万元以上200 万元以下的罚款；对煤矿企业主要负责人处3万元以上15万元以下的罚款。</w:t>
            </w:r>
          </w:p>
        </w:tc>
        <w:tc>
          <w:tcPr>
            <w:tcW w:w="459" w:type="dxa"/>
            <w:tcBorders>
              <w:tl2br w:val="nil"/>
              <w:tr2bl w:val="nil"/>
            </w:tcBorders>
            <w:shd w:val="clear" w:color="auto" w:fill="auto"/>
            <w:noWrap/>
            <w:tcMar>
              <w:top w:w="15" w:type="dxa"/>
              <w:left w:w="15" w:type="dxa"/>
              <w:right w:w="15" w:type="dxa"/>
            </w:tcMar>
            <w:vAlign w:val="center"/>
          </w:tcPr>
          <w:p w14:paraId="07C5E4C7">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237FDA94">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BDCC927">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53AF63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9C64E4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500A75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46EF4B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E86842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66DCFFB">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1E8B4470">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2C7E077C">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6DA053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1"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24F37A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AE5E2C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5F8D6E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5F4C8C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A3576EA">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39D83355">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E864F51">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7A8C71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2"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A5987C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1CBE5F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F56E8C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7292AF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795F53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23082DF9">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default" w:ascii="仿宋_GB2312" w:hAnsi="宋体" w:eastAsia="仿宋_GB2312" w:cs="仿宋_GB2312"/>
                <w:kern w:val="2"/>
                <w:sz w:val="18"/>
                <w:szCs w:val="18"/>
                <w:lang w:val="en-US" w:eastAsia="zh-CN" w:bidi="ar-SA"/>
              </w:rPr>
            </w:pPr>
            <w:r>
              <w:rPr>
                <w:rFonts w:hint="eastAsia" w:ascii="仿宋_GB2312" w:hAnsi="宋体" w:eastAsia="仿宋_GB2312" w:cs="仿宋_GB2312"/>
                <w:kern w:val="2"/>
                <w:sz w:val="18"/>
                <w:szCs w:val="18"/>
                <w:lang w:val="en-US" w:eastAsia="zh-CN" w:bidi="ar-SA"/>
              </w:rPr>
              <w:t>在《煤矿安全规程》允许动火作业的</w:t>
            </w:r>
            <w:r>
              <w:rPr>
                <w:rFonts w:hint="eastAsia" w:ascii="仿宋_GB2312" w:hAnsi="宋体" w:eastAsia="仿宋_GB2312" w:cs="仿宋_GB2312"/>
                <w:sz w:val="18"/>
                <w:szCs w:val="18"/>
              </w:rPr>
              <w:t>井下主要硐室</w:t>
            </w:r>
            <w:r>
              <w:rPr>
                <w:rFonts w:hint="eastAsia" w:ascii="仿宋_GB2312" w:hAnsi="宋体" w:eastAsia="仿宋_GB2312" w:cs="仿宋_GB2312"/>
                <w:sz w:val="18"/>
                <w:szCs w:val="18"/>
                <w:lang w:val="en-US" w:eastAsia="zh-CN"/>
              </w:rPr>
              <w:t>等</w:t>
            </w:r>
            <w:r>
              <w:rPr>
                <w:rFonts w:hint="eastAsia" w:ascii="仿宋_GB2312" w:hAnsi="宋体" w:eastAsia="仿宋_GB2312" w:cs="仿宋_GB2312"/>
                <w:kern w:val="2"/>
                <w:sz w:val="18"/>
                <w:szCs w:val="18"/>
                <w:lang w:val="en-US" w:eastAsia="zh-CN" w:bidi="ar-SA"/>
              </w:rPr>
              <w:t>地点进行</w:t>
            </w:r>
            <w:r>
              <w:rPr>
                <w:rFonts w:hint="eastAsia" w:ascii="仿宋_GB2312" w:hAnsi="宋体" w:eastAsia="仿宋_GB2312" w:cs="仿宋_GB2312"/>
                <w:kern w:val="0"/>
                <w:sz w:val="18"/>
                <w:szCs w:val="18"/>
                <w:lang w:bidi="ar"/>
              </w:rPr>
              <w:t>电焊、气焊和喷灯焊接等作业</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val="en-US" w:eastAsia="zh-CN" w:bidi="ar"/>
              </w:rPr>
              <w:t>施工过程有1处不符合《煤矿安全规程》规定的。</w:t>
            </w:r>
          </w:p>
        </w:tc>
        <w:tc>
          <w:tcPr>
            <w:tcW w:w="2655" w:type="dxa"/>
            <w:tcBorders>
              <w:tl2br w:val="nil"/>
              <w:tr2bl w:val="nil"/>
            </w:tcBorders>
            <w:shd w:val="clear" w:color="auto" w:fill="auto"/>
            <w:tcMar>
              <w:top w:w="15" w:type="dxa"/>
              <w:left w:w="15" w:type="dxa"/>
              <w:right w:w="15" w:type="dxa"/>
            </w:tcMar>
            <w:vAlign w:val="center"/>
          </w:tcPr>
          <w:p w14:paraId="1ECB720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责令停产整顿，提出整顿的内容、时间等具体要求，处50万元以上100万元以下的罚款；对煤矿企业负责人处3万元以上5万元以下的罚款。</w:t>
            </w:r>
          </w:p>
        </w:tc>
      </w:tr>
      <w:tr w14:paraId="6FE728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8"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3C55F7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CC426B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72FD29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FDB960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3D6689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404CED45">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2"/>
                <w:sz w:val="18"/>
                <w:szCs w:val="18"/>
                <w:lang w:val="en-US" w:eastAsia="zh-CN" w:bidi="ar-SA"/>
              </w:rPr>
              <w:t>在《煤矿安全规程》允许动火作业的</w:t>
            </w:r>
            <w:r>
              <w:rPr>
                <w:rFonts w:hint="eastAsia" w:ascii="仿宋_GB2312" w:hAnsi="宋体" w:eastAsia="仿宋_GB2312" w:cs="仿宋_GB2312"/>
                <w:sz w:val="18"/>
                <w:szCs w:val="18"/>
              </w:rPr>
              <w:t>井下主要硐室</w:t>
            </w:r>
            <w:r>
              <w:rPr>
                <w:rFonts w:hint="eastAsia" w:ascii="仿宋_GB2312" w:hAnsi="宋体" w:eastAsia="仿宋_GB2312" w:cs="仿宋_GB2312"/>
                <w:sz w:val="18"/>
                <w:szCs w:val="18"/>
                <w:lang w:val="en-US" w:eastAsia="zh-CN"/>
              </w:rPr>
              <w:t>等</w:t>
            </w:r>
            <w:r>
              <w:rPr>
                <w:rFonts w:hint="eastAsia" w:ascii="仿宋_GB2312" w:hAnsi="宋体" w:eastAsia="仿宋_GB2312" w:cs="仿宋_GB2312"/>
                <w:kern w:val="2"/>
                <w:sz w:val="18"/>
                <w:szCs w:val="18"/>
                <w:lang w:val="en-US" w:eastAsia="zh-CN" w:bidi="ar-SA"/>
              </w:rPr>
              <w:t>地点进行</w:t>
            </w:r>
            <w:r>
              <w:rPr>
                <w:rFonts w:hint="eastAsia" w:ascii="仿宋_GB2312" w:hAnsi="宋体" w:eastAsia="仿宋_GB2312" w:cs="仿宋_GB2312"/>
                <w:kern w:val="0"/>
                <w:sz w:val="18"/>
                <w:szCs w:val="18"/>
                <w:lang w:bidi="ar"/>
              </w:rPr>
              <w:t>电焊、气焊和喷灯焊接等作业</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val="en-US" w:eastAsia="zh-CN" w:bidi="ar"/>
              </w:rPr>
              <w:t>施工过程有2处不符合《煤矿安全规程》规定的。</w:t>
            </w:r>
          </w:p>
        </w:tc>
        <w:tc>
          <w:tcPr>
            <w:tcW w:w="2655" w:type="dxa"/>
            <w:tcBorders>
              <w:tl2br w:val="nil"/>
              <w:tr2bl w:val="nil"/>
            </w:tcBorders>
            <w:shd w:val="clear" w:color="auto" w:fill="auto"/>
            <w:tcMar>
              <w:top w:w="15" w:type="dxa"/>
              <w:left w:w="15" w:type="dxa"/>
              <w:right w:w="15" w:type="dxa"/>
            </w:tcMar>
            <w:vAlign w:val="center"/>
          </w:tcPr>
          <w:p w14:paraId="374F4BE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责令停产整顿，提出整顿的内容、时间等具体要求，处100万元以上150万元以下的罚款；对煤矿企业负责人处5万元以上10万元以下的罚款。</w:t>
            </w:r>
          </w:p>
        </w:tc>
      </w:tr>
      <w:tr w14:paraId="083745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8"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B1E737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BD5F44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AD3EAB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D01049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64AE3D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65D2D9AE">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0"/>
                <w:sz w:val="18"/>
                <w:szCs w:val="18"/>
                <w:lang w:val="en-US" w:eastAsia="zh-CN" w:bidi="ar"/>
              </w:rPr>
            </w:pPr>
            <w:r>
              <w:rPr>
                <w:rFonts w:hint="eastAsia" w:ascii="仿宋_GB2312" w:hAnsi="宋体" w:eastAsia="仿宋_GB2312" w:cs="仿宋_GB2312"/>
                <w:kern w:val="2"/>
                <w:sz w:val="18"/>
                <w:szCs w:val="18"/>
                <w:lang w:val="en-US" w:eastAsia="zh-CN" w:bidi="ar-SA"/>
              </w:rPr>
              <w:t>①在《煤矿安全规程》允许动火作业的</w:t>
            </w:r>
            <w:r>
              <w:rPr>
                <w:rFonts w:hint="eastAsia" w:ascii="仿宋_GB2312" w:hAnsi="宋体" w:eastAsia="仿宋_GB2312" w:cs="仿宋_GB2312"/>
                <w:sz w:val="18"/>
                <w:szCs w:val="18"/>
              </w:rPr>
              <w:t>井下主要硐室</w:t>
            </w:r>
            <w:r>
              <w:rPr>
                <w:rFonts w:hint="eastAsia" w:ascii="仿宋_GB2312" w:hAnsi="宋体" w:eastAsia="仿宋_GB2312" w:cs="仿宋_GB2312"/>
                <w:sz w:val="18"/>
                <w:szCs w:val="18"/>
                <w:lang w:val="en-US" w:eastAsia="zh-CN"/>
              </w:rPr>
              <w:t>等</w:t>
            </w:r>
            <w:r>
              <w:rPr>
                <w:rFonts w:hint="eastAsia" w:ascii="仿宋_GB2312" w:hAnsi="宋体" w:eastAsia="仿宋_GB2312" w:cs="仿宋_GB2312"/>
                <w:kern w:val="2"/>
                <w:sz w:val="18"/>
                <w:szCs w:val="18"/>
                <w:lang w:val="en-US" w:eastAsia="zh-CN" w:bidi="ar-SA"/>
              </w:rPr>
              <w:t>地点进行</w:t>
            </w:r>
            <w:r>
              <w:rPr>
                <w:rFonts w:hint="eastAsia" w:ascii="仿宋_GB2312" w:hAnsi="宋体" w:eastAsia="仿宋_GB2312" w:cs="仿宋_GB2312"/>
                <w:kern w:val="0"/>
                <w:sz w:val="18"/>
                <w:szCs w:val="18"/>
                <w:lang w:bidi="ar"/>
              </w:rPr>
              <w:t>电焊、气焊和喷灯焊接等作业</w:t>
            </w:r>
            <w:r>
              <w:rPr>
                <w:rFonts w:hint="eastAsia" w:ascii="仿宋_GB2312" w:hAnsi="宋体" w:eastAsia="仿宋_GB2312" w:cs="仿宋_GB2312"/>
                <w:kern w:val="0"/>
                <w:sz w:val="18"/>
                <w:szCs w:val="18"/>
                <w:lang w:val="en-US" w:eastAsia="zh-CN" w:bidi="ar"/>
              </w:rPr>
              <w:t>的。</w:t>
            </w:r>
          </w:p>
          <w:p w14:paraId="174AB831">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0"/>
                <w:sz w:val="18"/>
                <w:szCs w:val="18"/>
                <w:lang w:val="en-US" w:eastAsia="zh-CN" w:bidi="ar"/>
              </w:rPr>
            </w:pPr>
            <w:r>
              <w:rPr>
                <w:rFonts w:hint="eastAsia" w:ascii="仿宋_GB2312" w:hAnsi="宋体" w:eastAsia="仿宋_GB2312" w:cs="仿宋_GB2312"/>
                <w:kern w:val="2"/>
                <w:sz w:val="18"/>
                <w:szCs w:val="18"/>
                <w:lang w:val="en-US" w:eastAsia="zh-CN" w:bidi="ar-SA"/>
              </w:rPr>
              <w:t>②在《煤矿安全规程》允许动火作业的</w:t>
            </w:r>
            <w:r>
              <w:rPr>
                <w:rFonts w:hint="eastAsia" w:ascii="仿宋_GB2312" w:hAnsi="宋体" w:eastAsia="仿宋_GB2312" w:cs="仿宋_GB2312"/>
                <w:sz w:val="18"/>
                <w:szCs w:val="18"/>
              </w:rPr>
              <w:t>井下主要硐室</w:t>
            </w:r>
            <w:r>
              <w:rPr>
                <w:rFonts w:hint="eastAsia" w:ascii="仿宋_GB2312" w:hAnsi="宋体" w:eastAsia="仿宋_GB2312" w:cs="仿宋_GB2312"/>
                <w:sz w:val="18"/>
                <w:szCs w:val="18"/>
                <w:lang w:val="en-US" w:eastAsia="zh-CN"/>
              </w:rPr>
              <w:t>等</w:t>
            </w:r>
            <w:r>
              <w:rPr>
                <w:rFonts w:hint="eastAsia" w:ascii="仿宋_GB2312" w:hAnsi="宋体" w:eastAsia="仿宋_GB2312" w:cs="仿宋_GB2312"/>
                <w:kern w:val="2"/>
                <w:sz w:val="18"/>
                <w:szCs w:val="18"/>
                <w:lang w:val="en-US" w:eastAsia="zh-CN" w:bidi="ar-SA"/>
              </w:rPr>
              <w:t>地点进行</w:t>
            </w:r>
            <w:r>
              <w:rPr>
                <w:rFonts w:hint="eastAsia" w:ascii="仿宋_GB2312" w:hAnsi="宋体" w:eastAsia="仿宋_GB2312" w:cs="仿宋_GB2312"/>
                <w:kern w:val="0"/>
                <w:sz w:val="18"/>
                <w:szCs w:val="18"/>
                <w:lang w:bidi="ar"/>
              </w:rPr>
              <w:t>电焊、气焊和喷灯焊接等作业</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val="en-US" w:eastAsia="zh-CN" w:bidi="ar"/>
              </w:rPr>
              <w:t>施工过程有3处及以上不符合《煤矿安全规程》规定的。</w:t>
            </w:r>
          </w:p>
        </w:tc>
        <w:tc>
          <w:tcPr>
            <w:tcW w:w="2655" w:type="dxa"/>
            <w:tcBorders>
              <w:tl2br w:val="nil"/>
              <w:tr2bl w:val="nil"/>
            </w:tcBorders>
            <w:shd w:val="clear" w:color="auto" w:fill="auto"/>
            <w:tcMar>
              <w:top w:w="15" w:type="dxa"/>
              <w:left w:w="15" w:type="dxa"/>
              <w:right w:w="15" w:type="dxa"/>
            </w:tcMar>
            <w:vAlign w:val="center"/>
          </w:tcPr>
          <w:p w14:paraId="60D3914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责令停产整顿，提出整顿的内容、时间等具体要求，处150万元以上200万元以下的罚款；对煤矿企业负责人处10万元以上15万元以下的罚款。</w:t>
            </w:r>
          </w:p>
        </w:tc>
      </w:tr>
      <w:tr w14:paraId="142A14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8"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6E705E4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hint="default" w:ascii="仿宋_GB2312" w:hAnsi="宋体" w:eastAsia="仿宋_GB2312" w:cs="仿宋_GB2312"/>
                <w:kern w:val="2"/>
                <w:sz w:val="18"/>
                <w:szCs w:val="18"/>
                <w:lang w:val="en-US" w:eastAsia="zh-CN" w:bidi="ar-SA"/>
              </w:rPr>
            </w:pPr>
            <w:del w:id="1580" w:author="LV" w:date="2026-07-14T16:28:02Z">
              <w:r>
                <w:rPr>
                  <w:rFonts w:hint="default" w:ascii="仿宋_GB2312" w:hAnsi="宋体" w:eastAsia="仿宋_GB2312" w:cs="仿宋_GB2312"/>
                  <w:sz w:val="18"/>
                  <w:szCs w:val="18"/>
                  <w:lang w:val="en-US" w:eastAsia="zh-CN"/>
                </w:rPr>
                <w:delText>增加</w:delText>
              </w:r>
            </w:del>
            <w:ins w:id="1581" w:author="LV" w:date="2026-07-14T16:28:02Z">
              <w:r>
                <w:rPr>
                  <w:rFonts w:hint="eastAsia" w:ascii="仿宋_GB2312" w:hAnsi="宋体" w:eastAsia="仿宋_GB2312" w:cs="仿宋_GB2312"/>
                  <w:sz w:val="18"/>
                  <w:szCs w:val="18"/>
                  <w:lang w:val="en-US" w:eastAsia="zh-CN"/>
                </w:rPr>
                <w:t>6</w:t>
              </w:r>
            </w:ins>
            <w:ins w:id="1582" w:author="LV" w:date="2026-07-14T16:28:03Z">
              <w:r>
                <w:rPr>
                  <w:rFonts w:hint="eastAsia" w:ascii="仿宋_GB2312" w:hAnsi="宋体" w:eastAsia="仿宋_GB2312" w:cs="仿宋_GB2312"/>
                  <w:sz w:val="18"/>
                  <w:szCs w:val="18"/>
                  <w:lang w:val="en-US" w:eastAsia="zh-CN"/>
                </w:rPr>
                <w:t>5</w:t>
              </w:r>
            </w:ins>
          </w:p>
        </w:tc>
        <w:tc>
          <w:tcPr>
            <w:tcW w:w="1005" w:type="dxa"/>
            <w:vMerge w:val="restart"/>
            <w:tcBorders>
              <w:tl2br w:val="nil"/>
              <w:tr2bl w:val="nil"/>
            </w:tcBorders>
            <w:shd w:val="clear" w:color="auto" w:fill="auto"/>
            <w:tcMar>
              <w:top w:w="15" w:type="dxa"/>
              <w:left w:w="15" w:type="dxa"/>
              <w:right w:w="15" w:type="dxa"/>
            </w:tcMar>
            <w:vAlign w:val="center"/>
          </w:tcPr>
          <w:p w14:paraId="46633D17">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sz w:val="18"/>
                <w:szCs w:val="18"/>
              </w:rPr>
              <w:t>在采掘工作面违反作业规程规定空顶作业</w:t>
            </w:r>
            <w:r>
              <w:rPr>
                <w:rFonts w:hint="eastAsia" w:ascii="仿宋_GB2312" w:hAnsi="宋体" w:eastAsia="仿宋_GB2312" w:cs="仿宋_GB2312"/>
                <w:sz w:val="18"/>
                <w:szCs w:val="18"/>
                <w:lang w:val="en-US" w:eastAsia="zh-CN"/>
              </w:rPr>
              <w:t>的</w:t>
            </w:r>
          </w:p>
        </w:tc>
        <w:tc>
          <w:tcPr>
            <w:tcW w:w="3667" w:type="dxa"/>
            <w:vMerge w:val="restart"/>
            <w:tcBorders>
              <w:tl2br w:val="nil"/>
              <w:tr2bl w:val="nil"/>
            </w:tcBorders>
            <w:shd w:val="clear" w:color="auto" w:fill="auto"/>
            <w:tcMar>
              <w:top w:w="15" w:type="dxa"/>
              <w:left w:w="15" w:type="dxa"/>
              <w:right w:w="15" w:type="dxa"/>
            </w:tcMar>
            <w:vAlign w:val="center"/>
          </w:tcPr>
          <w:p w14:paraId="0F2E6BB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《煤矿安全生产条例》第三十六条第</w:t>
            </w:r>
            <w:r>
              <w:rPr>
                <w:rFonts w:hint="eastAsia" w:ascii="仿宋_GB2312" w:hAnsi="宋体" w:eastAsia="仿宋_GB2312" w:cs="仿宋_GB2312"/>
                <w:kern w:val="0"/>
                <w:sz w:val="18"/>
                <w:szCs w:val="18"/>
                <w:lang w:val="en-US" w:eastAsia="zh-CN" w:bidi="ar"/>
              </w:rPr>
              <w:t>十七</w:t>
            </w:r>
            <w:r>
              <w:rPr>
                <w:rFonts w:hint="eastAsia" w:ascii="仿宋_GB2312" w:hAnsi="宋体" w:eastAsia="仿宋_GB2312" w:cs="仿宋_GB2312"/>
                <w:kern w:val="0"/>
                <w:sz w:val="18"/>
                <w:szCs w:val="18"/>
                <w:lang w:bidi="ar"/>
              </w:rPr>
              <w:t>项  煤矿企业有下列情形之一的，属于重大事故隐患，应当立即停止受影响区域生产、建设，并及时消除事故隐患：（十</w:t>
            </w:r>
            <w:r>
              <w:rPr>
                <w:rFonts w:hint="eastAsia" w:ascii="仿宋_GB2312" w:hAnsi="宋体" w:eastAsia="仿宋_GB2312" w:cs="仿宋_GB2312"/>
                <w:kern w:val="0"/>
                <w:sz w:val="18"/>
                <w:szCs w:val="18"/>
                <w:lang w:val="en-US" w:eastAsia="zh-CN" w:bidi="ar"/>
              </w:rPr>
              <w:t>七</w:t>
            </w:r>
            <w:r>
              <w:rPr>
                <w:rFonts w:hint="eastAsia" w:ascii="仿宋_GB2312" w:hAnsi="宋体" w:eastAsia="仿宋_GB2312" w:cs="仿宋_GB2312"/>
                <w:kern w:val="0"/>
                <w:sz w:val="18"/>
                <w:szCs w:val="18"/>
                <w:lang w:bidi="ar"/>
              </w:rPr>
              <w:t>）有其他重大事故隐患的。</w:t>
            </w:r>
          </w:p>
          <w:p w14:paraId="7C10E35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《煤矿重大事故隐患判定标准》第</w:t>
            </w:r>
            <w:r>
              <w:rPr>
                <w:rFonts w:hint="eastAsia" w:ascii="仿宋_GB2312" w:hAnsi="宋体" w:eastAsia="仿宋_GB2312" w:cs="仿宋_GB2312"/>
                <w:kern w:val="0"/>
                <w:sz w:val="18"/>
                <w:szCs w:val="18"/>
                <w:lang w:val="en-US" w:eastAsia="zh-CN" w:bidi="ar"/>
              </w:rPr>
              <w:t>二十</w:t>
            </w:r>
            <w:r>
              <w:rPr>
                <w:rFonts w:hint="eastAsia" w:ascii="仿宋_GB2312" w:hAnsi="宋体" w:eastAsia="仿宋_GB2312" w:cs="仿宋_GB2312"/>
                <w:kern w:val="0"/>
                <w:sz w:val="18"/>
                <w:szCs w:val="18"/>
                <w:lang w:bidi="ar"/>
              </w:rPr>
              <w:t>条</w:t>
            </w:r>
            <w:r>
              <w:rPr>
                <w:rFonts w:hint="eastAsia" w:ascii="仿宋_GB2312" w:hAnsi="宋体" w:eastAsia="仿宋_GB2312" w:cs="仿宋_GB2312"/>
                <w:kern w:val="0"/>
                <w:sz w:val="18"/>
                <w:szCs w:val="18"/>
                <w:lang w:val="en-US" w:eastAsia="zh-CN" w:bidi="ar"/>
              </w:rPr>
              <w:t xml:space="preserve">第十六项 </w:t>
            </w:r>
            <w:r>
              <w:rPr>
                <w:rFonts w:hint="eastAsia" w:ascii="仿宋_GB2312" w:hAnsi="宋体" w:eastAsia="仿宋_GB2312" w:cs="仿宋_GB2312"/>
                <w:kern w:val="0"/>
                <w:sz w:val="18"/>
                <w:szCs w:val="18"/>
                <w:lang w:bidi="ar"/>
              </w:rPr>
              <w:t>“其他重大事故隐患”，是指有下列情形之一的</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w:t>
            </w:r>
            <w:r>
              <w:rPr>
                <w:rFonts w:hint="eastAsia" w:ascii="仿宋_GB2312" w:hAnsi="宋体" w:eastAsia="仿宋_GB2312" w:cs="仿宋_GB2312"/>
                <w:kern w:val="0"/>
                <w:sz w:val="18"/>
                <w:szCs w:val="18"/>
                <w:lang w:val="en-US" w:eastAsia="zh-CN" w:bidi="ar"/>
              </w:rPr>
              <w:t>十六</w:t>
            </w:r>
            <w:r>
              <w:rPr>
                <w:rFonts w:hint="eastAsia" w:ascii="仿宋_GB2312" w:hAnsi="宋体" w:eastAsia="仿宋_GB2312" w:cs="仿宋_GB2312"/>
                <w:kern w:val="0"/>
                <w:sz w:val="18"/>
                <w:szCs w:val="18"/>
                <w:lang w:bidi="ar"/>
              </w:rPr>
              <w:t>)在采掘工作面违反作业规程规定空顶作业。</w:t>
            </w:r>
          </w:p>
        </w:tc>
        <w:tc>
          <w:tcPr>
            <w:tcW w:w="4082" w:type="dxa"/>
            <w:vMerge w:val="restart"/>
            <w:tcBorders>
              <w:tl2br w:val="nil"/>
              <w:tr2bl w:val="nil"/>
            </w:tcBorders>
            <w:shd w:val="clear" w:color="auto" w:fill="auto"/>
            <w:tcMar>
              <w:top w:w="15" w:type="dxa"/>
              <w:left w:w="15" w:type="dxa"/>
              <w:right w:w="15" w:type="dxa"/>
            </w:tcMar>
            <w:vAlign w:val="center"/>
          </w:tcPr>
          <w:p w14:paraId="00643AB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《煤矿安全生产条例》第六十四条  对存在重大事故隐患仍然进行生产的煤矿企业，责令停产整顿，明确整顿的内容、时间等具体要求，并处50万元以上200 万元以下的罚款；对煤矿企业主要负责人处3万元以上15万元以下的罚款。</w:t>
            </w:r>
          </w:p>
        </w:tc>
        <w:tc>
          <w:tcPr>
            <w:tcW w:w="459" w:type="dxa"/>
            <w:tcBorders>
              <w:tl2br w:val="nil"/>
              <w:tr2bl w:val="nil"/>
            </w:tcBorders>
            <w:shd w:val="clear" w:color="auto" w:fill="auto"/>
            <w:noWrap/>
            <w:tcMar>
              <w:top w:w="15" w:type="dxa"/>
              <w:left w:w="15" w:type="dxa"/>
              <w:right w:w="15" w:type="dxa"/>
            </w:tcMar>
            <w:vAlign w:val="center"/>
          </w:tcPr>
          <w:p w14:paraId="0706C42A">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5F26D2F0">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A96616E">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6A20D1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8"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1936E4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38858E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6009C4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E51B83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49D436A">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0FA117A4">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0A20D962">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0664AC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8"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0B823D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9CD741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C599AB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51771A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A6801FC">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4567BE82">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370400F">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3C198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8"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52D9C1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B192B4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095A16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902CEF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DE5D48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242B359C">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default" w:ascii="仿宋_GB2312" w:hAnsi="宋体" w:eastAsia="仿宋_GB2312" w:cs="仿宋_GB2312"/>
                <w:kern w:val="2"/>
                <w:sz w:val="18"/>
                <w:szCs w:val="18"/>
                <w:lang w:val="en-US" w:eastAsia="zh-CN" w:bidi="ar-SA"/>
              </w:rPr>
            </w:pPr>
            <w:r>
              <w:rPr>
                <w:rFonts w:hint="eastAsia" w:ascii="仿宋_GB2312" w:hAnsi="宋体" w:eastAsia="仿宋_GB2312" w:cs="仿宋_GB2312"/>
                <w:sz w:val="18"/>
                <w:szCs w:val="18"/>
              </w:rPr>
              <w:t>在采掘工作面违反作业规程规定空顶作业</w:t>
            </w:r>
            <w:r>
              <w:rPr>
                <w:rFonts w:hint="eastAsia" w:ascii="仿宋_GB2312" w:hAnsi="宋体" w:eastAsia="仿宋_GB2312" w:cs="仿宋_GB2312"/>
                <w:sz w:val="18"/>
                <w:szCs w:val="18"/>
                <w:lang w:val="en-US" w:eastAsia="zh-CN"/>
              </w:rPr>
              <w:t>的，涉及1人的。</w:t>
            </w:r>
          </w:p>
        </w:tc>
        <w:tc>
          <w:tcPr>
            <w:tcW w:w="2655" w:type="dxa"/>
            <w:tcBorders>
              <w:tl2br w:val="nil"/>
              <w:tr2bl w:val="nil"/>
            </w:tcBorders>
            <w:shd w:val="clear" w:color="auto" w:fill="auto"/>
            <w:tcMar>
              <w:top w:w="15" w:type="dxa"/>
              <w:left w:w="15" w:type="dxa"/>
              <w:right w:w="15" w:type="dxa"/>
            </w:tcMar>
            <w:vAlign w:val="center"/>
          </w:tcPr>
          <w:p w14:paraId="2F7DD370">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1583" w:author="LV" w:date="2026-07-14T16:28:38Z"/>
                <w:rFonts w:hint="eastAsia" w:ascii="仿宋_GB2312" w:hAnsi="宋体" w:eastAsia="仿宋_GB2312" w:cs="仿宋_GB2312"/>
                <w:kern w:val="0"/>
                <w:sz w:val="18"/>
                <w:szCs w:val="18"/>
                <w:lang w:bidi="ar"/>
              </w:rPr>
            </w:pPr>
          </w:p>
          <w:p w14:paraId="75DB4B1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责令停产整顿，提出整顿的内容、时间等具体要求，处50万元以上100万元以下的罚款；对煤矿企业负责人处3万元以上5万元以下的罚款。</w:t>
            </w:r>
          </w:p>
        </w:tc>
      </w:tr>
      <w:tr w14:paraId="2DE7C0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8"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0947F5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4A3227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CA72AC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23DB63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F54491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66D87F42">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sz w:val="18"/>
                <w:szCs w:val="18"/>
              </w:rPr>
              <w:t>在采掘工作面违反作业规程规定空顶作业</w:t>
            </w:r>
            <w:r>
              <w:rPr>
                <w:rFonts w:hint="eastAsia" w:ascii="仿宋_GB2312" w:hAnsi="宋体" w:eastAsia="仿宋_GB2312" w:cs="仿宋_GB2312"/>
                <w:sz w:val="18"/>
                <w:szCs w:val="18"/>
                <w:lang w:val="en-US" w:eastAsia="zh-CN"/>
              </w:rPr>
              <w:t>的，涉及2人的。</w:t>
            </w:r>
          </w:p>
        </w:tc>
        <w:tc>
          <w:tcPr>
            <w:tcW w:w="2655" w:type="dxa"/>
            <w:tcBorders>
              <w:tl2br w:val="nil"/>
              <w:tr2bl w:val="nil"/>
            </w:tcBorders>
            <w:shd w:val="clear" w:color="auto" w:fill="auto"/>
            <w:tcMar>
              <w:top w:w="15" w:type="dxa"/>
              <w:left w:w="15" w:type="dxa"/>
              <w:right w:w="15" w:type="dxa"/>
            </w:tcMar>
            <w:vAlign w:val="center"/>
          </w:tcPr>
          <w:p w14:paraId="3D81848A">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1584" w:author="LV" w:date="2026-07-14T16:28:40Z"/>
                <w:rFonts w:hint="eastAsia" w:ascii="仿宋_GB2312" w:hAnsi="宋体" w:eastAsia="仿宋_GB2312" w:cs="仿宋_GB2312"/>
                <w:kern w:val="0"/>
                <w:sz w:val="18"/>
                <w:szCs w:val="18"/>
                <w:lang w:bidi="ar"/>
              </w:rPr>
            </w:pPr>
          </w:p>
          <w:p w14:paraId="392A1C38">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1585" w:author="LV" w:date="2026-07-14T16:28:44Z"/>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责令停产整顿，提出整顿的内容、时间等具体要求，处100万元以上150万元以下的罚款；对煤矿企业负责人处5万元以上10万元以下的罚款。</w:t>
            </w:r>
          </w:p>
          <w:p w14:paraId="60AD4D1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val="en-US" w:eastAsia="zh-CN" w:bidi="ar"/>
              </w:rPr>
            </w:pPr>
          </w:p>
        </w:tc>
      </w:tr>
      <w:tr w14:paraId="62D165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8"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466036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4B742B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4D9539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168470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1D2842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0AE021B0">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sz w:val="18"/>
                <w:szCs w:val="18"/>
              </w:rPr>
              <w:t>在采掘工作面违反作业规程规定空顶作业</w:t>
            </w:r>
            <w:r>
              <w:rPr>
                <w:rFonts w:hint="eastAsia" w:ascii="仿宋_GB2312" w:hAnsi="宋体" w:eastAsia="仿宋_GB2312" w:cs="仿宋_GB2312"/>
                <w:sz w:val="18"/>
                <w:szCs w:val="18"/>
                <w:lang w:val="en-US" w:eastAsia="zh-CN"/>
              </w:rPr>
              <w:t>的，涉及3人及以上的。</w:t>
            </w:r>
          </w:p>
        </w:tc>
        <w:tc>
          <w:tcPr>
            <w:tcW w:w="2655" w:type="dxa"/>
            <w:tcBorders>
              <w:tl2br w:val="nil"/>
              <w:tr2bl w:val="nil"/>
            </w:tcBorders>
            <w:shd w:val="clear" w:color="auto" w:fill="auto"/>
            <w:tcMar>
              <w:top w:w="15" w:type="dxa"/>
              <w:left w:w="15" w:type="dxa"/>
              <w:right w:w="15" w:type="dxa"/>
            </w:tcMar>
            <w:vAlign w:val="center"/>
          </w:tcPr>
          <w:p w14:paraId="07AD8F6A">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1586" w:author="LV" w:date="2026-07-14T16:28:42Z"/>
                <w:rFonts w:hint="eastAsia" w:ascii="仿宋_GB2312" w:hAnsi="宋体" w:eastAsia="仿宋_GB2312" w:cs="仿宋_GB2312"/>
                <w:kern w:val="0"/>
                <w:sz w:val="18"/>
                <w:szCs w:val="18"/>
                <w:lang w:bidi="ar"/>
              </w:rPr>
            </w:pPr>
          </w:p>
          <w:p w14:paraId="07F3910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责令停产整顿，提出整顿的内容、时间等具体要求，处150万元以上200万元以下的罚款；对煤矿企业负责人处10万元以上15万元以下的罚款。</w:t>
            </w:r>
          </w:p>
        </w:tc>
      </w:tr>
      <w:tr w14:paraId="4D8771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8"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3475E32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hint="default" w:ascii="仿宋_GB2312" w:hAnsi="宋体" w:eastAsia="仿宋_GB2312" w:cs="仿宋_GB2312"/>
                <w:kern w:val="2"/>
                <w:sz w:val="18"/>
                <w:szCs w:val="18"/>
                <w:lang w:val="en-US" w:eastAsia="zh-CN" w:bidi="ar-SA"/>
              </w:rPr>
            </w:pPr>
            <w:del w:id="1587" w:author="LV" w:date="2026-07-14T16:28:10Z">
              <w:r>
                <w:rPr>
                  <w:rFonts w:hint="default" w:ascii="仿宋_GB2312" w:hAnsi="宋体" w:eastAsia="仿宋_GB2312" w:cs="仿宋_GB2312"/>
                  <w:sz w:val="18"/>
                  <w:szCs w:val="18"/>
                  <w:lang w:val="en-US" w:eastAsia="zh-CN"/>
                </w:rPr>
                <w:delText>增加</w:delText>
              </w:r>
            </w:del>
            <w:ins w:id="1588" w:author="LV" w:date="2026-07-14T16:28:10Z">
              <w:r>
                <w:rPr>
                  <w:rFonts w:hint="eastAsia" w:ascii="仿宋_GB2312" w:hAnsi="宋体" w:eastAsia="仿宋_GB2312" w:cs="仿宋_GB2312"/>
                  <w:sz w:val="18"/>
                  <w:szCs w:val="18"/>
                  <w:lang w:val="en-US" w:eastAsia="zh-CN"/>
                </w:rPr>
                <w:t>6</w:t>
              </w:r>
            </w:ins>
            <w:ins w:id="1589" w:author="LV" w:date="2026-07-14T16:28:11Z">
              <w:r>
                <w:rPr>
                  <w:rFonts w:hint="eastAsia" w:ascii="仿宋_GB2312" w:hAnsi="宋体" w:eastAsia="仿宋_GB2312" w:cs="仿宋_GB2312"/>
                  <w:sz w:val="18"/>
                  <w:szCs w:val="18"/>
                  <w:lang w:val="en-US" w:eastAsia="zh-CN"/>
                </w:rPr>
                <w:t>6</w:t>
              </w:r>
            </w:ins>
          </w:p>
        </w:tc>
        <w:tc>
          <w:tcPr>
            <w:tcW w:w="1005" w:type="dxa"/>
            <w:vMerge w:val="restart"/>
            <w:tcBorders>
              <w:tl2br w:val="nil"/>
              <w:tr2bl w:val="nil"/>
            </w:tcBorders>
            <w:shd w:val="clear" w:color="auto" w:fill="auto"/>
            <w:tcMar>
              <w:top w:w="15" w:type="dxa"/>
              <w:left w:w="15" w:type="dxa"/>
              <w:right w:w="15" w:type="dxa"/>
            </w:tcMar>
            <w:vAlign w:val="center"/>
          </w:tcPr>
          <w:p w14:paraId="03799FBD">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sz w:val="18"/>
                <w:szCs w:val="18"/>
              </w:rPr>
              <w:t>采煤工作面不能保持 2 个畅通的安全出口</w:t>
            </w:r>
            <w:r>
              <w:rPr>
                <w:rFonts w:hint="eastAsia" w:ascii="仿宋_GB2312" w:hAnsi="宋体" w:eastAsia="仿宋_GB2312" w:cs="仿宋_GB2312"/>
                <w:sz w:val="18"/>
                <w:szCs w:val="18"/>
                <w:lang w:val="en-US" w:eastAsia="zh-CN"/>
              </w:rPr>
              <w:t>的</w:t>
            </w:r>
          </w:p>
        </w:tc>
        <w:tc>
          <w:tcPr>
            <w:tcW w:w="3667" w:type="dxa"/>
            <w:vMerge w:val="restart"/>
            <w:tcBorders>
              <w:tl2br w:val="nil"/>
              <w:tr2bl w:val="nil"/>
            </w:tcBorders>
            <w:shd w:val="clear" w:color="auto" w:fill="auto"/>
            <w:tcMar>
              <w:top w:w="15" w:type="dxa"/>
              <w:left w:w="15" w:type="dxa"/>
              <w:right w:w="15" w:type="dxa"/>
            </w:tcMar>
            <w:vAlign w:val="center"/>
          </w:tcPr>
          <w:p w14:paraId="4FCEF31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《煤矿安全生产条例》第三十六条第</w:t>
            </w:r>
            <w:r>
              <w:rPr>
                <w:rFonts w:hint="eastAsia" w:ascii="仿宋_GB2312" w:hAnsi="宋体" w:eastAsia="仿宋_GB2312" w:cs="仿宋_GB2312"/>
                <w:kern w:val="0"/>
                <w:sz w:val="18"/>
                <w:szCs w:val="18"/>
                <w:lang w:val="en-US" w:eastAsia="zh-CN" w:bidi="ar"/>
              </w:rPr>
              <w:t>十七</w:t>
            </w:r>
            <w:r>
              <w:rPr>
                <w:rFonts w:hint="eastAsia" w:ascii="仿宋_GB2312" w:hAnsi="宋体" w:eastAsia="仿宋_GB2312" w:cs="仿宋_GB2312"/>
                <w:kern w:val="0"/>
                <w:sz w:val="18"/>
                <w:szCs w:val="18"/>
                <w:lang w:bidi="ar"/>
              </w:rPr>
              <w:t>项  煤矿企业有下列情形之一的，属于重大事故隐患，应当立即停止受影响区域生产、建设，并及时消除事故隐患：（十</w:t>
            </w:r>
            <w:r>
              <w:rPr>
                <w:rFonts w:hint="eastAsia" w:ascii="仿宋_GB2312" w:hAnsi="宋体" w:eastAsia="仿宋_GB2312" w:cs="仿宋_GB2312"/>
                <w:kern w:val="0"/>
                <w:sz w:val="18"/>
                <w:szCs w:val="18"/>
                <w:lang w:val="en-US" w:eastAsia="zh-CN" w:bidi="ar"/>
              </w:rPr>
              <w:t>七</w:t>
            </w:r>
            <w:r>
              <w:rPr>
                <w:rFonts w:hint="eastAsia" w:ascii="仿宋_GB2312" w:hAnsi="宋体" w:eastAsia="仿宋_GB2312" w:cs="仿宋_GB2312"/>
                <w:kern w:val="0"/>
                <w:sz w:val="18"/>
                <w:szCs w:val="18"/>
                <w:lang w:bidi="ar"/>
              </w:rPr>
              <w:t>）有其他重大事故隐患的。</w:t>
            </w:r>
          </w:p>
          <w:p w14:paraId="3341B68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《煤矿重大事故隐患判定标准》第</w:t>
            </w:r>
            <w:r>
              <w:rPr>
                <w:rFonts w:hint="eastAsia" w:ascii="仿宋_GB2312" w:hAnsi="宋体" w:eastAsia="仿宋_GB2312" w:cs="仿宋_GB2312"/>
                <w:kern w:val="0"/>
                <w:sz w:val="18"/>
                <w:szCs w:val="18"/>
                <w:lang w:val="en-US" w:eastAsia="zh-CN" w:bidi="ar"/>
              </w:rPr>
              <w:t>二十</w:t>
            </w:r>
            <w:r>
              <w:rPr>
                <w:rFonts w:hint="eastAsia" w:ascii="仿宋_GB2312" w:hAnsi="宋体" w:eastAsia="仿宋_GB2312" w:cs="仿宋_GB2312"/>
                <w:kern w:val="0"/>
                <w:sz w:val="18"/>
                <w:szCs w:val="18"/>
                <w:lang w:bidi="ar"/>
              </w:rPr>
              <w:t>条</w:t>
            </w:r>
            <w:r>
              <w:rPr>
                <w:rFonts w:hint="eastAsia" w:ascii="仿宋_GB2312" w:hAnsi="宋体" w:eastAsia="仿宋_GB2312" w:cs="仿宋_GB2312"/>
                <w:kern w:val="0"/>
                <w:sz w:val="18"/>
                <w:szCs w:val="18"/>
                <w:lang w:val="en-US" w:eastAsia="zh-CN" w:bidi="ar"/>
              </w:rPr>
              <w:t xml:space="preserve">第十七项 </w:t>
            </w:r>
            <w:r>
              <w:rPr>
                <w:rFonts w:hint="eastAsia" w:ascii="仿宋_GB2312" w:hAnsi="宋体" w:eastAsia="仿宋_GB2312" w:cs="仿宋_GB2312"/>
                <w:kern w:val="0"/>
                <w:sz w:val="18"/>
                <w:szCs w:val="18"/>
                <w:lang w:bidi="ar"/>
              </w:rPr>
              <w:t>“其他重大事故隐患”，是指有下列情形之一的</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w:t>
            </w:r>
            <w:r>
              <w:rPr>
                <w:rFonts w:hint="eastAsia" w:ascii="仿宋_GB2312" w:hAnsi="宋体" w:eastAsia="仿宋_GB2312" w:cs="仿宋_GB2312"/>
                <w:kern w:val="0"/>
                <w:sz w:val="18"/>
                <w:szCs w:val="18"/>
                <w:lang w:val="en-US" w:eastAsia="zh-CN" w:bidi="ar"/>
              </w:rPr>
              <w:t>十七</w:t>
            </w:r>
            <w:r>
              <w:rPr>
                <w:rFonts w:hint="eastAsia" w:ascii="仿宋_GB2312" w:hAnsi="宋体" w:eastAsia="仿宋_GB2312" w:cs="仿宋_GB2312"/>
                <w:kern w:val="0"/>
                <w:sz w:val="18"/>
                <w:szCs w:val="18"/>
                <w:lang w:bidi="ar"/>
              </w:rPr>
              <w:t>)采煤工作面不能保持2个畅通的安全出口。</w:t>
            </w:r>
          </w:p>
        </w:tc>
        <w:tc>
          <w:tcPr>
            <w:tcW w:w="4082" w:type="dxa"/>
            <w:vMerge w:val="restart"/>
            <w:tcBorders>
              <w:tl2br w:val="nil"/>
              <w:tr2bl w:val="nil"/>
            </w:tcBorders>
            <w:shd w:val="clear" w:color="auto" w:fill="auto"/>
            <w:tcMar>
              <w:top w:w="15" w:type="dxa"/>
              <w:left w:w="15" w:type="dxa"/>
              <w:right w:w="15" w:type="dxa"/>
            </w:tcMar>
            <w:vAlign w:val="center"/>
          </w:tcPr>
          <w:p w14:paraId="3EE0CE0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《煤矿安全生产条例》第六十四条  对存在重大事故隐患仍然进行生产的煤矿企业，责令停产整顿，明确整顿的内容、时间等具体要求，并处50万元以上200 万元以下的罚款；对煤矿企业主要负责人处3万元以上15万元以下的罚款。</w:t>
            </w:r>
          </w:p>
        </w:tc>
        <w:tc>
          <w:tcPr>
            <w:tcW w:w="459" w:type="dxa"/>
            <w:tcBorders>
              <w:tl2br w:val="nil"/>
              <w:tr2bl w:val="nil"/>
            </w:tcBorders>
            <w:shd w:val="clear" w:color="auto" w:fill="auto"/>
            <w:noWrap/>
            <w:tcMar>
              <w:top w:w="15" w:type="dxa"/>
              <w:left w:w="15" w:type="dxa"/>
              <w:right w:w="15" w:type="dxa"/>
            </w:tcMar>
            <w:vAlign w:val="center"/>
          </w:tcPr>
          <w:p w14:paraId="3B5E55E2">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26D8917E">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83CF57C">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574AC6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8"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E8CEB7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F9B96D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2F5BB9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D021F6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1394688">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081CC0E3">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21D6B246">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0BE694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8"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7AD14F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095CF5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07B6BC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2B9A2C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F491DFA">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12EFC2D9">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69BB1E7E">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0CAE5B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8"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5B1B07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2741B9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4E062F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12D158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8E0C9B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18361FC1">
            <w:pPr>
              <w:keepNext w:val="0"/>
              <w:keepLines w:val="0"/>
              <w:pageBreakBefore w:val="0"/>
              <w:widowControl w:val="0"/>
              <w:kinsoku/>
              <w:wordWrap/>
              <w:overflowPunct w:val="0"/>
              <w:topLinePunct w:val="0"/>
              <w:autoSpaceDE/>
              <w:autoSpaceDN/>
              <w:bidi w:val="0"/>
              <w:adjustRightInd/>
              <w:snapToGrid/>
              <w:spacing w:line="220" w:lineRule="exact"/>
              <w:ind w:firstLine="0" w:firstLineChars="0"/>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采煤工作面</w:t>
            </w:r>
            <w:r>
              <w:rPr>
                <w:rFonts w:hint="eastAsia" w:ascii="仿宋_GB2312" w:hAnsi="宋体" w:eastAsia="仿宋_GB2312" w:cs="仿宋_GB2312"/>
                <w:kern w:val="0"/>
                <w:sz w:val="18"/>
                <w:szCs w:val="18"/>
                <w:lang w:val="en-US" w:eastAsia="zh-CN" w:bidi="ar"/>
              </w:rPr>
              <w:t>仅有1</w:t>
            </w:r>
            <w:r>
              <w:rPr>
                <w:rFonts w:hint="eastAsia" w:ascii="仿宋_GB2312" w:hAnsi="宋体" w:eastAsia="仿宋_GB2312" w:cs="仿宋_GB2312"/>
                <w:kern w:val="0"/>
                <w:sz w:val="18"/>
                <w:szCs w:val="18"/>
                <w:lang w:bidi="ar"/>
              </w:rPr>
              <w:t>个安全出口</w:t>
            </w:r>
            <w:r>
              <w:rPr>
                <w:rFonts w:hint="eastAsia" w:ascii="仿宋_GB2312" w:hAnsi="宋体" w:eastAsia="仿宋_GB2312" w:cs="仿宋_GB2312"/>
                <w:kern w:val="0"/>
                <w:sz w:val="18"/>
                <w:szCs w:val="18"/>
                <w:lang w:val="en-US" w:eastAsia="zh-CN" w:bidi="ar"/>
              </w:rPr>
              <w:t>畅通的</w:t>
            </w:r>
          </w:p>
        </w:tc>
        <w:tc>
          <w:tcPr>
            <w:tcW w:w="2655" w:type="dxa"/>
            <w:tcBorders>
              <w:tl2br w:val="nil"/>
              <w:tr2bl w:val="nil"/>
            </w:tcBorders>
            <w:shd w:val="clear" w:color="auto" w:fill="auto"/>
            <w:tcMar>
              <w:top w:w="15" w:type="dxa"/>
              <w:left w:w="15" w:type="dxa"/>
              <w:right w:w="15" w:type="dxa"/>
            </w:tcMar>
            <w:vAlign w:val="center"/>
          </w:tcPr>
          <w:p w14:paraId="6C462700">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1590" w:author="LV" w:date="2026-07-14T16:28:51Z"/>
                <w:rFonts w:hint="eastAsia" w:ascii="仿宋_GB2312" w:hAnsi="宋体" w:eastAsia="仿宋_GB2312" w:cs="仿宋_GB2312"/>
                <w:kern w:val="0"/>
                <w:sz w:val="18"/>
                <w:szCs w:val="18"/>
                <w:lang w:bidi="ar"/>
              </w:rPr>
            </w:pPr>
          </w:p>
          <w:p w14:paraId="133FA224">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1591" w:author="LV" w:date="2026-07-14T16:28:53Z"/>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责令停产整顿，提出整顿的内容、时间等具体要求，处50万元以上100万元以下的罚款；对煤矿企业负责人处3万元以上5万元以下的罚款。</w:t>
            </w:r>
          </w:p>
          <w:p w14:paraId="63877C7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val="en-US" w:eastAsia="zh-CN" w:bidi="ar"/>
              </w:rPr>
            </w:pPr>
          </w:p>
        </w:tc>
      </w:tr>
      <w:tr w14:paraId="5AD26B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8"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D3D7F0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D9C93A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D624D2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6AFABE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B6884D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7691CE73">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采煤工作面安全出口</w:t>
            </w:r>
            <w:r>
              <w:rPr>
                <w:rFonts w:hint="eastAsia" w:ascii="仿宋_GB2312" w:hAnsi="宋体" w:eastAsia="仿宋_GB2312" w:cs="仿宋_GB2312"/>
                <w:kern w:val="0"/>
                <w:sz w:val="18"/>
                <w:szCs w:val="18"/>
                <w:lang w:val="en-US" w:eastAsia="zh-CN" w:bidi="ar"/>
              </w:rPr>
              <w:t>均不畅通的</w:t>
            </w:r>
          </w:p>
        </w:tc>
        <w:tc>
          <w:tcPr>
            <w:tcW w:w="2655" w:type="dxa"/>
            <w:tcBorders>
              <w:tl2br w:val="nil"/>
              <w:tr2bl w:val="nil"/>
            </w:tcBorders>
            <w:shd w:val="clear" w:color="auto" w:fill="auto"/>
            <w:tcMar>
              <w:top w:w="15" w:type="dxa"/>
              <w:left w:w="15" w:type="dxa"/>
              <w:right w:w="15" w:type="dxa"/>
            </w:tcMar>
            <w:vAlign w:val="center"/>
          </w:tcPr>
          <w:p w14:paraId="37552780">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1592" w:author="LV" w:date="2026-07-14T16:28:54Z"/>
                <w:rFonts w:hint="eastAsia" w:ascii="仿宋_GB2312" w:hAnsi="宋体" w:eastAsia="仿宋_GB2312" w:cs="仿宋_GB2312"/>
                <w:kern w:val="0"/>
                <w:sz w:val="18"/>
                <w:szCs w:val="18"/>
                <w:lang w:bidi="ar"/>
              </w:rPr>
            </w:pPr>
          </w:p>
          <w:p w14:paraId="203C935E">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1593" w:author="LV" w:date="2026-07-14T16:28:56Z"/>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责令停产整顿，提出整顿的内容、时间等具体要求，处100万元以上150万元以下的罚款；对煤矿企业负责人处5万元以上10万元以下的罚款。</w:t>
            </w:r>
          </w:p>
          <w:p w14:paraId="30DE6E5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val="en-US" w:eastAsia="zh-CN" w:bidi="ar"/>
              </w:rPr>
            </w:pPr>
          </w:p>
        </w:tc>
      </w:tr>
      <w:tr w14:paraId="65BC07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8"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045946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8D5F2C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3B20AF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02A9C7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EB26C0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46097354">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default"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采煤工作面</w:t>
            </w:r>
            <w:r>
              <w:rPr>
                <w:rFonts w:hint="eastAsia" w:ascii="仿宋_GB2312" w:hAnsi="宋体" w:eastAsia="仿宋_GB2312" w:cs="仿宋_GB2312"/>
                <w:kern w:val="0"/>
                <w:sz w:val="18"/>
                <w:szCs w:val="18"/>
                <w:lang w:val="en-US" w:eastAsia="zh-CN" w:bidi="ar"/>
              </w:rPr>
              <w:t>仅有1个</w:t>
            </w:r>
            <w:r>
              <w:rPr>
                <w:rFonts w:hint="eastAsia" w:ascii="仿宋_GB2312" w:hAnsi="宋体" w:eastAsia="仿宋_GB2312" w:cs="仿宋_GB2312"/>
                <w:kern w:val="0"/>
                <w:sz w:val="18"/>
                <w:szCs w:val="18"/>
                <w:lang w:bidi="ar"/>
              </w:rPr>
              <w:t>安全出口</w:t>
            </w:r>
            <w:r>
              <w:rPr>
                <w:rFonts w:hint="eastAsia" w:ascii="仿宋_GB2312" w:hAnsi="宋体" w:eastAsia="仿宋_GB2312" w:cs="仿宋_GB2312"/>
                <w:kern w:val="0"/>
                <w:sz w:val="18"/>
                <w:szCs w:val="18"/>
                <w:lang w:val="en-US" w:eastAsia="zh-CN" w:bidi="ar"/>
              </w:rPr>
              <w:t>的</w:t>
            </w:r>
          </w:p>
        </w:tc>
        <w:tc>
          <w:tcPr>
            <w:tcW w:w="2655" w:type="dxa"/>
            <w:tcBorders>
              <w:tl2br w:val="nil"/>
              <w:tr2bl w:val="nil"/>
            </w:tcBorders>
            <w:shd w:val="clear" w:color="auto" w:fill="auto"/>
            <w:tcMar>
              <w:top w:w="15" w:type="dxa"/>
              <w:left w:w="15" w:type="dxa"/>
              <w:right w:w="15" w:type="dxa"/>
            </w:tcMar>
            <w:vAlign w:val="center"/>
          </w:tcPr>
          <w:p w14:paraId="27C61D8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责令停产整顿，提出整顿的内容、时间等具体要求，处150万元以上200万元以下的罚款；对煤矿企业负责人处10万元以上15万元以下的罚款。</w:t>
            </w:r>
          </w:p>
        </w:tc>
      </w:tr>
      <w:tr w14:paraId="593044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8"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1C2F882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hint="default" w:ascii="仿宋_GB2312" w:hAnsi="宋体" w:eastAsia="仿宋_GB2312" w:cs="仿宋_GB2312"/>
                <w:kern w:val="2"/>
                <w:sz w:val="18"/>
                <w:szCs w:val="18"/>
                <w:lang w:val="en-US" w:eastAsia="zh-CN" w:bidi="ar-SA"/>
              </w:rPr>
            </w:pPr>
            <w:del w:id="1594" w:author="LV" w:date="2026-07-14T16:28:19Z">
              <w:r>
                <w:rPr>
                  <w:rFonts w:hint="default" w:ascii="仿宋_GB2312" w:hAnsi="宋体" w:eastAsia="仿宋_GB2312" w:cs="仿宋_GB2312"/>
                  <w:sz w:val="18"/>
                  <w:szCs w:val="18"/>
                  <w:lang w:val="en-US" w:eastAsia="zh-CN"/>
                </w:rPr>
                <w:delText>增加</w:delText>
              </w:r>
            </w:del>
            <w:ins w:id="1595" w:author="LV" w:date="2026-07-14T16:28:19Z">
              <w:r>
                <w:rPr>
                  <w:rFonts w:hint="eastAsia" w:ascii="仿宋_GB2312" w:hAnsi="宋体" w:eastAsia="仿宋_GB2312" w:cs="仿宋_GB2312"/>
                  <w:sz w:val="18"/>
                  <w:szCs w:val="18"/>
                  <w:lang w:val="en-US" w:eastAsia="zh-CN"/>
                </w:rPr>
                <w:t>6</w:t>
              </w:r>
            </w:ins>
            <w:ins w:id="1596" w:author="LV" w:date="2026-07-14T16:28:20Z">
              <w:r>
                <w:rPr>
                  <w:rFonts w:hint="eastAsia" w:ascii="仿宋_GB2312" w:hAnsi="宋体" w:eastAsia="仿宋_GB2312" w:cs="仿宋_GB2312"/>
                  <w:sz w:val="18"/>
                  <w:szCs w:val="18"/>
                  <w:lang w:val="en-US" w:eastAsia="zh-CN"/>
                </w:rPr>
                <w:t>7</w:t>
              </w:r>
            </w:ins>
          </w:p>
        </w:tc>
        <w:tc>
          <w:tcPr>
            <w:tcW w:w="1005" w:type="dxa"/>
            <w:vMerge w:val="restart"/>
            <w:tcBorders>
              <w:tl2br w:val="nil"/>
              <w:tr2bl w:val="nil"/>
            </w:tcBorders>
            <w:shd w:val="clear" w:color="auto" w:fill="auto"/>
            <w:tcMar>
              <w:top w:w="15" w:type="dxa"/>
              <w:left w:w="15" w:type="dxa"/>
              <w:right w:w="15" w:type="dxa"/>
            </w:tcMar>
            <w:vAlign w:val="center"/>
          </w:tcPr>
          <w:p w14:paraId="22E06C5B">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sz w:val="18"/>
                <w:szCs w:val="18"/>
              </w:rPr>
              <w:t xml:space="preserve"> 2kW・h 以上电量锂电池在井下充电时，未在专用充电硐室充电，或者专用充电硐室未实现独立通风，未设置具备超限自动断电功能的甲烷、一氧化碳、氢气、烟雾和温度传感器</w:t>
            </w:r>
            <w:r>
              <w:rPr>
                <w:rFonts w:hint="eastAsia" w:ascii="仿宋_GB2312" w:hAnsi="宋体" w:eastAsia="仿宋_GB2312" w:cs="仿宋_GB2312"/>
                <w:sz w:val="18"/>
                <w:szCs w:val="18"/>
                <w:lang w:val="en-US" w:eastAsia="zh-CN"/>
              </w:rPr>
              <w:t>的</w:t>
            </w:r>
          </w:p>
        </w:tc>
        <w:tc>
          <w:tcPr>
            <w:tcW w:w="3667" w:type="dxa"/>
            <w:vMerge w:val="restart"/>
            <w:tcBorders>
              <w:tl2br w:val="nil"/>
              <w:tr2bl w:val="nil"/>
            </w:tcBorders>
            <w:shd w:val="clear" w:color="auto" w:fill="auto"/>
            <w:tcMar>
              <w:top w:w="15" w:type="dxa"/>
              <w:left w:w="15" w:type="dxa"/>
              <w:right w:w="15" w:type="dxa"/>
            </w:tcMar>
            <w:vAlign w:val="center"/>
          </w:tcPr>
          <w:p w14:paraId="123A0CD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《煤矿安全生产条例》第三十六条第</w:t>
            </w:r>
            <w:r>
              <w:rPr>
                <w:rFonts w:hint="eastAsia" w:ascii="仿宋_GB2312" w:hAnsi="宋体" w:eastAsia="仿宋_GB2312" w:cs="仿宋_GB2312"/>
                <w:kern w:val="0"/>
                <w:sz w:val="18"/>
                <w:szCs w:val="18"/>
                <w:lang w:val="en-US" w:eastAsia="zh-CN" w:bidi="ar"/>
              </w:rPr>
              <w:t>十七</w:t>
            </w:r>
            <w:r>
              <w:rPr>
                <w:rFonts w:hint="eastAsia" w:ascii="仿宋_GB2312" w:hAnsi="宋体" w:eastAsia="仿宋_GB2312" w:cs="仿宋_GB2312"/>
                <w:kern w:val="0"/>
                <w:sz w:val="18"/>
                <w:szCs w:val="18"/>
                <w:lang w:bidi="ar"/>
              </w:rPr>
              <w:t>项  煤矿企业有下列情形之一的，属于重大事故隐患，应当立即停止受影响区域生产、建设，并及时消除事故隐患：（十</w:t>
            </w:r>
            <w:r>
              <w:rPr>
                <w:rFonts w:hint="eastAsia" w:ascii="仿宋_GB2312" w:hAnsi="宋体" w:eastAsia="仿宋_GB2312" w:cs="仿宋_GB2312"/>
                <w:kern w:val="0"/>
                <w:sz w:val="18"/>
                <w:szCs w:val="18"/>
                <w:lang w:val="en-US" w:eastAsia="zh-CN" w:bidi="ar"/>
              </w:rPr>
              <w:t>七</w:t>
            </w:r>
            <w:r>
              <w:rPr>
                <w:rFonts w:hint="eastAsia" w:ascii="仿宋_GB2312" w:hAnsi="宋体" w:eastAsia="仿宋_GB2312" w:cs="仿宋_GB2312"/>
                <w:kern w:val="0"/>
                <w:sz w:val="18"/>
                <w:szCs w:val="18"/>
                <w:lang w:bidi="ar"/>
              </w:rPr>
              <w:t>）有其他重大事故隐患的。</w:t>
            </w:r>
          </w:p>
          <w:p w14:paraId="6CF7925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《煤矿重大事故隐患判定标准》第</w:t>
            </w:r>
            <w:r>
              <w:rPr>
                <w:rFonts w:hint="eastAsia" w:ascii="仿宋_GB2312" w:hAnsi="宋体" w:eastAsia="仿宋_GB2312" w:cs="仿宋_GB2312"/>
                <w:kern w:val="0"/>
                <w:sz w:val="18"/>
                <w:szCs w:val="18"/>
                <w:lang w:val="en-US" w:eastAsia="zh-CN" w:bidi="ar"/>
              </w:rPr>
              <w:t>二十</w:t>
            </w:r>
            <w:r>
              <w:rPr>
                <w:rFonts w:hint="eastAsia" w:ascii="仿宋_GB2312" w:hAnsi="宋体" w:eastAsia="仿宋_GB2312" w:cs="仿宋_GB2312"/>
                <w:kern w:val="0"/>
                <w:sz w:val="18"/>
                <w:szCs w:val="18"/>
                <w:lang w:bidi="ar"/>
              </w:rPr>
              <w:t>条</w:t>
            </w:r>
            <w:r>
              <w:rPr>
                <w:rFonts w:hint="eastAsia" w:ascii="仿宋_GB2312" w:hAnsi="宋体" w:eastAsia="仿宋_GB2312" w:cs="仿宋_GB2312"/>
                <w:kern w:val="0"/>
                <w:sz w:val="18"/>
                <w:szCs w:val="18"/>
                <w:lang w:val="en-US" w:eastAsia="zh-CN" w:bidi="ar"/>
              </w:rPr>
              <w:t xml:space="preserve">第十八项 </w:t>
            </w:r>
            <w:r>
              <w:rPr>
                <w:rFonts w:hint="eastAsia" w:ascii="仿宋_GB2312" w:hAnsi="宋体" w:eastAsia="仿宋_GB2312" w:cs="仿宋_GB2312"/>
                <w:kern w:val="0"/>
                <w:sz w:val="18"/>
                <w:szCs w:val="18"/>
                <w:lang w:bidi="ar"/>
              </w:rPr>
              <w:t>“其他重大事故隐患”，是指有下列情形之一的</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w:t>
            </w:r>
            <w:r>
              <w:rPr>
                <w:rFonts w:hint="eastAsia" w:ascii="仿宋_GB2312" w:hAnsi="宋体" w:eastAsia="仿宋_GB2312" w:cs="仿宋_GB2312"/>
                <w:kern w:val="0"/>
                <w:sz w:val="18"/>
                <w:szCs w:val="18"/>
                <w:lang w:val="en-US" w:eastAsia="zh-CN" w:bidi="ar"/>
              </w:rPr>
              <w:t>十八</w:t>
            </w:r>
            <w:r>
              <w:rPr>
                <w:rFonts w:hint="eastAsia" w:ascii="仿宋_GB2312" w:hAnsi="宋体" w:eastAsia="仿宋_GB2312" w:cs="仿宋_GB2312"/>
                <w:kern w:val="0"/>
                <w:sz w:val="18"/>
                <w:szCs w:val="18"/>
                <w:lang w:bidi="ar"/>
              </w:rPr>
              <w:t>) 2kW・h 以上电量锂电池在井下充电时，未在专用充电硐室充电，或者专用充电硐室未实现独立通风，未设置具备超限自动断电功能的甲烷、一氧化碳、氢气、烟雾和温度传感器。</w:t>
            </w:r>
          </w:p>
        </w:tc>
        <w:tc>
          <w:tcPr>
            <w:tcW w:w="4082" w:type="dxa"/>
            <w:vMerge w:val="restart"/>
            <w:tcBorders>
              <w:tl2br w:val="nil"/>
              <w:tr2bl w:val="nil"/>
            </w:tcBorders>
            <w:shd w:val="clear" w:color="auto" w:fill="auto"/>
            <w:tcMar>
              <w:top w:w="15" w:type="dxa"/>
              <w:left w:w="15" w:type="dxa"/>
              <w:right w:w="15" w:type="dxa"/>
            </w:tcMar>
            <w:vAlign w:val="center"/>
          </w:tcPr>
          <w:p w14:paraId="102C268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《煤矿安全生产条例》第六十四条  对存在重大事故隐患仍然进行生产的煤矿企业，责令停产整顿，明确整顿的内容、时间等具体要求，并处50万元以上200 万元以下的罚款；对煤矿企业主要负责人处3万元以上15万元以下的罚款。</w:t>
            </w:r>
          </w:p>
        </w:tc>
        <w:tc>
          <w:tcPr>
            <w:tcW w:w="459" w:type="dxa"/>
            <w:tcBorders>
              <w:tl2br w:val="nil"/>
              <w:tr2bl w:val="nil"/>
            </w:tcBorders>
            <w:shd w:val="clear" w:color="auto" w:fill="auto"/>
            <w:noWrap/>
            <w:tcMar>
              <w:top w:w="15" w:type="dxa"/>
              <w:left w:w="15" w:type="dxa"/>
              <w:right w:w="15" w:type="dxa"/>
            </w:tcMar>
            <w:vAlign w:val="center"/>
          </w:tcPr>
          <w:p w14:paraId="0C62D95C">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49F7CCB8">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EDC00E5">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6661EB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8"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42DFFD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2E8AD5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CC564E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F2A2C9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022FFDB">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223EE5F8">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5961C033">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557F8F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8"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5199FB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611D93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6ACD99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97BEA4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070769E">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49BB1B95">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14B1F7F6">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791A80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8"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59379B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5B5D4C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404D45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FA155D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1E5D85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61FA6EFE">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2kW・h 以上电量锂电池专用充电硐室未设置具备超限自动断电功能的甲烷、一氧化碳、氢气、烟雾和温度传感器。</w:t>
            </w:r>
          </w:p>
        </w:tc>
        <w:tc>
          <w:tcPr>
            <w:tcW w:w="2655" w:type="dxa"/>
            <w:tcBorders>
              <w:tl2br w:val="nil"/>
              <w:tr2bl w:val="nil"/>
            </w:tcBorders>
            <w:shd w:val="clear" w:color="auto" w:fill="auto"/>
            <w:tcMar>
              <w:top w:w="15" w:type="dxa"/>
              <w:left w:w="15" w:type="dxa"/>
              <w:right w:w="15" w:type="dxa"/>
            </w:tcMar>
            <w:vAlign w:val="center"/>
          </w:tcPr>
          <w:p w14:paraId="6497747A">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1597" w:author="LV" w:date="2026-07-14T16:29:24Z"/>
                <w:rFonts w:hint="eastAsia" w:ascii="仿宋_GB2312" w:hAnsi="宋体" w:eastAsia="仿宋_GB2312" w:cs="仿宋_GB2312"/>
                <w:kern w:val="0"/>
                <w:sz w:val="18"/>
                <w:szCs w:val="18"/>
                <w:lang w:bidi="ar"/>
              </w:rPr>
            </w:pPr>
          </w:p>
          <w:p w14:paraId="03483279">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1598" w:author="LV" w:date="2026-07-14T16:29:40Z"/>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责令停产整顿，提出整顿的内容、时间等具体要求，处50万元以上100万元以下的罚款；对煤矿企业负责人处3万元以上5万元以下的罚款。</w:t>
            </w:r>
          </w:p>
          <w:p w14:paraId="720B4F7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val="en-US" w:eastAsia="zh-CN" w:bidi="ar"/>
              </w:rPr>
            </w:pPr>
          </w:p>
        </w:tc>
      </w:tr>
      <w:tr w14:paraId="4B7888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8"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D5307B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2D9D45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D93B0A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62C42C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979698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1C4C946C">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2kW・h 以上电量锂电池专用充电硐室未实现独立通风</w:t>
            </w:r>
            <w:r>
              <w:rPr>
                <w:rFonts w:hint="eastAsia" w:ascii="仿宋_GB2312" w:hAnsi="宋体" w:eastAsia="仿宋_GB2312" w:cs="仿宋_GB2312"/>
                <w:kern w:val="0"/>
                <w:sz w:val="18"/>
                <w:szCs w:val="18"/>
                <w:lang w:eastAsia="zh-CN" w:bidi="ar"/>
              </w:rPr>
              <w:t>。</w:t>
            </w:r>
          </w:p>
        </w:tc>
        <w:tc>
          <w:tcPr>
            <w:tcW w:w="2655" w:type="dxa"/>
            <w:tcBorders>
              <w:tl2br w:val="nil"/>
              <w:tr2bl w:val="nil"/>
            </w:tcBorders>
            <w:shd w:val="clear" w:color="auto" w:fill="auto"/>
            <w:tcMar>
              <w:top w:w="15" w:type="dxa"/>
              <w:left w:w="15" w:type="dxa"/>
              <w:right w:w="15" w:type="dxa"/>
            </w:tcMar>
            <w:vAlign w:val="center"/>
          </w:tcPr>
          <w:p w14:paraId="6436A4CF">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1599" w:author="LV" w:date="2026-07-14T16:29:33Z"/>
                <w:rFonts w:hint="eastAsia" w:ascii="仿宋_GB2312" w:hAnsi="宋体" w:eastAsia="仿宋_GB2312" w:cs="仿宋_GB2312"/>
                <w:kern w:val="0"/>
                <w:sz w:val="18"/>
                <w:szCs w:val="18"/>
                <w:lang w:bidi="ar"/>
              </w:rPr>
            </w:pPr>
          </w:p>
          <w:p w14:paraId="3D5C36B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责令停产整顿，提出整顿的内容、时间等具体要求，处100万元以上150万元以下的罚款；对煤矿企业负责人处5万元以上10万元以下的罚款。</w:t>
            </w:r>
          </w:p>
        </w:tc>
      </w:tr>
      <w:tr w14:paraId="5077AB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8"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4FBC7F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DC52EE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5C3C59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8DBB62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0A1C53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340DB7B3">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 xml:space="preserve"> 2kW・h 以上电量锂电池在井下充电时，未在专用充电硐室充电</w:t>
            </w:r>
            <w:r>
              <w:rPr>
                <w:rFonts w:hint="eastAsia" w:ascii="仿宋_GB2312" w:hAnsi="宋体" w:eastAsia="仿宋_GB2312" w:cs="仿宋_GB2312"/>
                <w:kern w:val="0"/>
                <w:sz w:val="18"/>
                <w:szCs w:val="18"/>
                <w:lang w:eastAsia="zh-CN" w:bidi="ar"/>
              </w:rPr>
              <w:t>。</w:t>
            </w:r>
          </w:p>
        </w:tc>
        <w:tc>
          <w:tcPr>
            <w:tcW w:w="2655" w:type="dxa"/>
            <w:tcBorders>
              <w:tl2br w:val="nil"/>
              <w:tr2bl w:val="nil"/>
            </w:tcBorders>
            <w:shd w:val="clear" w:color="auto" w:fill="auto"/>
            <w:tcMar>
              <w:top w:w="15" w:type="dxa"/>
              <w:left w:w="15" w:type="dxa"/>
              <w:right w:w="15" w:type="dxa"/>
            </w:tcMar>
            <w:vAlign w:val="center"/>
          </w:tcPr>
          <w:p w14:paraId="4C52416F">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1600" w:author="LV" w:date="2026-07-14T16:29:37Z"/>
                <w:rFonts w:hint="eastAsia" w:ascii="仿宋_GB2312" w:hAnsi="宋体" w:eastAsia="仿宋_GB2312" w:cs="仿宋_GB2312"/>
                <w:kern w:val="0"/>
                <w:sz w:val="18"/>
                <w:szCs w:val="18"/>
                <w:lang w:bidi="ar"/>
              </w:rPr>
            </w:pPr>
          </w:p>
          <w:p w14:paraId="619B0FE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责令停产整顿，提出整顿的内容、时间等具体要求，处150万元以上200万元以下的罚款；对煤矿企业负责人处10万元以上15万元以下的罚款。</w:t>
            </w:r>
          </w:p>
        </w:tc>
      </w:tr>
      <w:tr w14:paraId="28BE27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1601" w:author="LV" w:date="2026-07-14T16:30:41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wBefore w:w="0" w:type="auto"/>
          <w:trHeight w:val="778" w:hRule="atLeast"/>
          <w:jc w:val="center"/>
          <w:trPrChange w:id="1601" w:author="LV" w:date="2026-07-14T16:30:41Z">
            <w:trPr>
              <w:gridBefore w:val="2"/>
              <w:wBefore w:w="15" w:type="dxa"/>
              <w:trHeight w:val="778" w:hRule="atLeast"/>
              <w:jc w:val="center"/>
            </w:trPr>
          </w:trPrChange>
        </w:trPr>
        <w:tc>
          <w:tcPr>
            <w:tcW w:w="418" w:type="dxa"/>
            <w:vMerge w:val="restart"/>
            <w:tcBorders>
              <w:tl2br w:val="nil"/>
              <w:tr2bl w:val="nil"/>
            </w:tcBorders>
            <w:shd w:val="clear" w:color="auto" w:fill="auto"/>
            <w:noWrap/>
            <w:tcMar>
              <w:top w:w="15" w:type="dxa"/>
              <w:left w:w="15" w:type="dxa"/>
              <w:right w:w="15" w:type="dxa"/>
            </w:tcMar>
            <w:vAlign w:val="center"/>
            <w:tcPrChange w:id="1602" w:author="LV" w:date="2026-07-14T16:30:41Z">
              <w:tcPr>
                <w:tcW w:w="418" w:type="dxa"/>
                <w:gridSpan w:val="3"/>
                <w:vMerge w:val="restart"/>
                <w:tcBorders>
                  <w:tl2br w:val="nil"/>
                  <w:tr2bl w:val="nil"/>
                </w:tcBorders>
                <w:shd w:val="clear" w:color="auto" w:fill="auto"/>
                <w:noWrap/>
                <w:tcMar>
                  <w:top w:w="15" w:type="dxa"/>
                  <w:left w:w="15" w:type="dxa"/>
                  <w:right w:w="15" w:type="dxa"/>
                </w:tcMar>
                <w:vAlign w:val="center"/>
              </w:tcPr>
            </w:tcPrChange>
          </w:tcPr>
          <w:p w14:paraId="70AF994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hint="default" w:ascii="仿宋_GB2312" w:hAnsi="宋体" w:eastAsia="仿宋_GB2312" w:cs="仿宋_GB2312"/>
                <w:kern w:val="2"/>
                <w:sz w:val="18"/>
                <w:szCs w:val="18"/>
                <w:lang w:val="en-US" w:eastAsia="zh-CN" w:bidi="ar-SA"/>
              </w:rPr>
            </w:pPr>
            <w:del w:id="1603" w:author="LV" w:date="2026-07-14T16:28:24Z">
              <w:r>
                <w:rPr>
                  <w:rFonts w:hint="default" w:ascii="仿宋_GB2312" w:hAnsi="宋体" w:eastAsia="仿宋_GB2312" w:cs="仿宋_GB2312"/>
                  <w:sz w:val="18"/>
                  <w:szCs w:val="18"/>
                  <w:lang w:val="en-US" w:eastAsia="zh-CN"/>
                </w:rPr>
                <w:delText>增加</w:delText>
              </w:r>
            </w:del>
            <w:ins w:id="1604" w:author="LV" w:date="2026-07-14T16:28:24Z">
              <w:r>
                <w:rPr>
                  <w:rFonts w:hint="eastAsia" w:ascii="仿宋_GB2312" w:hAnsi="宋体" w:eastAsia="仿宋_GB2312" w:cs="仿宋_GB2312"/>
                  <w:sz w:val="18"/>
                  <w:szCs w:val="18"/>
                  <w:lang w:val="en-US" w:eastAsia="zh-CN"/>
                </w:rPr>
                <w:t>68</w:t>
              </w:r>
            </w:ins>
          </w:p>
        </w:tc>
        <w:tc>
          <w:tcPr>
            <w:tcW w:w="1005" w:type="dxa"/>
            <w:vMerge w:val="restart"/>
            <w:tcBorders>
              <w:tl2br w:val="nil"/>
              <w:tr2bl w:val="nil"/>
            </w:tcBorders>
            <w:shd w:val="clear" w:color="auto" w:fill="auto"/>
            <w:tcMar>
              <w:top w:w="15" w:type="dxa"/>
              <w:left w:w="15" w:type="dxa"/>
              <w:right w:w="15" w:type="dxa"/>
            </w:tcMar>
            <w:vAlign w:val="center"/>
            <w:tcPrChange w:id="1605" w:author="LV" w:date="2026-07-14T16:30:41Z">
              <w:tcPr>
                <w:tcW w:w="1005" w:type="dxa"/>
                <w:gridSpan w:val="3"/>
                <w:vMerge w:val="restart"/>
                <w:tcBorders>
                  <w:tl2br w:val="nil"/>
                  <w:tr2bl w:val="nil"/>
                </w:tcBorders>
                <w:shd w:val="clear" w:color="auto" w:fill="auto"/>
                <w:tcMar>
                  <w:top w:w="15" w:type="dxa"/>
                  <w:left w:w="15" w:type="dxa"/>
                  <w:right w:w="15" w:type="dxa"/>
                </w:tcMar>
                <w:vAlign w:val="center"/>
              </w:tcPr>
            </w:tcPrChange>
          </w:tcPr>
          <w:p w14:paraId="017B2CC8">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kern w:val="2"/>
                <w:sz w:val="18"/>
                <w:szCs w:val="18"/>
                <w:lang w:val="en-US" w:eastAsia="zh-CN" w:bidi="ar-SA"/>
              </w:rPr>
              <w:pPrChange w:id="1606" w:author="LV" w:date="2026-07-14T16:30:41Z">
                <w:pPr>
                  <w:keepNext w:val="0"/>
                  <w:keepLines w:val="0"/>
                  <w:pageBreakBefore w:val="0"/>
                  <w:widowControl w:val="0"/>
                  <w:kinsoku/>
                  <w:wordWrap/>
                  <w:overflowPunct w:val="0"/>
                  <w:topLinePunct w:val="0"/>
                  <w:autoSpaceDE/>
                  <w:autoSpaceDN/>
                  <w:bidi w:val="0"/>
                  <w:adjustRightInd/>
                  <w:snapToGrid/>
                  <w:spacing w:line="280" w:lineRule="exact"/>
                </w:pPr>
              </w:pPrChange>
            </w:pPr>
            <w:r>
              <w:rPr>
                <w:rFonts w:hint="eastAsia" w:ascii="仿宋_GB2312" w:hAnsi="宋体" w:eastAsia="仿宋_GB2312" w:cs="仿宋_GB2312"/>
                <w:sz w:val="18"/>
                <w:szCs w:val="18"/>
              </w:rPr>
              <w:t>井下发生未造成人员伤亡的煤 (岩) 与瓦斯 (二氧化碳) 突出，因透 (突、溃) 水造成采掘工作面被淹，井巷、采掘工作面发生冲击地压动力现象造成巷道严重变形、设备损坏或者因火灾封闭工作面（矿井）</w:t>
            </w:r>
            <w:r>
              <w:rPr>
                <w:rFonts w:hint="eastAsia" w:ascii="仿宋_GB2312" w:hAnsi="宋体" w:eastAsia="仿宋_GB2312" w:cs="仿宋_GB2312"/>
                <w:sz w:val="18"/>
                <w:szCs w:val="18"/>
                <w:lang w:val="en-US" w:eastAsia="zh-CN"/>
              </w:rPr>
              <w:t>的</w:t>
            </w:r>
          </w:p>
        </w:tc>
        <w:tc>
          <w:tcPr>
            <w:tcW w:w="3667" w:type="dxa"/>
            <w:vMerge w:val="restart"/>
            <w:tcBorders>
              <w:tl2br w:val="nil"/>
              <w:tr2bl w:val="nil"/>
            </w:tcBorders>
            <w:shd w:val="clear" w:color="auto" w:fill="auto"/>
            <w:tcMar>
              <w:top w:w="15" w:type="dxa"/>
              <w:left w:w="15" w:type="dxa"/>
              <w:right w:w="15" w:type="dxa"/>
            </w:tcMar>
            <w:vAlign w:val="center"/>
            <w:tcPrChange w:id="1607" w:author="LV" w:date="2026-07-14T16:30:41Z">
              <w:tcPr>
                <w:tcW w:w="3667" w:type="dxa"/>
                <w:gridSpan w:val="3"/>
                <w:vMerge w:val="restart"/>
                <w:tcBorders>
                  <w:tl2br w:val="nil"/>
                  <w:tr2bl w:val="nil"/>
                </w:tcBorders>
                <w:shd w:val="clear" w:color="auto" w:fill="auto"/>
                <w:tcMar>
                  <w:top w:w="15" w:type="dxa"/>
                  <w:left w:w="15" w:type="dxa"/>
                  <w:right w:w="15" w:type="dxa"/>
                </w:tcMar>
                <w:vAlign w:val="center"/>
              </w:tcPr>
            </w:tcPrChange>
          </w:tcPr>
          <w:p w14:paraId="3E2123A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《煤矿安全生产条例》第三十六条第</w:t>
            </w:r>
            <w:r>
              <w:rPr>
                <w:rFonts w:hint="eastAsia" w:ascii="仿宋_GB2312" w:hAnsi="宋体" w:eastAsia="仿宋_GB2312" w:cs="仿宋_GB2312"/>
                <w:kern w:val="0"/>
                <w:sz w:val="18"/>
                <w:szCs w:val="18"/>
                <w:lang w:val="en-US" w:eastAsia="zh-CN" w:bidi="ar"/>
              </w:rPr>
              <w:t>十七</w:t>
            </w:r>
            <w:r>
              <w:rPr>
                <w:rFonts w:hint="eastAsia" w:ascii="仿宋_GB2312" w:hAnsi="宋体" w:eastAsia="仿宋_GB2312" w:cs="仿宋_GB2312"/>
                <w:kern w:val="0"/>
                <w:sz w:val="18"/>
                <w:szCs w:val="18"/>
                <w:lang w:bidi="ar"/>
              </w:rPr>
              <w:t>项  煤矿企业有下列情形之一的，属于重大事故隐患，应当立即停止受影响区域生产、建设，并及时消除事故隐患：（十</w:t>
            </w:r>
            <w:r>
              <w:rPr>
                <w:rFonts w:hint="eastAsia" w:ascii="仿宋_GB2312" w:hAnsi="宋体" w:eastAsia="仿宋_GB2312" w:cs="仿宋_GB2312"/>
                <w:kern w:val="0"/>
                <w:sz w:val="18"/>
                <w:szCs w:val="18"/>
                <w:lang w:val="en-US" w:eastAsia="zh-CN" w:bidi="ar"/>
              </w:rPr>
              <w:t>七</w:t>
            </w:r>
            <w:r>
              <w:rPr>
                <w:rFonts w:hint="eastAsia" w:ascii="仿宋_GB2312" w:hAnsi="宋体" w:eastAsia="仿宋_GB2312" w:cs="仿宋_GB2312"/>
                <w:kern w:val="0"/>
                <w:sz w:val="18"/>
                <w:szCs w:val="18"/>
                <w:lang w:bidi="ar"/>
              </w:rPr>
              <w:t>）有其他重大事故隐患的。</w:t>
            </w:r>
          </w:p>
          <w:p w14:paraId="581DA6A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《煤矿重大事故隐患判定标准》第</w:t>
            </w:r>
            <w:r>
              <w:rPr>
                <w:rFonts w:hint="eastAsia" w:ascii="仿宋_GB2312" w:hAnsi="宋体" w:eastAsia="仿宋_GB2312" w:cs="仿宋_GB2312"/>
                <w:kern w:val="0"/>
                <w:sz w:val="18"/>
                <w:szCs w:val="18"/>
                <w:lang w:val="en-US" w:eastAsia="zh-CN" w:bidi="ar"/>
              </w:rPr>
              <w:t>二十</w:t>
            </w:r>
            <w:r>
              <w:rPr>
                <w:rFonts w:hint="eastAsia" w:ascii="仿宋_GB2312" w:hAnsi="宋体" w:eastAsia="仿宋_GB2312" w:cs="仿宋_GB2312"/>
                <w:kern w:val="0"/>
                <w:sz w:val="18"/>
                <w:szCs w:val="18"/>
                <w:lang w:bidi="ar"/>
              </w:rPr>
              <w:t>条</w:t>
            </w:r>
            <w:r>
              <w:rPr>
                <w:rFonts w:hint="eastAsia" w:ascii="仿宋_GB2312" w:hAnsi="宋体" w:eastAsia="仿宋_GB2312" w:cs="仿宋_GB2312"/>
                <w:kern w:val="0"/>
                <w:sz w:val="18"/>
                <w:szCs w:val="18"/>
                <w:lang w:val="en-US" w:eastAsia="zh-CN" w:bidi="ar"/>
              </w:rPr>
              <w:t xml:space="preserve">第十九项 </w:t>
            </w:r>
            <w:r>
              <w:rPr>
                <w:rFonts w:hint="eastAsia" w:ascii="仿宋_GB2312" w:hAnsi="宋体" w:eastAsia="仿宋_GB2312" w:cs="仿宋_GB2312"/>
                <w:kern w:val="0"/>
                <w:sz w:val="18"/>
                <w:szCs w:val="18"/>
                <w:lang w:bidi="ar"/>
              </w:rPr>
              <w:t>“其他重大事故隐患”，是指有下列情形之一的</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w:t>
            </w:r>
            <w:r>
              <w:rPr>
                <w:rFonts w:hint="eastAsia" w:ascii="仿宋_GB2312" w:hAnsi="宋体" w:eastAsia="仿宋_GB2312" w:cs="仿宋_GB2312"/>
                <w:kern w:val="0"/>
                <w:sz w:val="18"/>
                <w:szCs w:val="18"/>
                <w:lang w:val="en-US" w:eastAsia="zh-CN" w:bidi="ar"/>
              </w:rPr>
              <w:t>十九</w:t>
            </w:r>
            <w:r>
              <w:rPr>
                <w:rFonts w:hint="eastAsia" w:ascii="仿宋_GB2312" w:hAnsi="宋体" w:eastAsia="仿宋_GB2312" w:cs="仿宋_GB2312"/>
                <w:kern w:val="0"/>
                <w:sz w:val="18"/>
                <w:szCs w:val="18"/>
                <w:lang w:bidi="ar"/>
              </w:rPr>
              <w:t>)井下发生未造成人员伤亡的煤 (岩) 与瓦斯 (二氧化碳) 突出，因透 (突、溃) 水造成采掘工作面被淹，井巷、采掘工作面发生冲击地压动力现象造成巷道严重变形、设备损坏或者因火灾封闭工作面（矿井）。</w:t>
            </w:r>
          </w:p>
        </w:tc>
        <w:tc>
          <w:tcPr>
            <w:tcW w:w="4082" w:type="dxa"/>
            <w:vMerge w:val="restart"/>
            <w:tcBorders>
              <w:tl2br w:val="nil"/>
              <w:tr2bl w:val="nil"/>
            </w:tcBorders>
            <w:shd w:val="clear" w:color="auto" w:fill="auto"/>
            <w:tcMar>
              <w:top w:w="15" w:type="dxa"/>
              <w:left w:w="15" w:type="dxa"/>
              <w:right w:w="15" w:type="dxa"/>
            </w:tcMar>
            <w:vAlign w:val="center"/>
            <w:tcPrChange w:id="1608" w:author="LV" w:date="2026-07-14T16:30:41Z">
              <w:tcPr>
                <w:tcW w:w="4082" w:type="dxa"/>
                <w:gridSpan w:val="3"/>
                <w:vMerge w:val="restart"/>
                <w:tcBorders>
                  <w:tl2br w:val="nil"/>
                  <w:tr2bl w:val="nil"/>
                </w:tcBorders>
                <w:shd w:val="clear" w:color="auto" w:fill="auto"/>
                <w:tcMar>
                  <w:top w:w="15" w:type="dxa"/>
                  <w:left w:w="15" w:type="dxa"/>
                  <w:right w:w="15" w:type="dxa"/>
                </w:tcMar>
                <w:vAlign w:val="center"/>
              </w:tcPr>
            </w:tcPrChange>
          </w:tcPr>
          <w:p w14:paraId="485B2D9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《煤矿安全生产条例》第六十四条  对存在重大事故隐患仍然进行生产的煤矿企业，责令停产整顿，明确整顿的内容、时间等具体要求，并处50万元以上200 万元以下的罚款；对煤矿企业主要负责人处3万元以上15万元以下的罚款。</w:t>
            </w:r>
          </w:p>
        </w:tc>
        <w:tc>
          <w:tcPr>
            <w:tcW w:w="459" w:type="dxa"/>
            <w:tcBorders>
              <w:tl2br w:val="nil"/>
              <w:tr2bl w:val="nil"/>
            </w:tcBorders>
            <w:shd w:val="clear" w:color="auto" w:fill="auto"/>
            <w:noWrap/>
            <w:tcMar>
              <w:top w:w="15" w:type="dxa"/>
              <w:left w:w="15" w:type="dxa"/>
              <w:right w:w="15" w:type="dxa"/>
            </w:tcMar>
            <w:vAlign w:val="center"/>
            <w:tcPrChange w:id="1609" w:author="LV" w:date="2026-07-14T16:30:41Z">
              <w:tcPr>
                <w:tcW w:w="459" w:type="dxa"/>
                <w:gridSpan w:val="3"/>
                <w:tcBorders>
                  <w:tl2br w:val="nil"/>
                  <w:tr2bl w:val="nil"/>
                </w:tcBorders>
                <w:shd w:val="clear" w:color="auto" w:fill="auto"/>
                <w:noWrap/>
                <w:tcMar>
                  <w:top w:w="15" w:type="dxa"/>
                  <w:left w:w="15" w:type="dxa"/>
                  <w:right w:w="15" w:type="dxa"/>
                </w:tcMar>
                <w:vAlign w:val="center"/>
              </w:tcPr>
            </w:tcPrChange>
          </w:tcPr>
          <w:p w14:paraId="4656926B">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Change w:id="1610" w:author="LV" w:date="2026-07-14T16:30:41Z">
              <w:tcPr>
                <w:tcW w:w="1829" w:type="dxa"/>
                <w:gridSpan w:val="3"/>
                <w:tcBorders>
                  <w:tl2br w:val="nil"/>
                  <w:tr2bl w:val="nil"/>
                </w:tcBorders>
                <w:shd w:val="clear" w:color="auto" w:fill="auto"/>
                <w:tcMar>
                  <w:top w:w="15" w:type="dxa"/>
                  <w:left w:w="15" w:type="dxa"/>
                  <w:right w:w="15" w:type="dxa"/>
                </w:tcMar>
                <w:vAlign w:val="center"/>
              </w:tcPr>
            </w:tcPrChange>
          </w:tcPr>
          <w:p w14:paraId="6ED1B787">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Change w:id="1611" w:author="LV" w:date="2026-07-14T16:30:41Z">
              <w:tcPr>
                <w:tcW w:w="2655" w:type="dxa"/>
                <w:gridSpan w:val="3"/>
                <w:tcBorders>
                  <w:tl2br w:val="nil"/>
                  <w:tr2bl w:val="nil"/>
                </w:tcBorders>
                <w:shd w:val="clear" w:color="auto" w:fill="auto"/>
                <w:tcMar>
                  <w:top w:w="15" w:type="dxa"/>
                  <w:left w:w="15" w:type="dxa"/>
                  <w:right w:w="15" w:type="dxa"/>
                </w:tcMar>
                <w:vAlign w:val="center"/>
              </w:tcPr>
            </w:tcPrChange>
          </w:tcPr>
          <w:p w14:paraId="2CEA4243">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71E453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8"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CC4F87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A0249C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740464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2A070D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D9C3CA7">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3666777C">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68951EE2">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709D72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8"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F23CA8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DD5439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510D40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CC4C1A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0900F88">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56F15613">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6714AA50">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6CFE6E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8"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D25763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526C1E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482B51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B9944B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25EB82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4037F43D">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default" w:ascii="仿宋_GB2312" w:hAnsi="宋体" w:eastAsia="仿宋_GB2312" w:cs="仿宋_GB2312"/>
                <w:kern w:val="2"/>
                <w:sz w:val="18"/>
                <w:szCs w:val="18"/>
                <w:lang w:val="en-US" w:eastAsia="zh-CN" w:bidi="ar-SA"/>
              </w:rPr>
            </w:pPr>
            <w:r>
              <w:rPr>
                <w:rFonts w:hint="eastAsia" w:ascii="仿宋_GB2312" w:hAnsi="宋体" w:eastAsia="仿宋_GB2312" w:cs="仿宋_GB2312"/>
                <w:kern w:val="2"/>
                <w:sz w:val="18"/>
                <w:szCs w:val="18"/>
                <w:lang w:val="en-US" w:eastAsia="zh-CN" w:bidi="ar-SA"/>
              </w:rPr>
              <w:t>无</w:t>
            </w:r>
          </w:p>
        </w:tc>
        <w:tc>
          <w:tcPr>
            <w:tcW w:w="2655" w:type="dxa"/>
            <w:tcBorders>
              <w:tl2br w:val="nil"/>
              <w:tr2bl w:val="nil"/>
            </w:tcBorders>
            <w:shd w:val="clear" w:color="auto" w:fill="auto"/>
            <w:tcMar>
              <w:top w:w="15" w:type="dxa"/>
              <w:left w:w="15" w:type="dxa"/>
              <w:right w:w="15" w:type="dxa"/>
            </w:tcMar>
            <w:vAlign w:val="center"/>
          </w:tcPr>
          <w:p w14:paraId="4F4B20F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责令停产整顿，提出整顿的内容、时间等具体要求，处50万元以上100万元以下的罚款；对煤矿企业负责人处3万元以上5万元以下的罚款。</w:t>
            </w:r>
          </w:p>
        </w:tc>
      </w:tr>
      <w:tr w14:paraId="19197A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8"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3EE7E7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24CDD3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1AFF62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FEE095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18996E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3F6D68B5">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default" w:ascii="仿宋_GB2312" w:hAnsi="宋体" w:eastAsia="仿宋_GB2312" w:cs="仿宋_GB2312"/>
                <w:kern w:val="2"/>
                <w:sz w:val="18"/>
                <w:szCs w:val="18"/>
                <w:lang w:val="en-US" w:eastAsia="zh-CN" w:bidi="ar-SA"/>
              </w:rPr>
            </w:pPr>
            <w:r>
              <w:rPr>
                <w:rFonts w:hint="eastAsia" w:ascii="仿宋_GB2312" w:hAnsi="宋体" w:eastAsia="仿宋_GB2312" w:cs="仿宋_GB2312"/>
                <w:kern w:val="2"/>
                <w:sz w:val="18"/>
                <w:szCs w:val="18"/>
                <w:lang w:val="en-US" w:eastAsia="zh-CN" w:bidi="ar-SA"/>
              </w:rPr>
              <w:t>无</w:t>
            </w:r>
          </w:p>
        </w:tc>
        <w:tc>
          <w:tcPr>
            <w:tcW w:w="2655" w:type="dxa"/>
            <w:tcBorders>
              <w:tl2br w:val="nil"/>
              <w:tr2bl w:val="nil"/>
            </w:tcBorders>
            <w:shd w:val="clear" w:color="auto" w:fill="auto"/>
            <w:tcMar>
              <w:top w:w="15" w:type="dxa"/>
              <w:left w:w="15" w:type="dxa"/>
              <w:right w:w="15" w:type="dxa"/>
            </w:tcMar>
            <w:vAlign w:val="center"/>
          </w:tcPr>
          <w:p w14:paraId="55D7092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责令停产整顿，提出整顿的内容、时间等具体要求，处100万元以上150万元以下的罚款；对煤矿企业负责人处5万元以上10万元以下的罚款。</w:t>
            </w:r>
          </w:p>
        </w:tc>
      </w:tr>
      <w:tr w14:paraId="189F9C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8"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3788CE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83BF97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29F1C9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D7A67D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734CB1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72573B29">
            <w:pPr>
              <w:keepNext w:val="0"/>
              <w:keepLines w:val="0"/>
              <w:pageBreakBefore w:val="0"/>
              <w:widowControl w:val="0"/>
              <w:kinsoku/>
              <w:wordWrap/>
              <w:overflowPunct w:val="0"/>
              <w:topLinePunct w:val="0"/>
              <w:autoSpaceDE/>
              <w:autoSpaceDN/>
              <w:bidi w:val="0"/>
              <w:adjustRightInd/>
              <w:snapToGrid/>
              <w:spacing w:line="220" w:lineRule="exact"/>
              <w:textAlignment w:val="center"/>
              <w:rPr>
                <w:ins w:id="1612" w:author="LV" w:date="2026-07-14T16:30:18Z"/>
                <w:rFonts w:hint="eastAsia" w:ascii="仿宋_GB2312" w:hAnsi="宋体" w:eastAsia="仿宋_GB2312" w:cs="仿宋_GB2312"/>
                <w:kern w:val="0"/>
                <w:sz w:val="18"/>
                <w:szCs w:val="18"/>
                <w:lang w:bidi="ar"/>
              </w:rPr>
            </w:pPr>
          </w:p>
          <w:p w14:paraId="69AB85CD">
            <w:pPr>
              <w:keepNext w:val="0"/>
              <w:keepLines w:val="0"/>
              <w:pageBreakBefore w:val="0"/>
              <w:widowControl w:val="0"/>
              <w:kinsoku/>
              <w:wordWrap/>
              <w:overflowPunct w:val="0"/>
              <w:topLinePunct w:val="0"/>
              <w:autoSpaceDE/>
              <w:autoSpaceDN/>
              <w:bidi w:val="0"/>
              <w:adjustRightInd/>
              <w:snapToGrid/>
              <w:spacing w:line="220" w:lineRule="exact"/>
              <w:textAlignment w:val="center"/>
              <w:rPr>
                <w:ins w:id="1613" w:author="LV" w:date="2026-07-14T16:30:21Z"/>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井下发生未造成人员伤亡的煤 (岩) 与瓦斯 (二氧化碳) 突出，因透 (突、溃) 水造成采掘工作面被淹，井巷、采掘工作面发生冲击地压动力现象造成巷道严重变形、设备损坏或者因火灾封闭工作面（矿井）。</w:t>
            </w:r>
          </w:p>
          <w:p w14:paraId="5031F114">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0"/>
                <w:sz w:val="18"/>
                <w:szCs w:val="18"/>
                <w:lang w:val="en-US" w:eastAsia="zh-CN" w:bidi="ar"/>
              </w:rPr>
            </w:pPr>
          </w:p>
        </w:tc>
        <w:tc>
          <w:tcPr>
            <w:tcW w:w="2655" w:type="dxa"/>
            <w:tcBorders>
              <w:tl2br w:val="nil"/>
              <w:tr2bl w:val="nil"/>
            </w:tcBorders>
            <w:shd w:val="clear" w:color="auto" w:fill="auto"/>
            <w:tcMar>
              <w:top w:w="15" w:type="dxa"/>
              <w:left w:w="15" w:type="dxa"/>
              <w:right w:w="15" w:type="dxa"/>
            </w:tcMar>
            <w:vAlign w:val="center"/>
          </w:tcPr>
          <w:p w14:paraId="67B2876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责令停产整顿，提出整顿的内容、时间等具体要求，处150万元以上200万元以下的罚款；对煤矿企业负责人处10万元以上15万元以下的罚款。</w:t>
            </w:r>
          </w:p>
        </w:tc>
      </w:tr>
      <w:tr w14:paraId="0CCCCE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del w:id="1614" w:author="LV" w:date="2026-07-14T16:30:58Z"/>
        </w:trPr>
        <w:tc>
          <w:tcPr>
            <w:tcW w:w="418" w:type="dxa"/>
            <w:vMerge w:val="restart"/>
            <w:tcBorders>
              <w:tl2br w:val="nil"/>
              <w:tr2bl w:val="nil"/>
            </w:tcBorders>
            <w:shd w:val="clear" w:color="auto" w:fill="auto"/>
            <w:noWrap/>
            <w:tcMar>
              <w:top w:w="15" w:type="dxa"/>
              <w:left w:w="15" w:type="dxa"/>
              <w:right w:w="15" w:type="dxa"/>
            </w:tcMar>
            <w:vAlign w:val="center"/>
          </w:tcPr>
          <w:p w14:paraId="0236CD3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del w:id="1615" w:author="LV" w:date="2026-07-14T16:30:58Z"/>
                <w:rFonts w:ascii="仿宋_GB2312" w:hAnsi="宋体" w:eastAsia="仿宋_GB2312" w:cs="仿宋_GB2312"/>
                <w:sz w:val="18"/>
                <w:szCs w:val="18"/>
              </w:rPr>
            </w:pPr>
            <w:del w:id="1616" w:author="LV" w:date="2026-07-14T16:30:58Z">
              <w:r>
                <w:rPr>
                  <w:rFonts w:hint="eastAsia" w:ascii="仿宋_GB2312" w:hAnsi="宋体" w:eastAsia="仿宋_GB2312" w:cs="仿宋_GB2312"/>
                  <w:kern w:val="0"/>
                  <w:sz w:val="18"/>
                  <w:szCs w:val="18"/>
                  <w:lang w:bidi="ar"/>
                </w:rPr>
                <w:delText>57</w:delText>
              </w:r>
            </w:del>
          </w:p>
        </w:tc>
        <w:tc>
          <w:tcPr>
            <w:tcW w:w="1005" w:type="dxa"/>
            <w:vMerge w:val="restart"/>
            <w:tcBorders>
              <w:tl2br w:val="nil"/>
              <w:tr2bl w:val="nil"/>
            </w:tcBorders>
            <w:shd w:val="clear" w:color="auto" w:fill="auto"/>
            <w:tcMar>
              <w:top w:w="15" w:type="dxa"/>
              <w:left w:w="15" w:type="dxa"/>
              <w:right w:w="15" w:type="dxa"/>
            </w:tcMar>
            <w:vAlign w:val="center"/>
          </w:tcPr>
          <w:p w14:paraId="565FCDE1">
            <w:pPr>
              <w:keepNext w:val="0"/>
              <w:keepLines w:val="0"/>
              <w:pageBreakBefore w:val="0"/>
              <w:widowControl w:val="0"/>
              <w:kinsoku/>
              <w:wordWrap/>
              <w:overflowPunct w:val="0"/>
              <w:topLinePunct w:val="0"/>
              <w:autoSpaceDE/>
              <w:autoSpaceDN/>
              <w:bidi w:val="0"/>
              <w:adjustRightInd/>
              <w:snapToGrid/>
              <w:spacing w:line="280" w:lineRule="exact"/>
              <w:textAlignment w:val="center"/>
              <w:rPr>
                <w:del w:id="1617" w:author="LV" w:date="2026-07-14T16:30:58Z"/>
                <w:rFonts w:ascii="仿宋_GB2312" w:hAnsi="宋体" w:eastAsia="仿宋_GB2312" w:cs="仿宋_GB2312"/>
                <w:sz w:val="18"/>
                <w:szCs w:val="18"/>
              </w:rPr>
            </w:pPr>
            <w:del w:id="1618" w:author="LV" w:date="2026-07-14T16:30:58Z">
              <w:r>
                <w:rPr>
                  <w:rFonts w:hint="eastAsia" w:ascii="仿宋_GB2312" w:hAnsi="宋体" w:eastAsia="仿宋_GB2312" w:cs="仿宋_GB2312"/>
                  <w:kern w:val="0"/>
                  <w:sz w:val="18"/>
                  <w:szCs w:val="18"/>
                  <w:lang w:val="en-US" w:eastAsia="zh-CN" w:bidi="ar"/>
                </w:rPr>
                <w:delText>合并至第一条</w:delText>
              </w:r>
            </w:del>
          </w:p>
        </w:tc>
        <w:tc>
          <w:tcPr>
            <w:tcW w:w="3667" w:type="dxa"/>
            <w:vMerge w:val="restart"/>
            <w:tcBorders>
              <w:tl2br w:val="nil"/>
              <w:tr2bl w:val="nil"/>
            </w:tcBorders>
            <w:shd w:val="clear" w:color="auto" w:fill="auto"/>
            <w:tcMar>
              <w:top w:w="15" w:type="dxa"/>
              <w:left w:w="15" w:type="dxa"/>
              <w:right w:w="15" w:type="dxa"/>
            </w:tcMar>
            <w:vAlign w:val="center"/>
          </w:tcPr>
          <w:p w14:paraId="05F4A7A6">
            <w:pPr>
              <w:keepNext w:val="0"/>
              <w:keepLines w:val="0"/>
              <w:pageBreakBefore w:val="0"/>
              <w:widowControl w:val="0"/>
              <w:kinsoku/>
              <w:wordWrap/>
              <w:overflowPunct w:val="0"/>
              <w:topLinePunct w:val="0"/>
              <w:autoSpaceDE/>
              <w:autoSpaceDN/>
              <w:bidi w:val="0"/>
              <w:adjustRightInd/>
              <w:snapToGrid/>
              <w:spacing w:line="280" w:lineRule="exact"/>
              <w:textAlignment w:val="center"/>
              <w:rPr>
                <w:del w:id="1619" w:author="LV" w:date="2026-07-14T16:30:58Z"/>
                <w:rFonts w:ascii="仿宋_GB2312" w:hAnsi="宋体" w:eastAsia="仿宋_GB2312" w:cs="仿宋_GB2312"/>
                <w:spacing w:val="-5"/>
                <w:sz w:val="18"/>
                <w:szCs w:val="18"/>
              </w:rPr>
            </w:pPr>
          </w:p>
        </w:tc>
        <w:tc>
          <w:tcPr>
            <w:tcW w:w="4082" w:type="dxa"/>
            <w:vMerge w:val="restart"/>
            <w:tcBorders>
              <w:tl2br w:val="nil"/>
              <w:tr2bl w:val="nil"/>
            </w:tcBorders>
            <w:shd w:val="clear" w:color="auto" w:fill="auto"/>
            <w:tcMar>
              <w:top w:w="15" w:type="dxa"/>
              <w:left w:w="15" w:type="dxa"/>
              <w:right w:w="15" w:type="dxa"/>
            </w:tcMar>
            <w:vAlign w:val="center"/>
          </w:tcPr>
          <w:p w14:paraId="7161631F">
            <w:pPr>
              <w:keepNext w:val="0"/>
              <w:keepLines w:val="0"/>
              <w:pageBreakBefore w:val="0"/>
              <w:widowControl w:val="0"/>
              <w:kinsoku/>
              <w:wordWrap/>
              <w:overflowPunct w:val="0"/>
              <w:topLinePunct w:val="0"/>
              <w:autoSpaceDE/>
              <w:autoSpaceDN/>
              <w:bidi w:val="0"/>
              <w:adjustRightInd/>
              <w:snapToGrid/>
              <w:spacing w:line="280" w:lineRule="exact"/>
              <w:textAlignment w:val="center"/>
              <w:rPr>
                <w:del w:id="1620" w:author="LV" w:date="2026-07-14T16:30:58Z"/>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2BA1C37">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del w:id="1621" w:author="LV" w:date="2026-07-14T16:30:58Z"/>
                <w:rFonts w:ascii="仿宋_GB2312" w:hAnsi="宋体" w:eastAsia="仿宋_GB2312" w:cs="仿宋_GB2312"/>
                <w:sz w:val="18"/>
                <w:szCs w:val="18"/>
              </w:rPr>
            </w:pPr>
          </w:p>
        </w:tc>
        <w:tc>
          <w:tcPr>
            <w:tcW w:w="1829" w:type="dxa"/>
            <w:tcBorders>
              <w:tl2br w:val="nil"/>
              <w:tr2bl w:val="nil"/>
            </w:tcBorders>
            <w:shd w:val="clear" w:color="auto" w:fill="auto"/>
            <w:tcMar>
              <w:top w:w="15" w:type="dxa"/>
              <w:left w:w="15" w:type="dxa"/>
              <w:right w:w="15" w:type="dxa"/>
            </w:tcMar>
            <w:vAlign w:val="center"/>
          </w:tcPr>
          <w:p w14:paraId="7F1B9F40">
            <w:pPr>
              <w:keepNext w:val="0"/>
              <w:keepLines w:val="0"/>
              <w:pageBreakBefore w:val="0"/>
              <w:widowControl w:val="0"/>
              <w:kinsoku/>
              <w:wordWrap/>
              <w:overflowPunct w:val="0"/>
              <w:topLinePunct w:val="0"/>
              <w:autoSpaceDE/>
              <w:autoSpaceDN/>
              <w:bidi w:val="0"/>
              <w:adjustRightInd/>
              <w:snapToGrid/>
              <w:spacing w:line="220" w:lineRule="exact"/>
              <w:textAlignment w:val="center"/>
              <w:rPr>
                <w:del w:id="1622" w:author="LV" w:date="2026-07-14T16:30:58Z"/>
                <w:rFonts w:ascii="仿宋_GB2312" w:hAnsi="宋体" w:eastAsia="仿宋_GB2312" w:cs="仿宋_GB2312"/>
                <w:sz w:val="18"/>
                <w:szCs w:val="18"/>
              </w:rPr>
            </w:pPr>
          </w:p>
        </w:tc>
        <w:tc>
          <w:tcPr>
            <w:tcW w:w="2655" w:type="dxa"/>
            <w:tcBorders>
              <w:tl2br w:val="nil"/>
              <w:tr2bl w:val="nil"/>
            </w:tcBorders>
            <w:shd w:val="clear" w:color="auto" w:fill="auto"/>
            <w:noWrap/>
            <w:tcMar>
              <w:top w:w="15" w:type="dxa"/>
              <w:left w:w="15" w:type="dxa"/>
              <w:right w:w="15" w:type="dxa"/>
            </w:tcMar>
            <w:vAlign w:val="center"/>
          </w:tcPr>
          <w:p w14:paraId="60B6DF7E">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del w:id="1623" w:author="LV" w:date="2026-07-14T16:30:58Z"/>
                <w:rFonts w:ascii="仿宋_GB2312" w:hAnsi="宋体" w:eastAsia="仿宋_GB2312" w:cs="仿宋_GB2312"/>
                <w:sz w:val="18"/>
                <w:szCs w:val="18"/>
              </w:rPr>
            </w:pPr>
          </w:p>
        </w:tc>
      </w:tr>
      <w:tr w14:paraId="1906B7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del w:id="1624" w:author="LV" w:date="2026-07-14T16:30:58Z"/>
        </w:trPr>
        <w:tc>
          <w:tcPr>
            <w:tcW w:w="418" w:type="dxa"/>
            <w:vMerge w:val="continue"/>
            <w:tcBorders>
              <w:tl2br w:val="nil"/>
              <w:tr2bl w:val="nil"/>
            </w:tcBorders>
            <w:shd w:val="clear" w:color="auto" w:fill="auto"/>
            <w:noWrap/>
            <w:tcMar>
              <w:top w:w="15" w:type="dxa"/>
              <w:left w:w="15" w:type="dxa"/>
              <w:right w:w="15" w:type="dxa"/>
            </w:tcMar>
            <w:vAlign w:val="center"/>
          </w:tcPr>
          <w:p w14:paraId="767D527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del w:id="1625" w:author="LV" w:date="2026-07-14T16:30:58Z"/>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395CE7C">
            <w:pPr>
              <w:keepNext w:val="0"/>
              <w:keepLines w:val="0"/>
              <w:pageBreakBefore w:val="0"/>
              <w:widowControl w:val="0"/>
              <w:kinsoku/>
              <w:wordWrap/>
              <w:overflowPunct w:val="0"/>
              <w:topLinePunct w:val="0"/>
              <w:autoSpaceDE/>
              <w:autoSpaceDN/>
              <w:bidi w:val="0"/>
              <w:adjustRightInd/>
              <w:snapToGrid/>
              <w:spacing w:line="280" w:lineRule="exact"/>
              <w:rPr>
                <w:del w:id="1626" w:author="LV" w:date="2026-07-14T16:30:58Z"/>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FED0EB0">
            <w:pPr>
              <w:keepNext w:val="0"/>
              <w:keepLines w:val="0"/>
              <w:pageBreakBefore w:val="0"/>
              <w:widowControl w:val="0"/>
              <w:kinsoku/>
              <w:wordWrap/>
              <w:overflowPunct w:val="0"/>
              <w:topLinePunct w:val="0"/>
              <w:autoSpaceDE/>
              <w:autoSpaceDN/>
              <w:bidi w:val="0"/>
              <w:adjustRightInd/>
              <w:snapToGrid/>
              <w:spacing w:line="280" w:lineRule="exact"/>
              <w:rPr>
                <w:del w:id="1627" w:author="LV" w:date="2026-07-14T16:30:58Z"/>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131923E">
            <w:pPr>
              <w:keepNext w:val="0"/>
              <w:keepLines w:val="0"/>
              <w:pageBreakBefore w:val="0"/>
              <w:widowControl w:val="0"/>
              <w:kinsoku/>
              <w:wordWrap/>
              <w:overflowPunct w:val="0"/>
              <w:topLinePunct w:val="0"/>
              <w:autoSpaceDE/>
              <w:autoSpaceDN/>
              <w:bidi w:val="0"/>
              <w:adjustRightInd/>
              <w:snapToGrid/>
              <w:spacing w:line="280" w:lineRule="exact"/>
              <w:rPr>
                <w:del w:id="1628" w:author="LV" w:date="2026-07-14T16:30:58Z"/>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8F1B41D">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del w:id="1629" w:author="LV" w:date="2026-07-14T16:30:58Z"/>
                <w:rFonts w:ascii="仿宋_GB2312" w:hAnsi="宋体" w:eastAsia="仿宋_GB2312" w:cs="仿宋_GB2312"/>
                <w:sz w:val="18"/>
                <w:szCs w:val="18"/>
              </w:rPr>
            </w:pPr>
          </w:p>
        </w:tc>
        <w:tc>
          <w:tcPr>
            <w:tcW w:w="1829" w:type="dxa"/>
            <w:tcBorders>
              <w:tl2br w:val="nil"/>
              <w:tr2bl w:val="nil"/>
            </w:tcBorders>
            <w:shd w:val="clear" w:color="auto" w:fill="auto"/>
            <w:tcMar>
              <w:top w:w="15" w:type="dxa"/>
              <w:left w:w="15" w:type="dxa"/>
              <w:right w:w="15" w:type="dxa"/>
            </w:tcMar>
            <w:vAlign w:val="center"/>
          </w:tcPr>
          <w:p w14:paraId="6BBBCB84">
            <w:pPr>
              <w:keepNext w:val="0"/>
              <w:keepLines w:val="0"/>
              <w:pageBreakBefore w:val="0"/>
              <w:widowControl w:val="0"/>
              <w:kinsoku/>
              <w:wordWrap/>
              <w:overflowPunct w:val="0"/>
              <w:topLinePunct w:val="0"/>
              <w:autoSpaceDE/>
              <w:autoSpaceDN/>
              <w:bidi w:val="0"/>
              <w:adjustRightInd/>
              <w:snapToGrid/>
              <w:spacing w:line="220" w:lineRule="exact"/>
              <w:textAlignment w:val="center"/>
              <w:rPr>
                <w:del w:id="1630" w:author="LV" w:date="2026-07-14T16:30:58Z"/>
                <w:rFonts w:ascii="仿宋_GB2312" w:hAnsi="宋体" w:eastAsia="仿宋_GB2312" w:cs="仿宋_GB2312"/>
                <w:sz w:val="18"/>
                <w:szCs w:val="18"/>
              </w:rPr>
            </w:pPr>
          </w:p>
        </w:tc>
        <w:tc>
          <w:tcPr>
            <w:tcW w:w="2655" w:type="dxa"/>
            <w:tcBorders>
              <w:tl2br w:val="nil"/>
              <w:tr2bl w:val="nil"/>
            </w:tcBorders>
            <w:shd w:val="clear" w:color="auto" w:fill="auto"/>
            <w:noWrap/>
            <w:tcMar>
              <w:top w:w="15" w:type="dxa"/>
              <w:left w:w="15" w:type="dxa"/>
              <w:right w:w="15" w:type="dxa"/>
            </w:tcMar>
            <w:vAlign w:val="center"/>
          </w:tcPr>
          <w:p w14:paraId="07931718">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del w:id="1631" w:author="LV" w:date="2026-07-14T16:30:58Z"/>
                <w:rFonts w:ascii="仿宋_GB2312" w:hAnsi="宋体" w:eastAsia="仿宋_GB2312" w:cs="仿宋_GB2312"/>
                <w:sz w:val="18"/>
                <w:szCs w:val="18"/>
              </w:rPr>
            </w:pPr>
          </w:p>
        </w:tc>
      </w:tr>
      <w:tr w14:paraId="3231CB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del w:id="1632" w:author="LV" w:date="2026-07-14T16:30:58Z"/>
        </w:trPr>
        <w:tc>
          <w:tcPr>
            <w:tcW w:w="418" w:type="dxa"/>
            <w:vMerge w:val="continue"/>
            <w:tcBorders>
              <w:tl2br w:val="nil"/>
              <w:tr2bl w:val="nil"/>
            </w:tcBorders>
            <w:shd w:val="clear" w:color="auto" w:fill="auto"/>
            <w:noWrap/>
            <w:tcMar>
              <w:top w:w="15" w:type="dxa"/>
              <w:left w:w="15" w:type="dxa"/>
              <w:right w:w="15" w:type="dxa"/>
            </w:tcMar>
            <w:vAlign w:val="center"/>
          </w:tcPr>
          <w:p w14:paraId="6538AD8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del w:id="1633" w:author="LV" w:date="2026-07-14T16:30:58Z"/>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A47C58F">
            <w:pPr>
              <w:keepNext w:val="0"/>
              <w:keepLines w:val="0"/>
              <w:pageBreakBefore w:val="0"/>
              <w:widowControl w:val="0"/>
              <w:kinsoku/>
              <w:wordWrap/>
              <w:overflowPunct w:val="0"/>
              <w:topLinePunct w:val="0"/>
              <w:autoSpaceDE/>
              <w:autoSpaceDN/>
              <w:bidi w:val="0"/>
              <w:adjustRightInd/>
              <w:snapToGrid/>
              <w:spacing w:line="280" w:lineRule="exact"/>
              <w:rPr>
                <w:del w:id="1634" w:author="LV" w:date="2026-07-14T16:30:58Z"/>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59351B6">
            <w:pPr>
              <w:keepNext w:val="0"/>
              <w:keepLines w:val="0"/>
              <w:pageBreakBefore w:val="0"/>
              <w:widowControl w:val="0"/>
              <w:kinsoku/>
              <w:wordWrap/>
              <w:overflowPunct w:val="0"/>
              <w:topLinePunct w:val="0"/>
              <w:autoSpaceDE/>
              <w:autoSpaceDN/>
              <w:bidi w:val="0"/>
              <w:adjustRightInd/>
              <w:snapToGrid/>
              <w:spacing w:line="280" w:lineRule="exact"/>
              <w:rPr>
                <w:del w:id="1635" w:author="LV" w:date="2026-07-14T16:30:58Z"/>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D292816">
            <w:pPr>
              <w:keepNext w:val="0"/>
              <w:keepLines w:val="0"/>
              <w:pageBreakBefore w:val="0"/>
              <w:widowControl w:val="0"/>
              <w:kinsoku/>
              <w:wordWrap/>
              <w:overflowPunct w:val="0"/>
              <w:topLinePunct w:val="0"/>
              <w:autoSpaceDE/>
              <w:autoSpaceDN/>
              <w:bidi w:val="0"/>
              <w:adjustRightInd/>
              <w:snapToGrid/>
              <w:spacing w:line="280" w:lineRule="exact"/>
              <w:rPr>
                <w:del w:id="1636" w:author="LV" w:date="2026-07-14T16:30:58Z"/>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F336037">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del w:id="1637" w:author="LV" w:date="2026-07-14T16:30:58Z"/>
                <w:rFonts w:ascii="仿宋_GB2312" w:hAnsi="宋体" w:eastAsia="仿宋_GB2312" w:cs="仿宋_GB2312"/>
                <w:sz w:val="18"/>
                <w:szCs w:val="18"/>
              </w:rPr>
            </w:pPr>
          </w:p>
        </w:tc>
        <w:tc>
          <w:tcPr>
            <w:tcW w:w="1829" w:type="dxa"/>
            <w:tcBorders>
              <w:tl2br w:val="nil"/>
              <w:tr2bl w:val="nil"/>
            </w:tcBorders>
            <w:shd w:val="clear" w:color="auto" w:fill="auto"/>
            <w:tcMar>
              <w:top w:w="15" w:type="dxa"/>
              <w:left w:w="15" w:type="dxa"/>
              <w:right w:w="15" w:type="dxa"/>
            </w:tcMar>
            <w:vAlign w:val="center"/>
          </w:tcPr>
          <w:p w14:paraId="1E390442">
            <w:pPr>
              <w:keepNext w:val="0"/>
              <w:keepLines w:val="0"/>
              <w:pageBreakBefore w:val="0"/>
              <w:widowControl w:val="0"/>
              <w:kinsoku/>
              <w:wordWrap/>
              <w:overflowPunct w:val="0"/>
              <w:topLinePunct w:val="0"/>
              <w:autoSpaceDE/>
              <w:autoSpaceDN/>
              <w:bidi w:val="0"/>
              <w:adjustRightInd/>
              <w:snapToGrid/>
              <w:spacing w:line="220" w:lineRule="exact"/>
              <w:textAlignment w:val="center"/>
              <w:rPr>
                <w:del w:id="1638" w:author="LV" w:date="2026-07-14T16:30:58Z"/>
                <w:rFonts w:ascii="仿宋_GB2312" w:hAnsi="宋体" w:eastAsia="仿宋_GB2312" w:cs="仿宋_GB2312"/>
                <w:sz w:val="18"/>
                <w:szCs w:val="18"/>
              </w:rPr>
            </w:pPr>
          </w:p>
        </w:tc>
        <w:tc>
          <w:tcPr>
            <w:tcW w:w="2655" w:type="dxa"/>
            <w:tcBorders>
              <w:tl2br w:val="nil"/>
              <w:tr2bl w:val="nil"/>
            </w:tcBorders>
            <w:shd w:val="clear" w:color="auto" w:fill="auto"/>
            <w:tcMar>
              <w:top w:w="15" w:type="dxa"/>
              <w:left w:w="15" w:type="dxa"/>
              <w:right w:w="15" w:type="dxa"/>
            </w:tcMar>
            <w:vAlign w:val="center"/>
          </w:tcPr>
          <w:p w14:paraId="4BBDF708">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del w:id="1639" w:author="LV" w:date="2026-07-14T16:30:58Z"/>
                <w:rFonts w:ascii="仿宋_GB2312" w:hAnsi="宋体" w:eastAsia="仿宋_GB2312" w:cs="仿宋_GB2312"/>
                <w:sz w:val="18"/>
                <w:szCs w:val="18"/>
              </w:rPr>
            </w:pPr>
          </w:p>
        </w:tc>
      </w:tr>
      <w:tr w14:paraId="2221C6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del w:id="1640" w:author="LV" w:date="2026-07-14T16:30:58Z"/>
        </w:trPr>
        <w:tc>
          <w:tcPr>
            <w:tcW w:w="418" w:type="dxa"/>
            <w:vMerge w:val="continue"/>
            <w:tcBorders>
              <w:tl2br w:val="nil"/>
              <w:tr2bl w:val="nil"/>
            </w:tcBorders>
            <w:shd w:val="clear" w:color="auto" w:fill="auto"/>
            <w:noWrap/>
            <w:tcMar>
              <w:top w:w="15" w:type="dxa"/>
              <w:left w:w="15" w:type="dxa"/>
              <w:right w:w="15" w:type="dxa"/>
            </w:tcMar>
            <w:vAlign w:val="center"/>
          </w:tcPr>
          <w:p w14:paraId="0754779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del w:id="1641" w:author="LV" w:date="2026-07-14T16:30:58Z"/>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B840004">
            <w:pPr>
              <w:keepNext w:val="0"/>
              <w:keepLines w:val="0"/>
              <w:pageBreakBefore w:val="0"/>
              <w:widowControl w:val="0"/>
              <w:kinsoku/>
              <w:wordWrap/>
              <w:overflowPunct w:val="0"/>
              <w:topLinePunct w:val="0"/>
              <w:autoSpaceDE/>
              <w:autoSpaceDN/>
              <w:bidi w:val="0"/>
              <w:adjustRightInd/>
              <w:snapToGrid/>
              <w:spacing w:line="280" w:lineRule="exact"/>
              <w:rPr>
                <w:del w:id="1642" w:author="LV" w:date="2026-07-14T16:30:58Z"/>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48E1F6D">
            <w:pPr>
              <w:keepNext w:val="0"/>
              <w:keepLines w:val="0"/>
              <w:pageBreakBefore w:val="0"/>
              <w:widowControl w:val="0"/>
              <w:kinsoku/>
              <w:wordWrap/>
              <w:overflowPunct w:val="0"/>
              <w:topLinePunct w:val="0"/>
              <w:autoSpaceDE/>
              <w:autoSpaceDN/>
              <w:bidi w:val="0"/>
              <w:adjustRightInd/>
              <w:snapToGrid/>
              <w:spacing w:line="280" w:lineRule="exact"/>
              <w:rPr>
                <w:del w:id="1643" w:author="LV" w:date="2026-07-14T16:30:58Z"/>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15A4CF7">
            <w:pPr>
              <w:keepNext w:val="0"/>
              <w:keepLines w:val="0"/>
              <w:pageBreakBefore w:val="0"/>
              <w:widowControl w:val="0"/>
              <w:kinsoku/>
              <w:wordWrap/>
              <w:overflowPunct w:val="0"/>
              <w:topLinePunct w:val="0"/>
              <w:autoSpaceDE/>
              <w:autoSpaceDN/>
              <w:bidi w:val="0"/>
              <w:adjustRightInd/>
              <w:snapToGrid/>
              <w:spacing w:line="280" w:lineRule="exact"/>
              <w:rPr>
                <w:del w:id="1644" w:author="LV" w:date="2026-07-14T16:30:58Z"/>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728EF1E">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del w:id="1645" w:author="LV" w:date="2026-07-14T16:30:58Z"/>
                <w:rFonts w:ascii="仿宋_GB2312" w:hAnsi="宋体" w:eastAsia="仿宋_GB2312" w:cs="仿宋_GB2312"/>
                <w:sz w:val="18"/>
                <w:szCs w:val="18"/>
              </w:rPr>
            </w:pPr>
          </w:p>
        </w:tc>
        <w:tc>
          <w:tcPr>
            <w:tcW w:w="1829" w:type="dxa"/>
            <w:tcBorders>
              <w:tl2br w:val="nil"/>
              <w:tr2bl w:val="nil"/>
            </w:tcBorders>
            <w:shd w:val="clear" w:color="auto" w:fill="auto"/>
            <w:tcMar>
              <w:top w:w="15" w:type="dxa"/>
              <w:left w:w="15" w:type="dxa"/>
              <w:right w:w="15" w:type="dxa"/>
            </w:tcMar>
            <w:vAlign w:val="center"/>
          </w:tcPr>
          <w:p w14:paraId="630C3743">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del w:id="1646" w:author="LV" w:date="2026-07-14T16:30:58Z"/>
                <w:rFonts w:ascii="仿宋_GB2312" w:hAnsi="宋体" w:eastAsia="仿宋_GB2312" w:cs="仿宋_GB2312"/>
                <w:sz w:val="18"/>
                <w:szCs w:val="18"/>
              </w:rPr>
            </w:pPr>
          </w:p>
        </w:tc>
        <w:tc>
          <w:tcPr>
            <w:tcW w:w="2655" w:type="dxa"/>
            <w:tcBorders>
              <w:tl2br w:val="nil"/>
              <w:tr2bl w:val="nil"/>
            </w:tcBorders>
            <w:shd w:val="clear" w:color="auto" w:fill="auto"/>
            <w:tcMar>
              <w:top w:w="15" w:type="dxa"/>
              <w:left w:w="15" w:type="dxa"/>
              <w:right w:w="15" w:type="dxa"/>
            </w:tcMar>
            <w:vAlign w:val="center"/>
          </w:tcPr>
          <w:p w14:paraId="1A221A58">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del w:id="1647" w:author="LV" w:date="2026-07-14T16:30:58Z"/>
                <w:rFonts w:ascii="仿宋_GB2312" w:hAnsi="宋体" w:eastAsia="仿宋_GB2312" w:cs="仿宋_GB2312"/>
                <w:sz w:val="18"/>
                <w:szCs w:val="18"/>
              </w:rPr>
            </w:pPr>
          </w:p>
        </w:tc>
      </w:tr>
      <w:tr w14:paraId="03C31F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del w:id="1648" w:author="LV" w:date="2026-07-14T16:30:58Z"/>
        </w:trPr>
        <w:tc>
          <w:tcPr>
            <w:tcW w:w="418" w:type="dxa"/>
            <w:vMerge w:val="continue"/>
            <w:tcBorders>
              <w:tl2br w:val="nil"/>
              <w:tr2bl w:val="nil"/>
            </w:tcBorders>
            <w:shd w:val="clear" w:color="auto" w:fill="auto"/>
            <w:noWrap/>
            <w:tcMar>
              <w:top w:w="15" w:type="dxa"/>
              <w:left w:w="15" w:type="dxa"/>
              <w:right w:w="15" w:type="dxa"/>
            </w:tcMar>
            <w:vAlign w:val="center"/>
          </w:tcPr>
          <w:p w14:paraId="70EC0BE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del w:id="1649" w:author="LV" w:date="2026-07-14T16:30:58Z"/>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03ED8A0">
            <w:pPr>
              <w:keepNext w:val="0"/>
              <w:keepLines w:val="0"/>
              <w:pageBreakBefore w:val="0"/>
              <w:widowControl w:val="0"/>
              <w:kinsoku/>
              <w:wordWrap/>
              <w:overflowPunct w:val="0"/>
              <w:topLinePunct w:val="0"/>
              <w:autoSpaceDE/>
              <w:autoSpaceDN/>
              <w:bidi w:val="0"/>
              <w:adjustRightInd/>
              <w:snapToGrid/>
              <w:spacing w:line="280" w:lineRule="exact"/>
              <w:rPr>
                <w:del w:id="1650" w:author="LV" w:date="2026-07-14T16:30:58Z"/>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35B41F1">
            <w:pPr>
              <w:keepNext w:val="0"/>
              <w:keepLines w:val="0"/>
              <w:pageBreakBefore w:val="0"/>
              <w:widowControl w:val="0"/>
              <w:kinsoku/>
              <w:wordWrap/>
              <w:overflowPunct w:val="0"/>
              <w:topLinePunct w:val="0"/>
              <w:autoSpaceDE/>
              <w:autoSpaceDN/>
              <w:bidi w:val="0"/>
              <w:adjustRightInd/>
              <w:snapToGrid/>
              <w:spacing w:line="280" w:lineRule="exact"/>
              <w:rPr>
                <w:del w:id="1651" w:author="LV" w:date="2026-07-14T16:30:58Z"/>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4E2BC24">
            <w:pPr>
              <w:keepNext w:val="0"/>
              <w:keepLines w:val="0"/>
              <w:pageBreakBefore w:val="0"/>
              <w:widowControl w:val="0"/>
              <w:kinsoku/>
              <w:wordWrap/>
              <w:overflowPunct w:val="0"/>
              <w:topLinePunct w:val="0"/>
              <w:autoSpaceDE/>
              <w:autoSpaceDN/>
              <w:bidi w:val="0"/>
              <w:adjustRightInd/>
              <w:snapToGrid/>
              <w:spacing w:line="280" w:lineRule="exact"/>
              <w:rPr>
                <w:del w:id="1652" w:author="LV" w:date="2026-07-14T16:30:58Z"/>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03B6C00">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del w:id="1653" w:author="LV" w:date="2026-07-14T16:30:58Z"/>
                <w:rFonts w:ascii="仿宋_GB2312" w:hAnsi="宋体" w:eastAsia="仿宋_GB2312" w:cs="仿宋_GB2312"/>
                <w:sz w:val="18"/>
                <w:szCs w:val="18"/>
              </w:rPr>
            </w:pPr>
          </w:p>
        </w:tc>
        <w:tc>
          <w:tcPr>
            <w:tcW w:w="1829" w:type="dxa"/>
            <w:tcBorders>
              <w:tl2br w:val="nil"/>
              <w:tr2bl w:val="nil"/>
            </w:tcBorders>
            <w:shd w:val="clear" w:color="auto" w:fill="auto"/>
            <w:tcMar>
              <w:top w:w="15" w:type="dxa"/>
              <w:left w:w="15" w:type="dxa"/>
              <w:right w:w="15" w:type="dxa"/>
            </w:tcMar>
            <w:vAlign w:val="center"/>
          </w:tcPr>
          <w:p w14:paraId="02C87B23">
            <w:pPr>
              <w:keepNext w:val="0"/>
              <w:keepLines w:val="0"/>
              <w:pageBreakBefore w:val="0"/>
              <w:widowControl w:val="0"/>
              <w:kinsoku/>
              <w:wordWrap/>
              <w:overflowPunct w:val="0"/>
              <w:topLinePunct w:val="0"/>
              <w:autoSpaceDE/>
              <w:autoSpaceDN/>
              <w:bidi w:val="0"/>
              <w:adjustRightInd/>
              <w:snapToGrid/>
              <w:spacing w:line="220" w:lineRule="exact"/>
              <w:textAlignment w:val="center"/>
              <w:rPr>
                <w:del w:id="1654" w:author="LV" w:date="2026-07-14T16:30:58Z"/>
                <w:rFonts w:ascii="仿宋_GB2312" w:hAnsi="宋体" w:eastAsia="仿宋_GB2312" w:cs="仿宋_GB2312"/>
                <w:sz w:val="18"/>
                <w:szCs w:val="18"/>
              </w:rPr>
            </w:pPr>
          </w:p>
        </w:tc>
        <w:tc>
          <w:tcPr>
            <w:tcW w:w="2655" w:type="dxa"/>
            <w:tcBorders>
              <w:tl2br w:val="nil"/>
              <w:tr2bl w:val="nil"/>
            </w:tcBorders>
            <w:shd w:val="clear" w:color="auto" w:fill="auto"/>
            <w:tcMar>
              <w:top w:w="15" w:type="dxa"/>
              <w:left w:w="15" w:type="dxa"/>
              <w:right w:w="15" w:type="dxa"/>
            </w:tcMar>
            <w:vAlign w:val="center"/>
          </w:tcPr>
          <w:p w14:paraId="7338E6EC">
            <w:pPr>
              <w:keepNext w:val="0"/>
              <w:keepLines w:val="0"/>
              <w:pageBreakBefore w:val="0"/>
              <w:widowControl w:val="0"/>
              <w:kinsoku/>
              <w:wordWrap/>
              <w:overflowPunct w:val="0"/>
              <w:topLinePunct w:val="0"/>
              <w:autoSpaceDE/>
              <w:autoSpaceDN/>
              <w:bidi w:val="0"/>
              <w:adjustRightInd/>
              <w:snapToGrid/>
              <w:spacing w:line="220" w:lineRule="exact"/>
              <w:textAlignment w:val="center"/>
              <w:rPr>
                <w:del w:id="1655" w:author="LV" w:date="2026-07-14T16:30:58Z"/>
                <w:rFonts w:ascii="仿宋_GB2312" w:hAnsi="宋体" w:eastAsia="仿宋_GB2312" w:cs="仿宋_GB2312"/>
                <w:sz w:val="18"/>
                <w:szCs w:val="18"/>
              </w:rPr>
            </w:pPr>
          </w:p>
        </w:tc>
      </w:tr>
      <w:tr w14:paraId="3C127D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del w:id="1656" w:author="LV" w:date="2026-07-14T16:30:58Z"/>
        </w:trPr>
        <w:tc>
          <w:tcPr>
            <w:tcW w:w="418" w:type="dxa"/>
            <w:vMerge w:val="continue"/>
            <w:tcBorders>
              <w:tl2br w:val="nil"/>
              <w:tr2bl w:val="nil"/>
            </w:tcBorders>
            <w:shd w:val="clear" w:color="auto" w:fill="auto"/>
            <w:noWrap/>
            <w:tcMar>
              <w:top w:w="15" w:type="dxa"/>
              <w:left w:w="15" w:type="dxa"/>
              <w:right w:w="15" w:type="dxa"/>
            </w:tcMar>
            <w:vAlign w:val="center"/>
          </w:tcPr>
          <w:p w14:paraId="2C247C4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del w:id="1657" w:author="LV" w:date="2026-07-14T16:30:58Z"/>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C25E08A">
            <w:pPr>
              <w:keepNext w:val="0"/>
              <w:keepLines w:val="0"/>
              <w:pageBreakBefore w:val="0"/>
              <w:widowControl w:val="0"/>
              <w:kinsoku/>
              <w:wordWrap/>
              <w:overflowPunct w:val="0"/>
              <w:topLinePunct w:val="0"/>
              <w:autoSpaceDE/>
              <w:autoSpaceDN/>
              <w:bidi w:val="0"/>
              <w:adjustRightInd/>
              <w:snapToGrid/>
              <w:spacing w:line="280" w:lineRule="exact"/>
              <w:rPr>
                <w:del w:id="1658" w:author="LV" w:date="2026-07-14T16:30:58Z"/>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3C49E92">
            <w:pPr>
              <w:keepNext w:val="0"/>
              <w:keepLines w:val="0"/>
              <w:pageBreakBefore w:val="0"/>
              <w:widowControl w:val="0"/>
              <w:kinsoku/>
              <w:wordWrap/>
              <w:overflowPunct w:val="0"/>
              <w:topLinePunct w:val="0"/>
              <w:autoSpaceDE/>
              <w:autoSpaceDN/>
              <w:bidi w:val="0"/>
              <w:adjustRightInd/>
              <w:snapToGrid/>
              <w:spacing w:line="280" w:lineRule="exact"/>
              <w:rPr>
                <w:del w:id="1659" w:author="LV" w:date="2026-07-14T16:30:58Z"/>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060F5E9">
            <w:pPr>
              <w:keepNext w:val="0"/>
              <w:keepLines w:val="0"/>
              <w:pageBreakBefore w:val="0"/>
              <w:widowControl w:val="0"/>
              <w:kinsoku/>
              <w:wordWrap/>
              <w:overflowPunct w:val="0"/>
              <w:topLinePunct w:val="0"/>
              <w:autoSpaceDE/>
              <w:autoSpaceDN/>
              <w:bidi w:val="0"/>
              <w:adjustRightInd/>
              <w:snapToGrid/>
              <w:spacing w:line="280" w:lineRule="exact"/>
              <w:rPr>
                <w:del w:id="1660" w:author="LV" w:date="2026-07-14T16:30:58Z"/>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1850768">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del w:id="1661" w:author="LV" w:date="2026-07-14T16:30:58Z"/>
                <w:rFonts w:ascii="仿宋_GB2312" w:hAnsi="宋体" w:eastAsia="仿宋_GB2312" w:cs="仿宋_GB2312"/>
                <w:sz w:val="18"/>
                <w:szCs w:val="18"/>
              </w:rPr>
            </w:pPr>
          </w:p>
        </w:tc>
        <w:tc>
          <w:tcPr>
            <w:tcW w:w="1829" w:type="dxa"/>
            <w:tcBorders>
              <w:tl2br w:val="nil"/>
              <w:tr2bl w:val="nil"/>
            </w:tcBorders>
            <w:shd w:val="clear" w:color="auto" w:fill="auto"/>
            <w:tcMar>
              <w:top w:w="15" w:type="dxa"/>
              <w:left w:w="15" w:type="dxa"/>
              <w:right w:w="15" w:type="dxa"/>
            </w:tcMar>
            <w:vAlign w:val="center"/>
          </w:tcPr>
          <w:p w14:paraId="13A7629A">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del w:id="1662" w:author="LV" w:date="2026-07-14T16:30:58Z"/>
                <w:rFonts w:ascii="仿宋_GB2312" w:hAnsi="宋体" w:eastAsia="仿宋_GB2312" w:cs="仿宋_GB2312"/>
                <w:sz w:val="18"/>
                <w:szCs w:val="18"/>
              </w:rPr>
            </w:pPr>
          </w:p>
        </w:tc>
        <w:tc>
          <w:tcPr>
            <w:tcW w:w="2655" w:type="dxa"/>
            <w:tcBorders>
              <w:tl2br w:val="nil"/>
              <w:tr2bl w:val="nil"/>
            </w:tcBorders>
            <w:shd w:val="clear" w:color="auto" w:fill="auto"/>
            <w:tcMar>
              <w:top w:w="15" w:type="dxa"/>
              <w:left w:w="15" w:type="dxa"/>
              <w:right w:w="15" w:type="dxa"/>
            </w:tcMar>
            <w:vAlign w:val="center"/>
          </w:tcPr>
          <w:p w14:paraId="706E301E">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del w:id="1663" w:author="LV" w:date="2026-07-14T16:30:58Z"/>
                <w:rFonts w:ascii="仿宋_GB2312" w:hAnsi="宋体" w:eastAsia="仿宋_GB2312" w:cs="仿宋_GB2312"/>
                <w:sz w:val="18"/>
                <w:szCs w:val="18"/>
              </w:rPr>
            </w:pPr>
          </w:p>
        </w:tc>
      </w:tr>
      <w:tr w14:paraId="01B90E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1DA61E8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del w:id="1664" w:author="LV" w:date="2026-07-14T16:31:08Z">
              <w:r>
                <w:rPr>
                  <w:rFonts w:hint="default" w:ascii="仿宋_GB2312" w:hAnsi="宋体" w:eastAsia="仿宋_GB2312" w:cs="仿宋_GB2312"/>
                  <w:kern w:val="0"/>
                  <w:sz w:val="18"/>
                  <w:szCs w:val="18"/>
                  <w:lang w:val="en-US" w:bidi="ar"/>
                </w:rPr>
                <w:delText>58</w:delText>
              </w:r>
            </w:del>
            <w:ins w:id="1665" w:author="LV" w:date="2026-07-14T16:31:08Z">
              <w:r>
                <w:rPr>
                  <w:rFonts w:hint="eastAsia" w:ascii="仿宋_GB2312" w:hAnsi="宋体" w:eastAsia="仿宋_GB2312" w:cs="仿宋_GB2312"/>
                  <w:kern w:val="0"/>
                  <w:sz w:val="18"/>
                  <w:szCs w:val="18"/>
                  <w:lang w:val="en-US" w:eastAsia="zh-CN" w:bidi="ar"/>
                </w:rPr>
                <w:t>6</w:t>
              </w:r>
            </w:ins>
            <w:ins w:id="1666" w:author="LV" w:date="2026-07-14T16:31:09Z">
              <w:r>
                <w:rPr>
                  <w:rFonts w:hint="eastAsia" w:ascii="仿宋_GB2312" w:hAnsi="宋体" w:eastAsia="仿宋_GB2312" w:cs="仿宋_GB2312"/>
                  <w:kern w:val="0"/>
                  <w:sz w:val="18"/>
                  <w:szCs w:val="18"/>
                  <w:lang w:val="en-US" w:eastAsia="zh-CN" w:bidi="ar"/>
                </w:rPr>
                <w:t>9</w:t>
              </w:r>
            </w:ins>
          </w:p>
        </w:tc>
        <w:tc>
          <w:tcPr>
            <w:tcW w:w="1005" w:type="dxa"/>
            <w:vMerge w:val="restart"/>
            <w:tcBorders>
              <w:tl2br w:val="nil"/>
              <w:tr2bl w:val="nil"/>
            </w:tcBorders>
            <w:shd w:val="clear" w:color="auto" w:fill="auto"/>
            <w:tcMar>
              <w:top w:w="15" w:type="dxa"/>
              <w:left w:w="15" w:type="dxa"/>
              <w:right w:w="15" w:type="dxa"/>
            </w:tcMar>
            <w:vAlign w:val="center"/>
          </w:tcPr>
          <w:p w14:paraId="7208C12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煤矿未将事故隐患排查治理情况如实记录的</w:t>
            </w:r>
          </w:p>
        </w:tc>
        <w:tc>
          <w:tcPr>
            <w:tcW w:w="3667" w:type="dxa"/>
            <w:vMerge w:val="restart"/>
            <w:tcBorders>
              <w:tl2br w:val="nil"/>
              <w:tr2bl w:val="nil"/>
            </w:tcBorders>
            <w:shd w:val="clear" w:color="auto" w:fill="auto"/>
            <w:tcMar>
              <w:top w:w="15" w:type="dxa"/>
              <w:left w:w="15" w:type="dxa"/>
              <w:right w:w="15" w:type="dxa"/>
            </w:tcMar>
            <w:vAlign w:val="center"/>
          </w:tcPr>
          <w:p w14:paraId="25AC5C0C">
            <w:pPr>
              <w:keepNext w:val="0"/>
              <w:keepLines w:val="0"/>
              <w:pageBreakBefore w:val="0"/>
              <w:widowControl w:val="0"/>
              <w:kinsoku/>
              <w:wordWrap/>
              <w:overflowPunct w:val="0"/>
              <w:topLinePunct w:val="0"/>
              <w:autoSpaceDE/>
              <w:autoSpaceDN/>
              <w:bidi w:val="0"/>
              <w:adjustRightInd/>
              <w:snapToGrid/>
              <w:spacing w:line="250" w:lineRule="exact"/>
              <w:textAlignment w:val="center"/>
              <w:rPr>
                <w:ins w:id="1667" w:author="LV" w:date="2026-07-14T16:35:57Z"/>
                <w:rFonts w:hint="eastAsia" w:ascii="仿宋_GB2312" w:hAnsi="宋体" w:eastAsia="仿宋_GB2312" w:cs="仿宋_GB2312"/>
                <w:kern w:val="0"/>
                <w:sz w:val="18"/>
                <w:szCs w:val="18"/>
                <w:lang w:bidi="ar"/>
              </w:rPr>
            </w:pPr>
          </w:p>
          <w:p w14:paraId="3D81C963">
            <w:pPr>
              <w:keepNext w:val="0"/>
              <w:keepLines w:val="0"/>
              <w:pageBreakBefore w:val="0"/>
              <w:widowControl w:val="0"/>
              <w:kinsoku/>
              <w:wordWrap/>
              <w:overflowPunct w:val="0"/>
              <w:topLinePunct w:val="0"/>
              <w:autoSpaceDE/>
              <w:autoSpaceDN/>
              <w:bidi w:val="0"/>
              <w:adjustRightInd/>
              <w:snapToGrid/>
              <w:spacing w:line="250" w:lineRule="exact"/>
              <w:textAlignment w:val="center"/>
              <w:rPr>
                <w:ins w:id="1668" w:author="LV" w:date="2026-07-14T16:36:03Z"/>
                <w:rFonts w:hint="eastAsia" w:ascii="仿宋_GB2312" w:hAnsi="宋体" w:eastAsia="仿宋_GB2312" w:cs="仿宋_GB2312"/>
                <w:kern w:val="0"/>
                <w:sz w:val="18"/>
                <w:szCs w:val="18"/>
                <w:lang w:bidi="ar"/>
              </w:rPr>
            </w:pPr>
          </w:p>
          <w:p w14:paraId="17217BBD">
            <w:pPr>
              <w:keepNext w:val="0"/>
              <w:keepLines w:val="0"/>
              <w:pageBreakBefore w:val="0"/>
              <w:widowControl w:val="0"/>
              <w:kinsoku/>
              <w:wordWrap/>
              <w:overflowPunct w:val="0"/>
              <w:topLinePunct w:val="0"/>
              <w:autoSpaceDE/>
              <w:autoSpaceDN/>
              <w:bidi w:val="0"/>
              <w:adjustRightInd/>
              <w:snapToGrid/>
              <w:spacing w:line="25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《安全生产法》第四十一条第二款 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w:t>
            </w:r>
          </w:p>
          <w:p w14:paraId="47402A34">
            <w:pPr>
              <w:keepNext w:val="0"/>
              <w:keepLines w:val="0"/>
              <w:pageBreakBefore w:val="0"/>
              <w:widowControl w:val="0"/>
              <w:kinsoku/>
              <w:wordWrap/>
              <w:overflowPunct w:val="0"/>
              <w:topLinePunct w:val="0"/>
              <w:autoSpaceDE/>
              <w:autoSpaceDN/>
              <w:bidi w:val="0"/>
              <w:adjustRightInd/>
              <w:snapToGrid/>
              <w:spacing w:line="250" w:lineRule="exact"/>
              <w:textAlignment w:val="center"/>
              <w:rPr>
                <w:ins w:id="1669" w:author="LV" w:date="2026-07-14T16:36:00Z"/>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《煤矿安全生产条例》第三十五条第二款  煤矿企业应当建立健全事故隐患排查治理制度，采取技术、管理措施，及时发现并消除事故隐患。事故隐患排查治理情况应当如实记录，并定期向从业人员通报。重大事故隐患排查治理情况的书面报告经煤矿企业负责人签字后，每季度报县级以上地方人民政府负有煤矿安全生产监督管理职责的部门和所在地矿山安全监察机构。</w:t>
            </w:r>
          </w:p>
          <w:p w14:paraId="133D6BFA">
            <w:pPr>
              <w:keepNext w:val="0"/>
              <w:keepLines w:val="0"/>
              <w:pageBreakBefore w:val="0"/>
              <w:widowControl w:val="0"/>
              <w:kinsoku/>
              <w:wordWrap/>
              <w:overflowPunct w:val="0"/>
              <w:topLinePunct w:val="0"/>
              <w:autoSpaceDE/>
              <w:autoSpaceDN/>
              <w:bidi w:val="0"/>
              <w:adjustRightInd/>
              <w:snapToGrid/>
              <w:spacing w:line="250" w:lineRule="exact"/>
              <w:textAlignment w:val="center"/>
              <w:rPr>
                <w:rFonts w:hint="eastAsia" w:ascii="仿宋_GB2312" w:hAnsi="宋体" w:eastAsia="仿宋_GB2312" w:cs="仿宋_GB2312"/>
                <w:kern w:val="0"/>
                <w:sz w:val="18"/>
                <w:szCs w:val="18"/>
                <w:lang w:bidi="ar"/>
              </w:rPr>
            </w:pPr>
          </w:p>
        </w:tc>
        <w:tc>
          <w:tcPr>
            <w:tcW w:w="4082" w:type="dxa"/>
            <w:vMerge w:val="restart"/>
            <w:tcBorders>
              <w:tl2br w:val="nil"/>
              <w:tr2bl w:val="nil"/>
            </w:tcBorders>
            <w:shd w:val="clear" w:color="auto" w:fill="auto"/>
            <w:tcMar>
              <w:top w:w="15" w:type="dxa"/>
              <w:left w:w="15" w:type="dxa"/>
              <w:right w:w="15" w:type="dxa"/>
            </w:tcMar>
            <w:vAlign w:val="center"/>
          </w:tcPr>
          <w:p w14:paraId="0D5E289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《安全生产法》第九十七条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五）未将事故隐患排查治理情况如实记录或者未向从业人员通报的。</w:t>
            </w:r>
          </w:p>
        </w:tc>
        <w:tc>
          <w:tcPr>
            <w:tcW w:w="459" w:type="dxa"/>
            <w:tcBorders>
              <w:tl2br w:val="nil"/>
              <w:tr2bl w:val="nil"/>
            </w:tcBorders>
            <w:shd w:val="clear" w:color="auto" w:fill="auto"/>
            <w:noWrap/>
            <w:tcMar>
              <w:top w:w="15" w:type="dxa"/>
              <w:left w:w="15" w:type="dxa"/>
              <w:right w:w="15" w:type="dxa"/>
            </w:tcMar>
            <w:vAlign w:val="center"/>
          </w:tcPr>
          <w:p w14:paraId="26F8FF4C">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16E771BD">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6184CF7D">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5DD96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9DCE85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8D4ED4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8AC873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88D2FE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F109700">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70DF0E23">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552189E8">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99409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F9AA3E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B1F73B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63B393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114A8E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C3E53F4">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2549F4EC">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55B2C36">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26207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7CA9D0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A8A12A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790240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908A73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D77F781">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54A55585">
            <w:pPr>
              <w:keepNext w:val="0"/>
              <w:keepLines w:val="0"/>
              <w:pageBreakBefore w:val="0"/>
              <w:widowControl w:val="0"/>
              <w:kinsoku/>
              <w:wordWrap/>
              <w:overflowPunct w:val="0"/>
              <w:topLinePunct w:val="0"/>
              <w:autoSpaceDE/>
              <w:autoSpaceDN/>
              <w:bidi w:val="0"/>
              <w:adjustRightInd/>
              <w:snapToGrid/>
              <w:spacing w:line="220" w:lineRule="exact"/>
              <w:textAlignment w:val="center"/>
              <w:rPr>
                <w:ins w:id="1670" w:author="LV" w:date="2026-07-14T16:36:05Z"/>
                <w:rFonts w:hint="eastAsia" w:ascii="仿宋_GB2312" w:hAnsi="宋体" w:eastAsia="仿宋_GB2312" w:cs="仿宋_GB2312"/>
                <w:kern w:val="0"/>
                <w:sz w:val="18"/>
                <w:szCs w:val="18"/>
                <w:lang w:bidi="ar"/>
              </w:rPr>
            </w:pPr>
          </w:p>
          <w:p w14:paraId="416637AF">
            <w:pPr>
              <w:keepNext w:val="0"/>
              <w:keepLines w:val="0"/>
              <w:pageBreakBefore w:val="0"/>
              <w:widowControl w:val="0"/>
              <w:kinsoku/>
              <w:wordWrap/>
              <w:overflowPunct w:val="0"/>
              <w:topLinePunct w:val="0"/>
              <w:autoSpaceDE/>
              <w:autoSpaceDN/>
              <w:bidi w:val="0"/>
              <w:adjustRightInd/>
              <w:snapToGrid/>
              <w:spacing w:line="220" w:lineRule="exact"/>
              <w:textAlignment w:val="center"/>
              <w:rPr>
                <w:ins w:id="1671" w:author="LV" w:date="2026-07-14T16:36:08Z"/>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未如实记录1条一般事故隐患排查治理情况的。</w:t>
            </w:r>
          </w:p>
          <w:p w14:paraId="1399C7F2">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0"/>
                <w:sz w:val="18"/>
                <w:szCs w:val="18"/>
                <w:lang w:bidi="ar"/>
              </w:rPr>
            </w:pPr>
          </w:p>
        </w:tc>
        <w:tc>
          <w:tcPr>
            <w:tcW w:w="2655" w:type="dxa"/>
            <w:tcBorders>
              <w:tl2br w:val="nil"/>
              <w:tr2bl w:val="nil"/>
            </w:tcBorders>
            <w:shd w:val="clear" w:color="auto" w:fill="auto"/>
            <w:tcMar>
              <w:top w:w="15" w:type="dxa"/>
              <w:left w:w="15" w:type="dxa"/>
              <w:right w:w="15" w:type="dxa"/>
            </w:tcMar>
            <w:vAlign w:val="center"/>
          </w:tcPr>
          <w:p w14:paraId="1F8353C9">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处3万元以下的罚款。</w:t>
            </w:r>
          </w:p>
        </w:tc>
      </w:tr>
      <w:tr w14:paraId="0E06ED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F254E6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C9D237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723F73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339B91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E2D7DBD">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545EB78A">
            <w:pPr>
              <w:keepNext w:val="0"/>
              <w:keepLines w:val="0"/>
              <w:pageBreakBefore w:val="0"/>
              <w:widowControl w:val="0"/>
              <w:kinsoku/>
              <w:wordWrap/>
              <w:overflowPunct w:val="0"/>
              <w:topLinePunct w:val="0"/>
              <w:autoSpaceDE/>
              <w:autoSpaceDN/>
              <w:bidi w:val="0"/>
              <w:adjustRightInd/>
              <w:snapToGrid/>
              <w:spacing w:line="220" w:lineRule="exact"/>
              <w:textAlignment w:val="center"/>
              <w:rPr>
                <w:ins w:id="1672" w:author="LV" w:date="2026-07-14T16:36:06Z"/>
                <w:rFonts w:hint="eastAsia" w:ascii="仿宋_GB2312" w:hAnsi="宋体" w:eastAsia="仿宋_GB2312" w:cs="仿宋_GB2312"/>
                <w:kern w:val="0"/>
                <w:sz w:val="18"/>
                <w:szCs w:val="18"/>
                <w:lang w:bidi="ar"/>
              </w:rPr>
            </w:pPr>
          </w:p>
          <w:p w14:paraId="7270AFD1">
            <w:pPr>
              <w:keepNext w:val="0"/>
              <w:keepLines w:val="0"/>
              <w:pageBreakBefore w:val="0"/>
              <w:widowControl w:val="0"/>
              <w:kinsoku/>
              <w:wordWrap/>
              <w:overflowPunct w:val="0"/>
              <w:topLinePunct w:val="0"/>
              <w:autoSpaceDE/>
              <w:autoSpaceDN/>
              <w:bidi w:val="0"/>
              <w:adjustRightInd/>
              <w:snapToGrid/>
              <w:spacing w:line="220" w:lineRule="exact"/>
              <w:textAlignment w:val="center"/>
              <w:rPr>
                <w:ins w:id="1673" w:author="LV" w:date="2026-07-14T16:36:10Z"/>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未如实记录2条一般事故隐患排查治理情况的。</w:t>
            </w:r>
          </w:p>
          <w:p w14:paraId="5BF3CAAC">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0"/>
                <w:sz w:val="18"/>
                <w:szCs w:val="18"/>
                <w:lang w:bidi="ar"/>
              </w:rPr>
            </w:pPr>
          </w:p>
        </w:tc>
        <w:tc>
          <w:tcPr>
            <w:tcW w:w="2655" w:type="dxa"/>
            <w:tcBorders>
              <w:tl2br w:val="nil"/>
              <w:tr2bl w:val="nil"/>
            </w:tcBorders>
            <w:shd w:val="clear" w:color="auto" w:fill="auto"/>
            <w:tcMar>
              <w:top w:w="15" w:type="dxa"/>
              <w:left w:w="15" w:type="dxa"/>
              <w:right w:w="15" w:type="dxa"/>
            </w:tcMar>
            <w:vAlign w:val="center"/>
          </w:tcPr>
          <w:p w14:paraId="66354104">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处3万元以上7万元以下的罚款。</w:t>
            </w:r>
          </w:p>
        </w:tc>
      </w:tr>
      <w:tr w14:paraId="1970C3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8D7B81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9CFDDC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483029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84D330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154B9F3">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72F97057">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未如实记录3条以上一般事故隐患排查治理情况或者未如实记录1条重大事故隐患的。</w:t>
            </w:r>
          </w:p>
        </w:tc>
        <w:tc>
          <w:tcPr>
            <w:tcW w:w="2655" w:type="dxa"/>
            <w:tcBorders>
              <w:tl2br w:val="nil"/>
              <w:tr2bl w:val="nil"/>
            </w:tcBorders>
            <w:shd w:val="clear" w:color="auto" w:fill="auto"/>
            <w:tcMar>
              <w:top w:w="15" w:type="dxa"/>
              <w:left w:w="15" w:type="dxa"/>
              <w:right w:w="15" w:type="dxa"/>
            </w:tcMar>
            <w:vAlign w:val="center"/>
          </w:tcPr>
          <w:p w14:paraId="33487725">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处7万元以上10万元以下的罚款。</w:t>
            </w:r>
          </w:p>
        </w:tc>
      </w:tr>
      <w:tr w14:paraId="10F0A9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2BD35B0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del w:id="1674" w:author="LV" w:date="2026-07-14T16:31:14Z">
              <w:r>
                <w:rPr>
                  <w:rFonts w:hint="default" w:ascii="仿宋_GB2312" w:hAnsi="宋体" w:eastAsia="仿宋_GB2312" w:cs="仿宋_GB2312"/>
                  <w:kern w:val="0"/>
                  <w:sz w:val="18"/>
                  <w:szCs w:val="18"/>
                  <w:lang w:val="en-US" w:bidi="ar"/>
                </w:rPr>
                <w:delText>59</w:delText>
              </w:r>
            </w:del>
            <w:ins w:id="1675" w:author="LV" w:date="2026-07-14T16:31:14Z">
              <w:r>
                <w:rPr>
                  <w:rFonts w:hint="eastAsia" w:ascii="仿宋_GB2312" w:hAnsi="宋体" w:eastAsia="仿宋_GB2312" w:cs="仿宋_GB2312"/>
                  <w:kern w:val="0"/>
                  <w:sz w:val="18"/>
                  <w:szCs w:val="18"/>
                  <w:lang w:val="en-US" w:eastAsia="zh-CN" w:bidi="ar"/>
                </w:rPr>
                <w:t>7</w:t>
              </w:r>
            </w:ins>
            <w:ins w:id="1676" w:author="LV" w:date="2026-07-14T16:31:15Z">
              <w:r>
                <w:rPr>
                  <w:rFonts w:hint="eastAsia" w:ascii="仿宋_GB2312" w:hAnsi="宋体" w:eastAsia="仿宋_GB2312" w:cs="仿宋_GB2312"/>
                  <w:kern w:val="0"/>
                  <w:sz w:val="18"/>
                  <w:szCs w:val="18"/>
                  <w:lang w:val="en-US" w:eastAsia="zh-CN" w:bidi="ar"/>
                </w:rPr>
                <w:t>0</w:t>
              </w:r>
            </w:ins>
          </w:p>
        </w:tc>
        <w:tc>
          <w:tcPr>
            <w:tcW w:w="1005" w:type="dxa"/>
            <w:vMerge w:val="restart"/>
            <w:tcBorders>
              <w:tl2br w:val="nil"/>
              <w:tr2bl w:val="nil"/>
            </w:tcBorders>
            <w:shd w:val="clear" w:color="auto" w:fill="auto"/>
            <w:tcMar>
              <w:top w:w="15" w:type="dxa"/>
              <w:left w:w="15" w:type="dxa"/>
              <w:right w:w="15" w:type="dxa"/>
            </w:tcMar>
            <w:vAlign w:val="center"/>
          </w:tcPr>
          <w:p w14:paraId="1AD0A36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煤矿未将事故隐患排查治理情况如实记录，逾期未改正的</w:t>
            </w:r>
          </w:p>
        </w:tc>
        <w:tc>
          <w:tcPr>
            <w:tcW w:w="3667" w:type="dxa"/>
            <w:vMerge w:val="restart"/>
            <w:tcBorders>
              <w:tl2br w:val="nil"/>
              <w:tr2bl w:val="nil"/>
            </w:tcBorders>
            <w:shd w:val="clear" w:color="auto" w:fill="auto"/>
            <w:tcMar>
              <w:top w:w="15" w:type="dxa"/>
              <w:left w:w="15" w:type="dxa"/>
              <w:right w:w="15" w:type="dxa"/>
            </w:tcMar>
            <w:vAlign w:val="center"/>
          </w:tcPr>
          <w:p w14:paraId="06311C1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《安全生产法》第九十七条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五）未将事故隐患排查治理情况如实记录或者未向从业人员通报的。</w:t>
            </w:r>
          </w:p>
          <w:p w14:paraId="0DC2058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煤矿安全生产条例》第三十五条第二款  煤矿企业应当建立健全事故隐患排查治理制度，采取技术、管理措施，及时发现并消除事故隐患。事故隐患排查治理情况应当如实记录，并定期向从业人员通报。重大事故隐患排查治理情况的书面报告经煤矿企业负责人签字后，每季度报县级以上地方人民政府负有煤矿安全生产监督管理职责的部门和所在地矿山安全监察机构。</w:t>
            </w:r>
          </w:p>
        </w:tc>
        <w:tc>
          <w:tcPr>
            <w:tcW w:w="4082" w:type="dxa"/>
            <w:vMerge w:val="restart"/>
            <w:tcBorders>
              <w:tl2br w:val="nil"/>
              <w:tr2bl w:val="nil"/>
            </w:tcBorders>
            <w:shd w:val="clear" w:color="auto" w:fill="auto"/>
            <w:tcMar>
              <w:top w:w="15" w:type="dxa"/>
              <w:left w:w="15" w:type="dxa"/>
              <w:right w:w="15" w:type="dxa"/>
            </w:tcMar>
            <w:vAlign w:val="center"/>
          </w:tcPr>
          <w:p w14:paraId="2042653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《安全生产法》第九十七条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五）未将事故隐患排查治理情况如实记录或者未向从业人员通报的。</w:t>
            </w:r>
          </w:p>
        </w:tc>
        <w:tc>
          <w:tcPr>
            <w:tcW w:w="459" w:type="dxa"/>
            <w:tcBorders>
              <w:tl2br w:val="nil"/>
              <w:tr2bl w:val="nil"/>
            </w:tcBorders>
            <w:shd w:val="clear" w:color="auto" w:fill="auto"/>
            <w:noWrap/>
            <w:tcMar>
              <w:top w:w="15" w:type="dxa"/>
              <w:left w:w="15" w:type="dxa"/>
              <w:right w:w="15" w:type="dxa"/>
            </w:tcMar>
            <w:vAlign w:val="center"/>
          </w:tcPr>
          <w:p w14:paraId="63B2C88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043A584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0402B8A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29789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B5A533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86E711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1C7037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B1BFE8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5FB8C7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2CAAE0B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4E9D4EA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A1BD1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1DC467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D5A867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2B884C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DF5C8D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DD04F0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449EE22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146F52C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57B2E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1B4A42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345BF6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7EFAF3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652EA2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CC75E1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468B80C6">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1677" w:author="LV" w:date="2026-07-14T16:36:40Z"/>
                <w:rFonts w:hint="eastAsia" w:ascii="仿宋_GB2312" w:hAnsi="宋体" w:eastAsia="仿宋_GB2312" w:cs="仿宋_GB2312"/>
                <w:sz w:val="18"/>
                <w:szCs w:val="18"/>
              </w:rPr>
            </w:pPr>
          </w:p>
          <w:p w14:paraId="2AEBB829">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1678" w:author="LV" w:date="2026-07-14T16:37:21Z"/>
                <w:rFonts w:hint="eastAsia" w:ascii="仿宋_GB2312" w:hAnsi="宋体" w:eastAsia="仿宋_GB2312" w:cs="仿宋_GB2312"/>
                <w:sz w:val="18"/>
                <w:szCs w:val="18"/>
              </w:rPr>
            </w:pPr>
          </w:p>
          <w:p w14:paraId="35D49B40">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1679" w:author="LV" w:date="2026-07-14T16:36:42Z"/>
                <w:rFonts w:hint="eastAsia" w:ascii="仿宋_GB2312" w:hAnsi="宋体" w:eastAsia="仿宋_GB2312" w:cs="仿宋_GB2312"/>
                <w:sz w:val="18"/>
                <w:szCs w:val="18"/>
              </w:rPr>
            </w:pPr>
            <w:r>
              <w:rPr>
                <w:rFonts w:hint="eastAsia" w:ascii="仿宋_GB2312" w:hAnsi="宋体" w:eastAsia="仿宋_GB2312" w:cs="仿宋_GB2312"/>
                <w:sz w:val="18"/>
                <w:szCs w:val="18"/>
              </w:rPr>
              <w:t>逾期未改正未如实记录1条一般事故隐患排查治理情况或者超过责令改正期限10日以下的。</w:t>
            </w:r>
          </w:p>
          <w:p w14:paraId="106319C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rPr>
            </w:pPr>
          </w:p>
        </w:tc>
        <w:tc>
          <w:tcPr>
            <w:tcW w:w="2655" w:type="dxa"/>
            <w:tcBorders>
              <w:tl2br w:val="nil"/>
              <w:tr2bl w:val="nil"/>
            </w:tcBorders>
            <w:shd w:val="clear" w:color="auto" w:fill="auto"/>
            <w:tcMar>
              <w:top w:w="15" w:type="dxa"/>
              <w:left w:w="15" w:type="dxa"/>
              <w:right w:w="15" w:type="dxa"/>
            </w:tcMar>
            <w:vAlign w:val="center"/>
          </w:tcPr>
          <w:p w14:paraId="079458A7">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1680" w:author="LV" w:date="2026-07-14T16:37:24Z"/>
                <w:rFonts w:hint="eastAsia" w:ascii="仿宋_GB2312" w:hAnsi="宋体" w:eastAsia="仿宋_GB2312" w:cs="仿宋_GB2312"/>
                <w:kern w:val="0"/>
                <w:sz w:val="18"/>
                <w:szCs w:val="18"/>
                <w:lang w:bidi="ar"/>
              </w:rPr>
            </w:pPr>
          </w:p>
          <w:p w14:paraId="3E12840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责令停产停业整顿，对煤矿处10万元以上13万元以下的罚款，对直接负责的主管人员和其他直接责任人员处2万元以上3万元以下的罚款。</w:t>
            </w:r>
          </w:p>
        </w:tc>
      </w:tr>
      <w:tr w14:paraId="5AD14C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A36FAA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AB942D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C73EA2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05C36A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888D6D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2C971950">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1681" w:author="LV" w:date="2026-07-14T16:36:39Z"/>
                <w:rFonts w:hint="eastAsia" w:ascii="仿宋_GB2312" w:hAnsi="宋体" w:eastAsia="仿宋_GB2312" w:cs="仿宋_GB2312"/>
                <w:sz w:val="18"/>
                <w:szCs w:val="18"/>
              </w:rPr>
            </w:pPr>
          </w:p>
          <w:p w14:paraId="4F512C76">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1682" w:author="LV" w:date="2026-07-14T16:37:25Z"/>
                <w:rFonts w:hint="eastAsia" w:ascii="仿宋_GB2312" w:hAnsi="宋体" w:eastAsia="仿宋_GB2312" w:cs="仿宋_GB2312"/>
                <w:sz w:val="18"/>
                <w:szCs w:val="18"/>
              </w:rPr>
            </w:pPr>
          </w:p>
          <w:p w14:paraId="1653B682">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1683" w:author="LV" w:date="2026-07-14T16:36:44Z"/>
                <w:rFonts w:hint="eastAsia" w:ascii="仿宋_GB2312" w:hAnsi="宋体" w:eastAsia="仿宋_GB2312" w:cs="仿宋_GB2312"/>
                <w:sz w:val="18"/>
                <w:szCs w:val="18"/>
              </w:rPr>
            </w:pPr>
            <w:r>
              <w:rPr>
                <w:rFonts w:hint="eastAsia" w:ascii="仿宋_GB2312" w:hAnsi="宋体" w:eastAsia="仿宋_GB2312" w:cs="仿宋_GB2312"/>
                <w:sz w:val="18"/>
                <w:szCs w:val="18"/>
              </w:rPr>
              <w:t>逾期未改正未如实记录2条一般事故隐患排查治理情况或者超过责令改正期限10日以上20日以下的。</w:t>
            </w:r>
          </w:p>
          <w:p w14:paraId="2BA1E182">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1684" w:author="LV" w:date="2026-07-14T16:37:45Z"/>
                <w:rFonts w:hint="eastAsia" w:ascii="仿宋_GB2312" w:hAnsi="宋体" w:eastAsia="仿宋_GB2312" w:cs="仿宋_GB2312"/>
                <w:sz w:val="18"/>
                <w:szCs w:val="18"/>
              </w:rPr>
            </w:pPr>
          </w:p>
          <w:p w14:paraId="23B7F10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rPr>
            </w:pPr>
          </w:p>
        </w:tc>
        <w:tc>
          <w:tcPr>
            <w:tcW w:w="2655" w:type="dxa"/>
            <w:tcBorders>
              <w:tl2br w:val="nil"/>
              <w:tr2bl w:val="nil"/>
            </w:tcBorders>
            <w:shd w:val="clear" w:color="auto" w:fill="auto"/>
            <w:tcMar>
              <w:top w:w="15" w:type="dxa"/>
              <w:left w:w="15" w:type="dxa"/>
              <w:right w:w="15" w:type="dxa"/>
            </w:tcMar>
            <w:vAlign w:val="center"/>
          </w:tcPr>
          <w:p w14:paraId="0797550B">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1685" w:author="LV" w:date="2026-07-14T16:37:27Z"/>
                <w:rFonts w:hint="eastAsia" w:ascii="仿宋_GB2312" w:hAnsi="宋体" w:eastAsia="仿宋_GB2312" w:cs="仿宋_GB2312"/>
                <w:kern w:val="0"/>
                <w:sz w:val="18"/>
                <w:szCs w:val="18"/>
                <w:lang w:bidi="ar"/>
              </w:rPr>
            </w:pPr>
          </w:p>
          <w:p w14:paraId="4567674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责令停产停业整顿，对煤矿处13万元以上17万元以下的罚款，对直接负责的主管人员和其他直接责任人员处3万元以上4万元以下的罚款。</w:t>
            </w:r>
          </w:p>
        </w:tc>
      </w:tr>
      <w:tr w14:paraId="0A33A1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034C63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BE7DB3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AE19FE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9A8394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E79CAD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34CEC678">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1686" w:author="LV" w:date="2026-07-14T16:36:38Z"/>
                <w:rFonts w:hint="eastAsia" w:ascii="仿宋_GB2312" w:hAnsi="宋体" w:eastAsia="仿宋_GB2312" w:cs="仿宋_GB2312"/>
                <w:sz w:val="18"/>
                <w:szCs w:val="18"/>
              </w:rPr>
            </w:pPr>
          </w:p>
          <w:p w14:paraId="19F81778">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1687" w:author="LV" w:date="2026-07-14T16:37:30Z"/>
                <w:rFonts w:hint="eastAsia" w:ascii="仿宋_GB2312" w:hAnsi="宋体" w:eastAsia="仿宋_GB2312" w:cs="仿宋_GB2312"/>
                <w:sz w:val="18"/>
                <w:szCs w:val="18"/>
              </w:rPr>
            </w:pPr>
          </w:p>
          <w:p w14:paraId="66EEF203">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1688" w:author="LV" w:date="2026-07-14T16:36:47Z"/>
                <w:rFonts w:hint="eastAsia" w:ascii="仿宋_GB2312" w:hAnsi="宋体" w:eastAsia="仿宋_GB2312" w:cs="仿宋_GB2312"/>
                <w:sz w:val="18"/>
                <w:szCs w:val="18"/>
              </w:rPr>
            </w:pPr>
            <w:r>
              <w:rPr>
                <w:rFonts w:hint="eastAsia" w:ascii="仿宋_GB2312" w:hAnsi="宋体" w:eastAsia="仿宋_GB2312" w:cs="仿宋_GB2312"/>
                <w:sz w:val="18"/>
                <w:szCs w:val="18"/>
              </w:rPr>
              <w:t>逾期未改正未如实记录3条以上一般事故隐患排查治理情况，或者未如实记录重大事故隐患的，或者超过责令改正期限20日以上的。</w:t>
            </w:r>
          </w:p>
          <w:p w14:paraId="2D31E58D">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1689" w:author="LV" w:date="2026-07-14T16:37:41Z"/>
                <w:rFonts w:hint="eastAsia" w:ascii="仿宋_GB2312" w:hAnsi="宋体" w:eastAsia="仿宋_GB2312" w:cs="仿宋_GB2312"/>
                <w:sz w:val="18"/>
                <w:szCs w:val="18"/>
              </w:rPr>
            </w:pPr>
          </w:p>
          <w:p w14:paraId="2723CDA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rPr>
            </w:pPr>
          </w:p>
        </w:tc>
        <w:tc>
          <w:tcPr>
            <w:tcW w:w="2655" w:type="dxa"/>
            <w:tcBorders>
              <w:tl2br w:val="nil"/>
              <w:tr2bl w:val="nil"/>
            </w:tcBorders>
            <w:shd w:val="clear" w:color="auto" w:fill="auto"/>
            <w:tcMar>
              <w:top w:w="15" w:type="dxa"/>
              <w:left w:w="15" w:type="dxa"/>
              <w:right w:w="15" w:type="dxa"/>
            </w:tcMar>
            <w:vAlign w:val="center"/>
          </w:tcPr>
          <w:p w14:paraId="3950C30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责令停产停业整顿，对煤矿处17万元以上20万元以下的罚款，对直接负责的主管人员和其他直接责任人员处4万元以上5万元以下的罚款。</w:t>
            </w:r>
          </w:p>
        </w:tc>
      </w:tr>
      <w:tr w14:paraId="28FC2A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0CC5FCE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del w:id="1690" w:author="LV" w:date="2026-07-14T16:34:26Z">
              <w:r>
                <w:rPr>
                  <w:rFonts w:hint="default" w:ascii="仿宋_GB2312" w:hAnsi="宋体" w:eastAsia="仿宋_GB2312" w:cs="仿宋_GB2312"/>
                  <w:kern w:val="0"/>
                  <w:sz w:val="18"/>
                  <w:szCs w:val="18"/>
                  <w:lang w:val="en-US" w:bidi="ar"/>
                </w:rPr>
                <w:delText>60</w:delText>
              </w:r>
            </w:del>
            <w:ins w:id="1691" w:author="LV" w:date="2026-07-14T16:34:26Z">
              <w:r>
                <w:rPr>
                  <w:rFonts w:hint="eastAsia" w:ascii="仿宋_GB2312" w:hAnsi="宋体" w:eastAsia="仿宋_GB2312" w:cs="仿宋_GB2312"/>
                  <w:kern w:val="0"/>
                  <w:sz w:val="18"/>
                  <w:szCs w:val="18"/>
                  <w:lang w:val="en-US" w:eastAsia="zh-CN" w:bidi="ar"/>
                </w:rPr>
                <w:t>71</w:t>
              </w:r>
            </w:ins>
          </w:p>
        </w:tc>
        <w:tc>
          <w:tcPr>
            <w:tcW w:w="1005" w:type="dxa"/>
            <w:vMerge w:val="restart"/>
            <w:tcBorders>
              <w:tl2br w:val="nil"/>
              <w:tr2bl w:val="nil"/>
            </w:tcBorders>
            <w:shd w:val="clear" w:color="auto" w:fill="auto"/>
            <w:tcMar>
              <w:top w:w="15" w:type="dxa"/>
              <w:left w:w="15" w:type="dxa"/>
              <w:right w:w="15" w:type="dxa"/>
            </w:tcMar>
            <w:vAlign w:val="center"/>
          </w:tcPr>
          <w:p w14:paraId="46D75D1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煤矿未将事故隐患排查治理情况向从业人员通报的</w:t>
            </w:r>
          </w:p>
        </w:tc>
        <w:tc>
          <w:tcPr>
            <w:tcW w:w="3667" w:type="dxa"/>
            <w:vMerge w:val="restart"/>
            <w:tcBorders>
              <w:tl2br w:val="nil"/>
              <w:tr2bl w:val="nil"/>
            </w:tcBorders>
            <w:shd w:val="clear" w:color="auto" w:fill="auto"/>
            <w:tcMar>
              <w:top w:w="15" w:type="dxa"/>
              <w:left w:w="15" w:type="dxa"/>
              <w:right w:w="15" w:type="dxa"/>
            </w:tcMar>
            <w:vAlign w:val="center"/>
          </w:tcPr>
          <w:p w14:paraId="5CFDFC7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《安全生产法》第四十一条第二款 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w:t>
            </w:r>
          </w:p>
          <w:p w14:paraId="0DEA949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《煤矿安全生产条例》第三十五条第二款  煤矿企业应当建立健全事故隐患排查治理制度，采取技术、管理措施，及时发现并消除事故隐患。事故隐患排查治理情况应当如实记录，并定期向从业人员通报。重大事故隐患排查治理情况的书面报告经煤矿企业负责人签字后，每季度报县级以上地方人民政府负有煤矿安全生产监督管理职责的部门和所在地矿山安全监察机构。</w:t>
            </w:r>
          </w:p>
        </w:tc>
        <w:tc>
          <w:tcPr>
            <w:tcW w:w="4082" w:type="dxa"/>
            <w:vMerge w:val="restart"/>
            <w:tcBorders>
              <w:tl2br w:val="nil"/>
              <w:tr2bl w:val="nil"/>
            </w:tcBorders>
            <w:shd w:val="clear" w:color="auto" w:fill="auto"/>
            <w:tcMar>
              <w:top w:w="15" w:type="dxa"/>
              <w:left w:w="15" w:type="dxa"/>
              <w:right w:w="15" w:type="dxa"/>
            </w:tcMar>
            <w:vAlign w:val="center"/>
          </w:tcPr>
          <w:p w14:paraId="4F0A479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《安全生产法》第九十七条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五）未将事故隐患排查治理情况如实记录或者未向从业人员通报的。</w:t>
            </w:r>
          </w:p>
        </w:tc>
        <w:tc>
          <w:tcPr>
            <w:tcW w:w="459" w:type="dxa"/>
            <w:tcBorders>
              <w:tl2br w:val="nil"/>
              <w:tr2bl w:val="nil"/>
            </w:tcBorders>
            <w:shd w:val="clear" w:color="auto" w:fill="auto"/>
            <w:noWrap/>
            <w:tcMar>
              <w:top w:w="15" w:type="dxa"/>
              <w:left w:w="15" w:type="dxa"/>
              <w:right w:w="15" w:type="dxa"/>
            </w:tcMar>
            <w:vAlign w:val="center"/>
          </w:tcPr>
          <w:p w14:paraId="7341775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732F463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7D7570D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ABE76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D7331F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26DBF5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D132D4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928820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CB1D3F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0078C4D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2F862B0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FB22C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A13F2A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61C477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DB64EB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58AADD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3363EB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6BB5DAB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725DEED">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94B70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8BC1F2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BD615F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2AFA6D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C398FE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706855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510998C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未向从业人员通报1条一般事故隐患排查治理情况的。</w:t>
            </w:r>
          </w:p>
        </w:tc>
        <w:tc>
          <w:tcPr>
            <w:tcW w:w="2655" w:type="dxa"/>
            <w:tcBorders>
              <w:tl2br w:val="nil"/>
              <w:tr2bl w:val="nil"/>
            </w:tcBorders>
            <w:shd w:val="clear" w:color="auto" w:fill="auto"/>
            <w:tcMar>
              <w:top w:w="15" w:type="dxa"/>
              <w:left w:w="15" w:type="dxa"/>
              <w:right w:w="15" w:type="dxa"/>
            </w:tcMar>
            <w:vAlign w:val="center"/>
          </w:tcPr>
          <w:p w14:paraId="1D22543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处3万元以下的罚款。</w:t>
            </w:r>
          </w:p>
        </w:tc>
      </w:tr>
      <w:tr w14:paraId="65D495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E61775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C30F61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818881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55B009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400EE3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46D9BB5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未向从业人员通报2条一般事故隐患排查治理情况的。</w:t>
            </w:r>
          </w:p>
        </w:tc>
        <w:tc>
          <w:tcPr>
            <w:tcW w:w="2655" w:type="dxa"/>
            <w:tcBorders>
              <w:tl2br w:val="nil"/>
              <w:tr2bl w:val="nil"/>
            </w:tcBorders>
            <w:shd w:val="clear" w:color="auto" w:fill="auto"/>
            <w:tcMar>
              <w:top w:w="15" w:type="dxa"/>
              <w:left w:w="15" w:type="dxa"/>
              <w:right w:w="15" w:type="dxa"/>
            </w:tcMar>
            <w:vAlign w:val="center"/>
          </w:tcPr>
          <w:p w14:paraId="7B08187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处3万元以上7万元以下的罚款。</w:t>
            </w:r>
          </w:p>
        </w:tc>
      </w:tr>
      <w:tr w14:paraId="3ADE98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3D661D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595CD2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34FA63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16160C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47B817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1A9BBAD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未向从业人员通报3条以上一般事故隐患排查治理情况或者未向从业人员通报重大事故隐患的。</w:t>
            </w:r>
          </w:p>
        </w:tc>
        <w:tc>
          <w:tcPr>
            <w:tcW w:w="2655" w:type="dxa"/>
            <w:tcBorders>
              <w:tl2br w:val="nil"/>
              <w:tr2bl w:val="nil"/>
            </w:tcBorders>
            <w:shd w:val="clear" w:color="auto" w:fill="auto"/>
            <w:tcMar>
              <w:top w:w="15" w:type="dxa"/>
              <w:left w:w="15" w:type="dxa"/>
              <w:right w:w="15" w:type="dxa"/>
            </w:tcMar>
            <w:vAlign w:val="center"/>
          </w:tcPr>
          <w:p w14:paraId="7880056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处7万元以上10万元以下的罚款。</w:t>
            </w:r>
          </w:p>
        </w:tc>
      </w:tr>
      <w:tr w14:paraId="201446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200D51D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del w:id="1692" w:author="LV" w:date="2026-07-14T16:34:48Z">
              <w:r>
                <w:rPr>
                  <w:rFonts w:hint="default" w:ascii="仿宋_GB2312" w:hAnsi="宋体" w:eastAsia="仿宋_GB2312" w:cs="仿宋_GB2312"/>
                  <w:kern w:val="0"/>
                  <w:sz w:val="18"/>
                  <w:szCs w:val="18"/>
                  <w:lang w:val="en-US" w:bidi="ar"/>
                </w:rPr>
                <w:delText>61</w:delText>
              </w:r>
            </w:del>
            <w:ins w:id="1693" w:author="LV" w:date="2026-07-14T16:34:48Z">
              <w:r>
                <w:rPr>
                  <w:rFonts w:hint="eastAsia" w:ascii="仿宋_GB2312" w:hAnsi="宋体" w:eastAsia="仿宋_GB2312" w:cs="仿宋_GB2312"/>
                  <w:kern w:val="0"/>
                  <w:sz w:val="18"/>
                  <w:szCs w:val="18"/>
                  <w:lang w:val="en-US" w:eastAsia="zh-CN" w:bidi="ar"/>
                </w:rPr>
                <w:t>7</w:t>
              </w:r>
            </w:ins>
            <w:ins w:id="1694" w:author="LV" w:date="2026-07-14T16:34:49Z">
              <w:r>
                <w:rPr>
                  <w:rFonts w:hint="eastAsia" w:ascii="仿宋_GB2312" w:hAnsi="宋体" w:eastAsia="仿宋_GB2312" w:cs="仿宋_GB2312"/>
                  <w:kern w:val="0"/>
                  <w:sz w:val="18"/>
                  <w:szCs w:val="18"/>
                  <w:lang w:val="en-US" w:eastAsia="zh-CN" w:bidi="ar"/>
                </w:rPr>
                <w:t>2</w:t>
              </w:r>
            </w:ins>
          </w:p>
        </w:tc>
        <w:tc>
          <w:tcPr>
            <w:tcW w:w="1005" w:type="dxa"/>
            <w:vMerge w:val="restart"/>
            <w:tcBorders>
              <w:tl2br w:val="nil"/>
              <w:tr2bl w:val="nil"/>
            </w:tcBorders>
            <w:shd w:val="clear" w:color="auto" w:fill="auto"/>
            <w:tcMar>
              <w:top w:w="15" w:type="dxa"/>
              <w:left w:w="15" w:type="dxa"/>
              <w:right w:w="15" w:type="dxa"/>
            </w:tcMar>
            <w:vAlign w:val="center"/>
          </w:tcPr>
          <w:p w14:paraId="561201E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煤矿未将事故隐患排查治理情况向从业人员通报，逾期未改正的</w:t>
            </w:r>
          </w:p>
        </w:tc>
        <w:tc>
          <w:tcPr>
            <w:tcW w:w="3667" w:type="dxa"/>
            <w:vMerge w:val="restart"/>
            <w:tcBorders>
              <w:tl2br w:val="nil"/>
              <w:tr2bl w:val="nil"/>
            </w:tcBorders>
            <w:shd w:val="clear" w:color="auto" w:fill="auto"/>
            <w:tcMar>
              <w:top w:w="15" w:type="dxa"/>
              <w:left w:w="15" w:type="dxa"/>
              <w:right w:w="15" w:type="dxa"/>
            </w:tcMar>
            <w:vAlign w:val="center"/>
          </w:tcPr>
          <w:p w14:paraId="40980E1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《安全生产法》第九十七条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五）未将事故隐患排查治理情况如实记录或者未向从业人员通报的。</w:t>
            </w:r>
          </w:p>
          <w:p w14:paraId="10BE5F7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《煤矿安全生产条例》第三十五条第二款  煤矿企业应当建立健全事故隐患排查治理制度，采取技术、管理措施，及时发现并消除事故隐患。事故隐患排查治理情况应当如实记录，并定期向从业人员通报。重大事故隐患排查治理情况的书面报告经煤矿企业负责人签字后，每季度报县级以上地方人民政府负有煤矿安全生产监督管理职责的部门和所在地矿山安全监察机构。</w:t>
            </w:r>
          </w:p>
        </w:tc>
        <w:tc>
          <w:tcPr>
            <w:tcW w:w="4082" w:type="dxa"/>
            <w:vMerge w:val="restart"/>
            <w:tcBorders>
              <w:tl2br w:val="nil"/>
              <w:tr2bl w:val="nil"/>
            </w:tcBorders>
            <w:shd w:val="clear" w:color="auto" w:fill="auto"/>
            <w:tcMar>
              <w:top w:w="15" w:type="dxa"/>
              <w:left w:w="15" w:type="dxa"/>
              <w:right w:w="15" w:type="dxa"/>
            </w:tcMar>
            <w:vAlign w:val="center"/>
          </w:tcPr>
          <w:p w14:paraId="0AC2311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《安全生产法》第九十七条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五）未将事故隐患排查治理情况如实记录或者未向从业人员通报的。</w:t>
            </w:r>
          </w:p>
        </w:tc>
        <w:tc>
          <w:tcPr>
            <w:tcW w:w="459" w:type="dxa"/>
            <w:tcBorders>
              <w:tl2br w:val="nil"/>
              <w:tr2bl w:val="nil"/>
            </w:tcBorders>
            <w:shd w:val="clear" w:color="auto" w:fill="auto"/>
            <w:noWrap/>
            <w:tcMar>
              <w:top w:w="15" w:type="dxa"/>
              <w:left w:w="15" w:type="dxa"/>
              <w:right w:w="15" w:type="dxa"/>
            </w:tcMar>
            <w:vAlign w:val="center"/>
          </w:tcPr>
          <w:p w14:paraId="3F423F6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23AA3D4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5D168E0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14572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1825A9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8D118E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6CCE8A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C848B6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EA42FC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2E644B2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7DFA86A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E0520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0682F0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48D153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9DFD47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F5CA52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AEBFDF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127D0C4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4523C9F">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26D2F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38513D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C07091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7994F7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D8D66F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EF2EC9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6510FB5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逾期未改正未向从业人员通报1条一般事故隐患排查治理情况，或者超过责令改正期限10日以下的。</w:t>
            </w:r>
          </w:p>
        </w:tc>
        <w:tc>
          <w:tcPr>
            <w:tcW w:w="2655" w:type="dxa"/>
            <w:tcBorders>
              <w:tl2br w:val="nil"/>
              <w:tr2bl w:val="nil"/>
            </w:tcBorders>
            <w:shd w:val="clear" w:color="auto" w:fill="auto"/>
            <w:tcMar>
              <w:top w:w="15" w:type="dxa"/>
              <w:left w:w="15" w:type="dxa"/>
              <w:right w:w="15" w:type="dxa"/>
            </w:tcMar>
            <w:vAlign w:val="center"/>
          </w:tcPr>
          <w:p w14:paraId="01769D8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责令停产停业整顿，对煤矿处10万元以上13万元以下的罚款，对直接负责的主管人员和其他直接责任人员处2万元以上3万元以下的罚款。</w:t>
            </w:r>
          </w:p>
        </w:tc>
      </w:tr>
      <w:tr w14:paraId="56D295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43CB36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E2B792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EF10C3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FF326B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3D9DCE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04B706E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逾期未改正未向从业人员通报2条一般事故隐患排查治理情况，或者超过责令改正期限10日以上20日以下的。</w:t>
            </w:r>
          </w:p>
        </w:tc>
        <w:tc>
          <w:tcPr>
            <w:tcW w:w="2655" w:type="dxa"/>
            <w:tcBorders>
              <w:tl2br w:val="nil"/>
              <w:tr2bl w:val="nil"/>
            </w:tcBorders>
            <w:shd w:val="clear" w:color="auto" w:fill="auto"/>
            <w:tcMar>
              <w:top w:w="15" w:type="dxa"/>
              <w:left w:w="15" w:type="dxa"/>
              <w:right w:w="15" w:type="dxa"/>
            </w:tcMar>
            <w:vAlign w:val="center"/>
          </w:tcPr>
          <w:p w14:paraId="0DA99D1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责令停产停业整顿，对煤矿处13万元以上17万元以下的罚款，对直接负责的主管人员和其他直接责任人员处3万元以上4万元以下的罚款。</w:t>
            </w:r>
          </w:p>
        </w:tc>
      </w:tr>
      <w:tr w14:paraId="09BCCD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7AED47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3FCE72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68D9A1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A8052E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D432BB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718FB32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逾期未改正未向从业人员通报3条以上一般事故隐患排查治理情况，或者未向从业人员通报重大事故隐患，或者超过责令改正期限20日以上的。</w:t>
            </w:r>
          </w:p>
        </w:tc>
        <w:tc>
          <w:tcPr>
            <w:tcW w:w="2655" w:type="dxa"/>
            <w:tcBorders>
              <w:tl2br w:val="nil"/>
              <w:tr2bl w:val="nil"/>
            </w:tcBorders>
            <w:shd w:val="clear" w:color="auto" w:fill="auto"/>
            <w:tcMar>
              <w:top w:w="15" w:type="dxa"/>
              <w:left w:w="15" w:type="dxa"/>
              <w:right w:w="15" w:type="dxa"/>
            </w:tcMar>
            <w:vAlign w:val="center"/>
          </w:tcPr>
          <w:p w14:paraId="1F1735A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责令停产停业整顿，对煤矿处17万元以上20万元以下的罚款，对直接负责的主管人员和其他直接责任人员处4万元以上5万元以下的罚款。</w:t>
            </w:r>
          </w:p>
        </w:tc>
      </w:tr>
      <w:tr w14:paraId="616F58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2"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454E168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del w:id="1695" w:author="LV" w:date="2026-07-14T16:38:05Z">
              <w:r>
                <w:rPr>
                  <w:rFonts w:hint="default" w:ascii="仿宋_GB2312" w:hAnsi="宋体" w:eastAsia="仿宋_GB2312" w:cs="仿宋_GB2312"/>
                  <w:kern w:val="0"/>
                  <w:sz w:val="18"/>
                  <w:szCs w:val="18"/>
                  <w:lang w:val="en-US" w:bidi="ar"/>
                </w:rPr>
                <w:delText>62</w:delText>
              </w:r>
            </w:del>
            <w:ins w:id="1696" w:author="LV" w:date="2026-07-14T16:38:05Z">
              <w:r>
                <w:rPr>
                  <w:rFonts w:hint="eastAsia" w:ascii="仿宋_GB2312" w:hAnsi="宋体" w:eastAsia="仿宋_GB2312" w:cs="仿宋_GB2312"/>
                  <w:kern w:val="0"/>
                  <w:sz w:val="18"/>
                  <w:szCs w:val="18"/>
                  <w:lang w:val="en-US" w:eastAsia="zh-CN" w:bidi="ar"/>
                </w:rPr>
                <w:t>73</w:t>
              </w:r>
            </w:ins>
          </w:p>
        </w:tc>
        <w:tc>
          <w:tcPr>
            <w:tcW w:w="1005" w:type="dxa"/>
            <w:vMerge w:val="restart"/>
            <w:tcBorders>
              <w:tl2br w:val="nil"/>
              <w:tr2bl w:val="nil"/>
            </w:tcBorders>
            <w:shd w:val="clear" w:color="auto" w:fill="auto"/>
            <w:tcMar>
              <w:top w:w="15" w:type="dxa"/>
              <w:left w:w="15" w:type="dxa"/>
              <w:right w:w="15" w:type="dxa"/>
            </w:tcMar>
            <w:vAlign w:val="center"/>
          </w:tcPr>
          <w:p w14:paraId="457469A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煤矿未按规定上报事故隐患排查治理统计分析表的</w:t>
            </w:r>
          </w:p>
        </w:tc>
        <w:tc>
          <w:tcPr>
            <w:tcW w:w="3667" w:type="dxa"/>
            <w:vMerge w:val="restart"/>
            <w:tcBorders>
              <w:tl2br w:val="nil"/>
              <w:tr2bl w:val="nil"/>
            </w:tcBorders>
            <w:shd w:val="clear" w:color="auto" w:fill="auto"/>
            <w:tcMar>
              <w:top w:w="15" w:type="dxa"/>
              <w:left w:w="15" w:type="dxa"/>
              <w:right w:w="15" w:type="dxa"/>
            </w:tcMar>
            <w:vAlign w:val="center"/>
          </w:tcPr>
          <w:p w14:paraId="4A99C24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《安全生产事故隐患排查治理暂行规定》第十四条 生产经营单位应当每季、每年对本单位事故隐患排查治理情况进行统计分析，并分别于下一季度15日前和下一年1月31日前向安全监管监察部门和有关部门报送书面统计分析表。统计分析表应当由生产经营单位主要负责人签字。</w:t>
            </w:r>
          </w:p>
          <w:p w14:paraId="3130A8E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spacing w:val="-5"/>
                <w:kern w:val="0"/>
                <w:sz w:val="18"/>
                <w:szCs w:val="18"/>
                <w:lang w:bidi="ar"/>
              </w:rPr>
              <w:t>《煤矿安全生产条例》第三十五条第二款  煤矿企业应当建立健全事故隐患排查治理制度，采取技术、管理措施，及时发现并消除事故隐患。事故隐患排查治理情况应当如实记录，并定期向从业人员通报。重大事故隐患排查治理情况的书面报告经煤矿企业负责人签字后，每季度报县级以上地方人民政府负有煤矿安全生产监督管理职责的部门和所在地矿山安全监察机构。</w:t>
            </w:r>
          </w:p>
        </w:tc>
        <w:tc>
          <w:tcPr>
            <w:tcW w:w="4082" w:type="dxa"/>
            <w:vMerge w:val="restart"/>
            <w:tcBorders>
              <w:tl2br w:val="nil"/>
              <w:tr2bl w:val="nil"/>
            </w:tcBorders>
            <w:shd w:val="clear" w:color="auto" w:fill="auto"/>
            <w:tcMar>
              <w:top w:w="15" w:type="dxa"/>
              <w:left w:w="15" w:type="dxa"/>
              <w:right w:w="15" w:type="dxa"/>
            </w:tcMar>
            <w:vAlign w:val="center"/>
          </w:tcPr>
          <w:p w14:paraId="46ED482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《安全生产事故隐患排查治理暂行规定》第二十六条 生产经营单位违反本规定，有下列行为之一的，由安全监管监察部门给予警告，并处三万元以下的罚款：（二）未按规定上报事故隐患排查治理统计分析表的。</w:t>
            </w:r>
          </w:p>
        </w:tc>
        <w:tc>
          <w:tcPr>
            <w:tcW w:w="459" w:type="dxa"/>
            <w:tcBorders>
              <w:tl2br w:val="nil"/>
              <w:tr2bl w:val="nil"/>
            </w:tcBorders>
            <w:shd w:val="clear" w:color="auto" w:fill="auto"/>
            <w:noWrap/>
            <w:tcMar>
              <w:top w:w="15" w:type="dxa"/>
              <w:left w:w="15" w:type="dxa"/>
              <w:right w:w="15" w:type="dxa"/>
            </w:tcMar>
            <w:vAlign w:val="center"/>
          </w:tcPr>
          <w:p w14:paraId="0DF3916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6AA004C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6D7AFD7E">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8B1C1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2"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73DE26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C4B8EC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3CF696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D6AACF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FE37AE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7467BAC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5429A4AF">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C9484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2"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75BA0E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F4C429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2A9361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9D3B69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869F26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1D1AD01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9A53113">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0B8C3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2"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30DBE0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2033D3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C7F941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8CF1C5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A13AF1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1F9E695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迟报3天以内的。</w:t>
            </w:r>
          </w:p>
        </w:tc>
        <w:tc>
          <w:tcPr>
            <w:tcW w:w="2655" w:type="dxa"/>
            <w:tcBorders>
              <w:tl2br w:val="nil"/>
              <w:tr2bl w:val="nil"/>
            </w:tcBorders>
            <w:shd w:val="clear" w:color="auto" w:fill="auto"/>
            <w:tcMar>
              <w:top w:w="15" w:type="dxa"/>
              <w:left w:w="15" w:type="dxa"/>
              <w:right w:w="15" w:type="dxa"/>
            </w:tcMar>
            <w:vAlign w:val="center"/>
          </w:tcPr>
          <w:p w14:paraId="7976CA6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给予警告，并处1万元以下的罚款。</w:t>
            </w:r>
          </w:p>
        </w:tc>
      </w:tr>
      <w:tr w14:paraId="76E0FC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2"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CFD697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9386F9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0C1709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A54344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26727F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07FD8EF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迟报3天以上的。</w:t>
            </w:r>
          </w:p>
        </w:tc>
        <w:tc>
          <w:tcPr>
            <w:tcW w:w="2655" w:type="dxa"/>
            <w:tcBorders>
              <w:tl2br w:val="nil"/>
              <w:tr2bl w:val="nil"/>
            </w:tcBorders>
            <w:shd w:val="clear" w:color="auto" w:fill="auto"/>
            <w:tcMar>
              <w:top w:w="15" w:type="dxa"/>
              <w:left w:w="15" w:type="dxa"/>
              <w:right w:w="15" w:type="dxa"/>
            </w:tcMar>
            <w:vAlign w:val="center"/>
          </w:tcPr>
          <w:p w14:paraId="6745B6C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给予警告，并处1万以上2万元以下的罚款。</w:t>
            </w:r>
          </w:p>
        </w:tc>
      </w:tr>
      <w:tr w14:paraId="66EA3F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2"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0CAC0D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252AB3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5BEBFC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938FCC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138392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56D83A2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存在漏报情况的。</w:t>
            </w:r>
          </w:p>
        </w:tc>
        <w:tc>
          <w:tcPr>
            <w:tcW w:w="2655" w:type="dxa"/>
            <w:tcBorders>
              <w:tl2br w:val="nil"/>
              <w:tr2bl w:val="nil"/>
            </w:tcBorders>
            <w:shd w:val="clear" w:color="auto" w:fill="auto"/>
            <w:tcMar>
              <w:top w:w="15" w:type="dxa"/>
              <w:left w:w="15" w:type="dxa"/>
              <w:right w:w="15" w:type="dxa"/>
            </w:tcMar>
            <w:vAlign w:val="center"/>
          </w:tcPr>
          <w:p w14:paraId="244ECFB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给予警告，并处2万以上3万元以下的罚款。</w:t>
            </w:r>
          </w:p>
        </w:tc>
      </w:tr>
      <w:tr w14:paraId="3DE774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2"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12E775A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del w:id="1697" w:author="LV" w:date="2026-07-14T16:38:08Z">
              <w:r>
                <w:rPr>
                  <w:rFonts w:hint="default" w:ascii="仿宋_GB2312" w:hAnsi="宋体" w:eastAsia="仿宋_GB2312" w:cs="仿宋_GB2312"/>
                  <w:kern w:val="0"/>
                  <w:sz w:val="18"/>
                  <w:szCs w:val="18"/>
                  <w:lang w:val="en-US" w:bidi="ar"/>
                </w:rPr>
                <w:delText>63</w:delText>
              </w:r>
            </w:del>
            <w:ins w:id="1698" w:author="LV" w:date="2026-07-14T16:38:08Z">
              <w:r>
                <w:rPr>
                  <w:rFonts w:hint="eastAsia" w:ascii="仿宋_GB2312" w:hAnsi="宋体" w:eastAsia="仿宋_GB2312" w:cs="仿宋_GB2312"/>
                  <w:kern w:val="0"/>
                  <w:sz w:val="18"/>
                  <w:szCs w:val="18"/>
                  <w:lang w:val="en-US" w:eastAsia="zh-CN" w:bidi="ar"/>
                </w:rPr>
                <w:t>74</w:t>
              </w:r>
            </w:ins>
          </w:p>
        </w:tc>
        <w:tc>
          <w:tcPr>
            <w:tcW w:w="1005" w:type="dxa"/>
            <w:vMerge w:val="restart"/>
            <w:tcBorders>
              <w:tl2br w:val="nil"/>
              <w:tr2bl w:val="nil"/>
            </w:tcBorders>
            <w:shd w:val="clear" w:color="auto" w:fill="auto"/>
            <w:tcMar>
              <w:top w:w="15" w:type="dxa"/>
              <w:left w:w="15" w:type="dxa"/>
              <w:right w:w="15" w:type="dxa"/>
            </w:tcMar>
            <w:vAlign w:val="center"/>
          </w:tcPr>
          <w:p w14:paraId="4F74E51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煤矿未制定事故隐患治理方案的</w:t>
            </w:r>
          </w:p>
        </w:tc>
        <w:tc>
          <w:tcPr>
            <w:tcW w:w="3667" w:type="dxa"/>
            <w:vMerge w:val="restart"/>
            <w:tcBorders>
              <w:tl2br w:val="nil"/>
              <w:tr2bl w:val="nil"/>
            </w:tcBorders>
            <w:shd w:val="clear" w:color="auto" w:fill="auto"/>
            <w:tcMar>
              <w:top w:w="15" w:type="dxa"/>
              <w:left w:w="15" w:type="dxa"/>
              <w:right w:w="15" w:type="dxa"/>
            </w:tcMar>
            <w:vAlign w:val="center"/>
          </w:tcPr>
          <w:p w14:paraId="0C61448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《安全生产事故隐患排查治理暂行规定》第十五条第二款</w:t>
            </w:r>
            <w:r>
              <w:rPr>
                <w:rFonts w:ascii="仿宋_GB2312" w:hAnsi="宋体" w:eastAsia="仿宋_GB2312" w:cs="仿宋_GB2312"/>
                <w:kern w:val="0"/>
                <w:sz w:val="18"/>
                <w:szCs w:val="18"/>
                <w:lang w:bidi="ar"/>
              </w:rPr>
              <w:t xml:space="preserve"> </w:t>
            </w:r>
            <w:r>
              <w:rPr>
                <w:rFonts w:hint="eastAsia" w:ascii="仿宋_GB2312" w:hAnsi="宋体" w:eastAsia="仿宋_GB2312" w:cs="仿宋_GB2312"/>
                <w:kern w:val="0"/>
                <w:sz w:val="18"/>
                <w:szCs w:val="18"/>
                <w:lang w:bidi="ar"/>
              </w:rPr>
              <w:t>对于重大事故隐患，由生产经营单位主要负责人组织制定并实施事故隐患治理方案。重大事故隐患治理方案应当包括以下内容：（一）治理的目标和任务；（二）采取的方法和措施；（三）经费和物资的落实；（四）负责治理的机构和人员；（五）治理的时限和要求；（六）安全措施和应急预案。</w:t>
            </w:r>
          </w:p>
        </w:tc>
        <w:tc>
          <w:tcPr>
            <w:tcW w:w="4082" w:type="dxa"/>
            <w:vMerge w:val="restart"/>
            <w:tcBorders>
              <w:tl2br w:val="nil"/>
              <w:tr2bl w:val="nil"/>
            </w:tcBorders>
            <w:shd w:val="clear" w:color="auto" w:fill="auto"/>
            <w:tcMar>
              <w:top w:w="15" w:type="dxa"/>
              <w:left w:w="15" w:type="dxa"/>
              <w:right w:w="15" w:type="dxa"/>
            </w:tcMar>
            <w:vAlign w:val="center"/>
          </w:tcPr>
          <w:p w14:paraId="12D73B4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《安全生产事故隐患排查治理暂行规定》第二十六条 生产经营单位违反本规定，有下列行为之一的，由安全监管监察部门给予警告，并处三万元以下的罚款：（三）未制定事故隐患治理方案的。</w:t>
            </w:r>
          </w:p>
        </w:tc>
        <w:tc>
          <w:tcPr>
            <w:tcW w:w="459" w:type="dxa"/>
            <w:tcBorders>
              <w:tl2br w:val="nil"/>
              <w:tr2bl w:val="nil"/>
            </w:tcBorders>
            <w:shd w:val="clear" w:color="auto" w:fill="auto"/>
            <w:noWrap/>
            <w:tcMar>
              <w:top w:w="15" w:type="dxa"/>
              <w:left w:w="15" w:type="dxa"/>
              <w:right w:w="15" w:type="dxa"/>
            </w:tcMar>
            <w:vAlign w:val="center"/>
          </w:tcPr>
          <w:p w14:paraId="44335EB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03D22A0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2FCDD10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34B31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2"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2BF6B8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5A6364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A1063A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060004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B923C7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757A2CD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6C2916B6">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FE8F7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2"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FE9287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A9C1D6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1B4FD6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8D26A0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D5C7D3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2EF112C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7CADEB3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C6E4A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2"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9139EA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DF8008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00E781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A2CCD6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0DD404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35F1E7D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事故隐患治理方案缺项1项的。</w:t>
            </w:r>
          </w:p>
        </w:tc>
        <w:tc>
          <w:tcPr>
            <w:tcW w:w="2655" w:type="dxa"/>
            <w:tcBorders>
              <w:tl2br w:val="nil"/>
              <w:tr2bl w:val="nil"/>
            </w:tcBorders>
            <w:shd w:val="clear" w:color="auto" w:fill="auto"/>
            <w:tcMar>
              <w:top w:w="15" w:type="dxa"/>
              <w:left w:w="15" w:type="dxa"/>
              <w:right w:w="15" w:type="dxa"/>
            </w:tcMar>
            <w:vAlign w:val="center"/>
          </w:tcPr>
          <w:p w14:paraId="13E3CE4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给予警告，并处1万元以下的罚款。</w:t>
            </w:r>
          </w:p>
        </w:tc>
      </w:tr>
      <w:tr w14:paraId="3A8C89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2"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5DEEF3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BFAB22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485CC8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B224E6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315AEA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4613895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事故隐患治理方案缺项2项的。</w:t>
            </w:r>
          </w:p>
        </w:tc>
        <w:tc>
          <w:tcPr>
            <w:tcW w:w="2655" w:type="dxa"/>
            <w:tcBorders>
              <w:tl2br w:val="nil"/>
              <w:tr2bl w:val="nil"/>
            </w:tcBorders>
            <w:shd w:val="clear" w:color="auto" w:fill="auto"/>
            <w:tcMar>
              <w:top w:w="15" w:type="dxa"/>
              <w:left w:w="15" w:type="dxa"/>
              <w:right w:w="15" w:type="dxa"/>
            </w:tcMar>
            <w:vAlign w:val="center"/>
          </w:tcPr>
          <w:p w14:paraId="38DE6D1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给予警告，并处1万以上2万元以下的罚款。</w:t>
            </w:r>
          </w:p>
        </w:tc>
      </w:tr>
      <w:tr w14:paraId="285CC5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2"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ECFD8B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0D6542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3AF158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8EA77D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8986C2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25D5657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事故隐患治理方案缺项超过3项及以上。</w:t>
            </w:r>
          </w:p>
        </w:tc>
        <w:tc>
          <w:tcPr>
            <w:tcW w:w="2655" w:type="dxa"/>
            <w:tcBorders>
              <w:tl2br w:val="nil"/>
              <w:tr2bl w:val="nil"/>
            </w:tcBorders>
            <w:shd w:val="clear" w:color="auto" w:fill="auto"/>
            <w:tcMar>
              <w:top w:w="15" w:type="dxa"/>
              <w:left w:w="15" w:type="dxa"/>
              <w:right w:w="15" w:type="dxa"/>
            </w:tcMar>
            <w:vAlign w:val="center"/>
          </w:tcPr>
          <w:p w14:paraId="7103E49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给予警告，并处2万以上3万元以下的罚款。</w:t>
            </w:r>
          </w:p>
        </w:tc>
      </w:tr>
      <w:tr w14:paraId="76DE7B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7C20DBD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del w:id="1699" w:author="LV" w:date="2026-07-14T16:38:17Z">
              <w:r>
                <w:rPr>
                  <w:rFonts w:hint="default" w:ascii="仿宋_GB2312" w:hAnsi="宋体" w:eastAsia="仿宋_GB2312" w:cs="仿宋_GB2312"/>
                  <w:kern w:val="0"/>
                  <w:sz w:val="18"/>
                  <w:szCs w:val="18"/>
                  <w:lang w:val="en-US" w:bidi="ar"/>
                </w:rPr>
                <w:delText>64</w:delText>
              </w:r>
            </w:del>
            <w:ins w:id="1700" w:author="LV" w:date="2026-07-14T16:38:17Z">
              <w:r>
                <w:rPr>
                  <w:rFonts w:hint="eastAsia" w:ascii="仿宋_GB2312" w:hAnsi="宋体" w:eastAsia="仿宋_GB2312" w:cs="仿宋_GB2312"/>
                  <w:kern w:val="0"/>
                  <w:sz w:val="18"/>
                  <w:szCs w:val="18"/>
                  <w:lang w:val="en-US" w:eastAsia="zh-CN" w:bidi="ar"/>
                </w:rPr>
                <w:t>75</w:t>
              </w:r>
            </w:ins>
          </w:p>
        </w:tc>
        <w:tc>
          <w:tcPr>
            <w:tcW w:w="1005" w:type="dxa"/>
            <w:vMerge w:val="restart"/>
            <w:tcBorders>
              <w:tl2br w:val="nil"/>
              <w:tr2bl w:val="nil"/>
            </w:tcBorders>
            <w:shd w:val="clear" w:color="auto" w:fill="auto"/>
            <w:tcMar>
              <w:top w:w="15" w:type="dxa"/>
              <w:left w:w="15" w:type="dxa"/>
              <w:right w:w="15" w:type="dxa"/>
            </w:tcMar>
            <w:vAlign w:val="center"/>
          </w:tcPr>
          <w:p w14:paraId="694BF79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煤矿未对事故隐患进行排查治理擅自生产经营的</w:t>
            </w:r>
          </w:p>
        </w:tc>
        <w:tc>
          <w:tcPr>
            <w:tcW w:w="3667" w:type="dxa"/>
            <w:vMerge w:val="restart"/>
            <w:tcBorders>
              <w:tl2br w:val="nil"/>
              <w:tr2bl w:val="nil"/>
            </w:tcBorders>
            <w:shd w:val="clear" w:color="auto" w:fill="auto"/>
            <w:tcMar>
              <w:top w:w="15" w:type="dxa"/>
              <w:left w:w="15" w:type="dxa"/>
              <w:right w:w="15" w:type="dxa"/>
            </w:tcMar>
            <w:vAlign w:val="center"/>
          </w:tcPr>
          <w:p w14:paraId="5E51B0F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《安全生产事故隐患排查治理暂行规定》第十五条 对于一般事故隐患，由生产经营单位（车间、分厂、区队等）负责人或者有关人员立即组织整改。对于重大事故隐患，由生产经营单位主要负责人组织制定并实施事故隐患治理方案。重大事故隐患治理方案应当包括以下内容：（一）治理的目标和任务；（二）采取的方法和措施；（三）经费和物资的落实；（四）负责治理的机构和人员；（五）治理的时限和要求；（六）安全措施和应急预案。</w:t>
            </w:r>
          </w:p>
          <w:p w14:paraId="2B4C9A2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《安全生产事故隐患排查治理暂行规定》第十六条 生产经营单位在事故隐患治理过程中，应当采取相应的安全防范措施，防止事故发生。事故隐患排除前或者排除过程中无法保证安全的，应当从危险区域内撤出作业人员，并疏散可能危及的其他人员，设置警戒标志，暂时停产停业或者停止使用；对暂时难以停产或者停止使用的相关生产储存装置、设施、设备，应当加强维护和保养，防止事故发生。</w:t>
            </w:r>
          </w:p>
        </w:tc>
        <w:tc>
          <w:tcPr>
            <w:tcW w:w="4082" w:type="dxa"/>
            <w:vMerge w:val="restart"/>
            <w:tcBorders>
              <w:tl2br w:val="nil"/>
              <w:tr2bl w:val="nil"/>
            </w:tcBorders>
            <w:shd w:val="clear" w:color="auto" w:fill="auto"/>
            <w:tcMar>
              <w:top w:w="15" w:type="dxa"/>
              <w:left w:w="15" w:type="dxa"/>
              <w:right w:w="15" w:type="dxa"/>
            </w:tcMar>
            <w:vAlign w:val="center"/>
          </w:tcPr>
          <w:p w14:paraId="636F15A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《安全生产事故隐患排查治理暂行规定》第二十六条 生产经营单位违反本规定，有下列行为之一的，由安全监管监察部门给予警告，并处三万元以下的罚款：（五）未对事故隐患进行排查治理擅自生产经营的。</w:t>
            </w:r>
          </w:p>
        </w:tc>
        <w:tc>
          <w:tcPr>
            <w:tcW w:w="459" w:type="dxa"/>
            <w:tcBorders>
              <w:tl2br w:val="nil"/>
              <w:tr2bl w:val="nil"/>
            </w:tcBorders>
            <w:shd w:val="clear" w:color="auto" w:fill="auto"/>
            <w:noWrap/>
            <w:tcMar>
              <w:top w:w="15" w:type="dxa"/>
              <w:left w:w="15" w:type="dxa"/>
              <w:right w:w="15" w:type="dxa"/>
            </w:tcMar>
            <w:vAlign w:val="center"/>
          </w:tcPr>
          <w:p w14:paraId="68CC689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1CBB4B2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6687E6A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4620C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DC0839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60AAFF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BCEA1F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F3E611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90DABE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7CB1CC3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676F84B4">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1010D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F1E39E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CFFF72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A52E2A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F84300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F6331B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7BA50FC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E219A3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C02A7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B543BD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BA8AA1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A608BD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1060B8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4F3A77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7E39914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未对1项事故隐患进行排查治理擅自生产经营的。</w:t>
            </w:r>
          </w:p>
        </w:tc>
        <w:tc>
          <w:tcPr>
            <w:tcW w:w="2655" w:type="dxa"/>
            <w:tcBorders>
              <w:tl2br w:val="nil"/>
              <w:tr2bl w:val="nil"/>
            </w:tcBorders>
            <w:shd w:val="clear" w:color="auto" w:fill="auto"/>
            <w:tcMar>
              <w:top w:w="15" w:type="dxa"/>
              <w:left w:w="15" w:type="dxa"/>
              <w:right w:w="15" w:type="dxa"/>
            </w:tcMar>
            <w:vAlign w:val="center"/>
          </w:tcPr>
          <w:p w14:paraId="6C20417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给予警告，并处1万元以下的罚款。</w:t>
            </w:r>
          </w:p>
        </w:tc>
      </w:tr>
      <w:tr w14:paraId="74DBF8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B3EC22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7B6586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413F66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4C9DA0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5F4BE2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4E37F58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未对2项事故隐患进行排查治理擅自生产经营的。</w:t>
            </w:r>
          </w:p>
        </w:tc>
        <w:tc>
          <w:tcPr>
            <w:tcW w:w="2655" w:type="dxa"/>
            <w:tcBorders>
              <w:tl2br w:val="nil"/>
              <w:tr2bl w:val="nil"/>
            </w:tcBorders>
            <w:shd w:val="clear" w:color="auto" w:fill="auto"/>
            <w:tcMar>
              <w:top w:w="15" w:type="dxa"/>
              <w:left w:w="15" w:type="dxa"/>
              <w:right w:w="15" w:type="dxa"/>
            </w:tcMar>
            <w:vAlign w:val="center"/>
          </w:tcPr>
          <w:p w14:paraId="08590C6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给予警告，并处1万以上2万元以下的罚款。</w:t>
            </w:r>
          </w:p>
        </w:tc>
      </w:tr>
      <w:tr w14:paraId="4493C8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6288E2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F22CAC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72B383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956BE3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2FD04A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4CC6969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未对3项及以上事故隐患进行排查治理擅自生产经营的。</w:t>
            </w:r>
          </w:p>
        </w:tc>
        <w:tc>
          <w:tcPr>
            <w:tcW w:w="2655" w:type="dxa"/>
            <w:tcBorders>
              <w:tl2br w:val="nil"/>
              <w:tr2bl w:val="nil"/>
            </w:tcBorders>
            <w:shd w:val="clear" w:color="auto" w:fill="auto"/>
            <w:tcMar>
              <w:top w:w="15" w:type="dxa"/>
              <w:left w:w="15" w:type="dxa"/>
              <w:right w:w="15" w:type="dxa"/>
            </w:tcMar>
            <w:vAlign w:val="center"/>
          </w:tcPr>
          <w:p w14:paraId="6DD316B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给予警告，并处2万以上3万元以下的罚款。</w:t>
            </w:r>
          </w:p>
        </w:tc>
      </w:tr>
      <w:tr w14:paraId="10288A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72123E7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del w:id="1701" w:author="LV" w:date="2026-07-14T16:38:22Z">
              <w:r>
                <w:rPr>
                  <w:rFonts w:hint="default" w:ascii="仿宋_GB2312" w:hAnsi="宋体" w:eastAsia="仿宋_GB2312" w:cs="仿宋_GB2312"/>
                  <w:kern w:val="0"/>
                  <w:sz w:val="18"/>
                  <w:szCs w:val="18"/>
                  <w:lang w:val="en-US" w:bidi="ar"/>
                </w:rPr>
                <w:delText>65</w:delText>
              </w:r>
            </w:del>
            <w:ins w:id="1702" w:author="LV" w:date="2026-07-14T16:38:22Z">
              <w:r>
                <w:rPr>
                  <w:rFonts w:hint="eastAsia" w:ascii="仿宋_GB2312" w:hAnsi="宋体" w:eastAsia="仿宋_GB2312" w:cs="仿宋_GB2312"/>
                  <w:kern w:val="0"/>
                  <w:sz w:val="18"/>
                  <w:szCs w:val="18"/>
                  <w:lang w:val="en-US" w:eastAsia="zh-CN" w:bidi="ar"/>
                </w:rPr>
                <w:t>7</w:t>
              </w:r>
            </w:ins>
            <w:ins w:id="1703" w:author="LV" w:date="2026-07-14T16:38:23Z">
              <w:r>
                <w:rPr>
                  <w:rFonts w:hint="eastAsia" w:ascii="仿宋_GB2312" w:hAnsi="宋体" w:eastAsia="仿宋_GB2312" w:cs="仿宋_GB2312"/>
                  <w:kern w:val="0"/>
                  <w:sz w:val="18"/>
                  <w:szCs w:val="18"/>
                  <w:lang w:val="en-US" w:eastAsia="zh-CN" w:bidi="ar"/>
                </w:rPr>
                <w:t>6</w:t>
              </w:r>
            </w:ins>
          </w:p>
        </w:tc>
        <w:tc>
          <w:tcPr>
            <w:tcW w:w="1005" w:type="dxa"/>
            <w:vMerge w:val="restart"/>
            <w:tcBorders>
              <w:tl2br w:val="nil"/>
              <w:tr2bl w:val="nil"/>
            </w:tcBorders>
            <w:shd w:val="clear" w:color="auto" w:fill="auto"/>
            <w:tcMar>
              <w:top w:w="15" w:type="dxa"/>
              <w:left w:w="15" w:type="dxa"/>
              <w:right w:w="15" w:type="dxa"/>
            </w:tcMar>
            <w:vAlign w:val="center"/>
          </w:tcPr>
          <w:p w14:paraId="3CF82B7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事故隐患整改不合格或者未经安全监管监察部门审查同意擅自恢复生产经营的</w:t>
            </w:r>
          </w:p>
        </w:tc>
        <w:tc>
          <w:tcPr>
            <w:tcW w:w="3667" w:type="dxa"/>
            <w:vMerge w:val="restart"/>
            <w:tcBorders>
              <w:tl2br w:val="nil"/>
              <w:tr2bl w:val="nil"/>
            </w:tcBorders>
            <w:shd w:val="clear" w:color="auto" w:fill="auto"/>
            <w:tcMar>
              <w:top w:w="15" w:type="dxa"/>
              <w:left w:w="15" w:type="dxa"/>
              <w:right w:w="15" w:type="dxa"/>
            </w:tcMar>
            <w:vAlign w:val="center"/>
          </w:tcPr>
          <w:p w14:paraId="1FC5AD4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《安全生产事故隐患排查治理暂行规定》第十八条 地方人民政府或者安全监管监察部门及有关部门挂牌督办并责令全部或者局部停产停业治理的重大事故隐患，治理工作结束后，有条件的生产经营单位应当组织本单位的技术人员和专家对重大事故隐患的治理情况进行评估；其他生产经营单位应当委托具备相应资质的安全评价机构对重大事故隐患的治理情况进行评估。经治理后符合安全生产条件的，生产经营单位应当向安全监管监察部门和有关部门提出恢复生产的书面申请，经安全监管监察部门和有关部门审查同意后，方可恢复生产经营。申请报告应当包括治理方案的内容、项目和安全评价机构出具的评价报告等。</w:t>
            </w:r>
          </w:p>
        </w:tc>
        <w:tc>
          <w:tcPr>
            <w:tcW w:w="4082" w:type="dxa"/>
            <w:vMerge w:val="restart"/>
            <w:tcBorders>
              <w:tl2br w:val="nil"/>
              <w:tr2bl w:val="nil"/>
            </w:tcBorders>
            <w:shd w:val="clear" w:color="auto" w:fill="auto"/>
            <w:tcMar>
              <w:top w:w="15" w:type="dxa"/>
              <w:left w:w="15" w:type="dxa"/>
              <w:right w:w="15" w:type="dxa"/>
            </w:tcMar>
            <w:vAlign w:val="center"/>
          </w:tcPr>
          <w:p w14:paraId="0723E41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《安全生产事故隐患排查治理暂行规定》第二十六条 生产经营单位违反本规定，有下列行为之一的，由安全监管监察部门给予警告，并处三万元以下的罚款：（六）整改不合格或者未经安全监管监察部门审查同意擅自恢复生产经营的。</w:t>
            </w:r>
          </w:p>
        </w:tc>
        <w:tc>
          <w:tcPr>
            <w:tcW w:w="459" w:type="dxa"/>
            <w:tcBorders>
              <w:tl2br w:val="nil"/>
              <w:tr2bl w:val="nil"/>
            </w:tcBorders>
            <w:shd w:val="clear" w:color="auto" w:fill="auto"/>
            <w:noWrap/>
            <w:tcMar>
              <w:top w:w="15" w:type="dxa"/>
              <w:left w:w="15" w:type="dxa"/>
              <w:right w:w="15" w:type="dxa"/>
            </w:tcMar>
            <w:vAlign w:val="center"/>
          </w:tcPr>
          <w:p w14:paraId="3D1D05A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2FDF510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536D697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DAF58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E0AE69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CBE532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FD8AA0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08A772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12B1F3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66B0E84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4607B31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C01EC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5E2CF3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1B6B08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E84470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77BEA3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393530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1949FA9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01950F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F05BB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F78F82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141225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4CD003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06397A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491C25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72EF906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1项整改不合格。</w:t>
            </w:r>
          </w:p>
        </w:tc>
        <w:tc>
          <w:tcPr>
            <w:tcW w:w="2655" w:type="dxa"/>
            <w:tcBorders>
              <w:tl2br w:val="nil"/>
              <w:tr2bl w:val="nil"/>
            </w:tcBorders>
            <w:shd w:val="clear" w:color="auto" w:fill="auto"/>
            <w:tcMar>
              <w:top w:w="15" w:type="dxa"/>
              <w:left w:w="15" w:type="dxa"/>
              <w:right w:w="15" w:type="dxa"/>
            </w:tcMar>
            <w:vAlign w:val="center"/>
          </w:tcPr>
          <w:p w14:paraId="7BAE604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给予警告，并处1万元以下的罚款。</w:t>
            </w:r>
          </w:p>
        </w:tc>
      </w:tr>
      <w:tr w14:paraId="7389A1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C8537F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C15320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5635F2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FE25A6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A47F6B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077D328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2项整改不合格。</w:t>
            </w:r>
          </w:p>
        </w:tc>
        <w:tc>
          <w:tcPr>
            <w:tcW w:w="2655" w:type="dxa"/>
            <w:tcBorders>
              <w:tl2br w:val="nil"/>
              <w:tr2bl w:val="nil"/>
            </w:tcBorders>
            <w:shd w:val="clear" w:color="auto" w:fill="auto"/>
            <w:tcMar>
              <w:top w:w="15" w:type="dxa"/>
              <w:left w:w="15" w:type="dxa"/>
              <w:right w:w="15" w:type="dxa"/>
            </w:tcMar>
            <w:vAlign w:val="center"/>
          </w:tcPr>
          <w:p w14:paraId="2F49977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给予警告，并处1万以上2万元以下的罚款。</w:t>
            </w:r>
          </w:p>
        </w:tc>
      </w:tr>
      <w:tr w14:paraId="5487A9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2E5F59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AB3AF7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5E5879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921CE4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8564FA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77CABFF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3项及以上整改不合格或者未经安全监管监察部门审查同意擅自恢复生产经营的。</w:t>
            </w:r>
          </w:p>
        </w:tc>
        <w:tc>
          <w:tcPr>
            <w:tcW w:w="2655" w:type="dxa"/>
            <w:tcBorders>
              <w:tl2br w:val="nil"/>
              <w:tr2bl w:val="nil"/>
            </w:tcBorders>
            <w:shd w:val="clear" w:color="auto" w:fill="auto"/>
            <w:tcMar>
              <w:top w:w="15" w:type="dxa"/>
              <w:left w:w="15" w:type="dxa"/>
              <w:right w:w="15" w:type="dxa"/>
            </w:tcMar>
            <w:vAlign w:val="center"/>
          </w:tcPr>
          <w:p w14:paraId="7CFA974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给予警告，并处2万以上3万元以下的罚款。</w:t>
            </w:r>
          </w:p>
        </w:tc>
      </w:tr>
      <w:tr w14:paraId="7B23F2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232AE0D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del w:id="1704" w:author="LV" w:date="2026-07-14T16:38:27Z">
              <w:r>
                <w:rPr>
                  <w:rFonts w:hint="default" w:ascii="仿宋_GB2312" w:hAnsi="宋体" w:eastAsia="仿宋_GB2312" w:cs="仿宋_GB2312"/>
                  <w:kern w:val="0"/>
                  <w:sz w:val="18"/>
                  <w:szCs w:val="18"/>
                  <w:lang w:val="en-US" w:bidi="ar"/>
                </w:rPr>
                <w:delText>66</w:delText>
              </w:r>
            </w:del>
            <w:ins w:id="1705" w:author="LV" w:date="2026-07-14T16:38:27Z">
              <w:r>
                <w:rPr>
                  <w:rFonts w:hint="eastAsia" w:ascii="仿宋_GB2312" w:hAnsi="宋体" w:eastAsia="仿宋_GB2312" w:cs="仿宋_GB2312"/>
                  <w:kern w:val="0"/>
                  <w:sz w:val="18"/>
                  <w:szCs w:val="18"/>
                  <w:lang w:val="en-US" w:eastAsia="zh-CN" w:bidi="ar"/>
                </w:rPr>
                <w:t>7</w:t>
              </w:r>
            </w:ins>
            <w:ins w:id="1706" w:author="LV" w:date="2026-07-14T16:38:28Z">
              <w:r>
                <w:rPr>
                  <w:rFonts w:hint="eastAsia" w:ascii="仿宋_GB2312" w:hAnsi="宋体" w:eastAsia="仿宋_GB2312" w:cs="仿宋_GB2312"/>
                  <w:kern w:val="0"/>
                  <w:sz w:val="18"/>
                  <w:szCs w:val="18"/>
                  <w:lang w:val="en-US" w:eastAsia="zh-CN" w:bidi="ar"/>
                </w:rPr>
                <w:t>7</w:t>
              </w:r>
            </w:ins>
          </w:p>
        </w:tc>
        <w:tc>
          <w:tcPr>
            <w:tcW w:w="1005" w:type="dxa"/>
            <w:vMerge w:val="restart"/>
            <w:tcBorders>
              <w:tl2br w:val="nil"/>
              <w:tr2bl w:val="nil"/>
            </w:tcBorders>
            <w:shd w:val="clear" w:color="auto" w:fill="auto"/>
            <w:tcMar>
              <w:top w:w="15" w:type="dxa"/>
              <w:left w:w="15" w:type="dxa"/>
              <w:right w:w="15" w:type="dxa"/>
            </w:tcMar>
            <w:vAlign w:val="center"/>
          </w:tcPr>
          <w:p w14:paraId="0A42224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煤矿未按照规定制定生产安全事故应急救援预案的</w:t>
            </w:r>
          </w:p>
        </w:tc>
        <w:tc>
          <w:tcPr>
            <w:tcW w:w="3667" w:type="dxa"/>
            <w:vMerge w:val="restart"/>
            <w:tcBorders>
              <w:tl2br w:val="nil"/>
              <w:tr2bl w:val="nil"/>
            </w:tcBorders>
            <w:shd w:val="clear" w:color="auto" w:fill="auto"/>
            <w:tcMar>
              <w:top w:w="15" w:type="dxa"/>
              <w:left w:w="15" w:type="dxa"/>
              <w:right w:w="15" w:type="dxa"/>
            </w:tcMar>
            <w:vAlign w:val="center"/>
          </w:tcPr>
          <w:p w14:paraId="43D4754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《安全生产法》第八十一条 生产经营单位应当制定本单位生产安全事故应急救援预案，与所在地县级以上地方人民政府组织制定的生产安全事故应急救援预案相衔接，并定期组织演练。</w:t>
            </w:r>
          </w:p>
          <w:p w14:paraId="77EB435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《煤矿安全生产条例》第二十九条  煤矿企业应当依法制定生产安全事故应急救援预案，与所在地县级以上地方人民政府组织制定的生产安全事故应急救援预案相衔接，并定期组织演练。</w:t>
            </w:r>
          </w:p>
        </w:tc>
        <w:tc>
          <w:tcPr>
            <w:tcW w:w="4082" w:type="dxa"/>
            <w:vMerge w:val="restart"/>
            <w:tcBorders>
              <w:tl2br w:val="nil"/>
              <w:tr2bl w:val="nil"/>
            </w:tcBorders>
            <w:shd w:val="clear" w:color="auto" w:fill="auto"/>
            <w:tcMar>
              <w:top w:w="15" w:type="dxa"/>
              <w:left w:w="15" w:type="dxa"/>
              <w:right w:w="15" w:type="dxa"/>
            </w:tcMar>
            <w:vAlign w:val="center"/>
          </w:tcPr>
          <w:p w14:paraId="6B452BC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《安全生产法》第九十七条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六）未按照规定制定生产安全事故应急救援预案或者未定期组织演练的。</w:t>
            </w:r>
          </w:p>
          <w:p w14:paraId="04B066D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《煤矿安全生产条例》第六十二条第七项  煤矿企业有下列行为之一的，依照《中华人民共和国安全生产法》有关规定予以处罚：（七）未按照规定制定生产安全事故应急救援预案或者未定期组织演练的。</w:t>
            </w:r>
          </w:p>
        </w:tc>
        <w:tc>
          <w:tcPr>
            <w:tcW w:w="459" w:type="dxa"/>
            <w:tcBorders>
              <w:tl2br w:val="nil"/>
              <w:tr2bl w:val="nil"/>
            </w:tcBorders>
            <w:shd w:val="clear" w:color="auto" w:fill="auto"/>
            <w:noWrap/>
            <w:tcMar>
              <w:top w:w="15" w:type="dxa"/>
              <w:left w:w="15" w:type="dxa"/>
              <w:right w:w="15" w:type="dxa"/>
            </w:tcMar>
            <w:vAlign w:val="center"/>
          </w:tcPr>
          <w:p w14:paraId="61A80EF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118623A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66F7731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4865B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B4BA2C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2A2D4D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FD479C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A9AFA6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F43358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19D155A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3CA8E6A6">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848A1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06A0AC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8D7C1E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9F3F12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18FA6F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9E78C5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72A1373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7DBC1FD">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E499F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AC1738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53DAB4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2C4866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413256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BDE020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4883531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缺少1项专项应急预案的。</w:t>
            </w:r>
          </w:p>
        </w:tc>
        <w:tc>
          <w:tcPr>
            <w:tcW w:w="2655" w:type="dxa"/>
            <w:tcBorders>
              <w:tl2br w:val="nil"/>
              <w:tr2bl w:val="nil"/>
            </w:tcBorders>
            <w:shd w:val="clear" w:color="auto" w:fill="auto"/>
            <w:tcMar>
              <w:top w:w="15" w:type="dxa"/>
              <w:left w:w="15" w:type="dxa"/>
              <w:right w:w="15" w:type="dxa"/>
            </w:tcMar>
            <w:vAlign w:val="center"/>
          </w:tcPr>
          <w:p w14:paraId="0AA2DE7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处3万元以下的罚款。</w:t>
            </w:r>
          </w:p>
        </w:tc>
      </w:tr>
      <w:tr w14:paraId="62E170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64B6B5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B81DB1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BC807F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1B69C4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B04C97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2C95411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缺少2项专项应急预案的。</w:t>
            </w:r>
          </w:p>
        </w:tc>
        <w:tc>
          <w:tcPr>
            <w:tcW w:w="2655" w:type="dxa"/>
            <w:tcBorders>
              <w:tl2br w:val="nil"/>
              <w:tr2bl w:val="nil"/>
            </w:tcBorders>
            <w:shd w:val="clear" w:color="auto" w:fill="auto"/>
            <w:tcMar>
              <w:top w:w="15" w:type="dxa"/>
              <w:left w:w="15" w:type="dxa"/>
              <w:right w:w="15" w:type="dxa"/>
            </w:tcMar>
            <w:vAlign w:val="center"/>
          </w:tcPr>
          <w:p w14:paraId="621B4D6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处3万元以上7万元以下的罚款。</w:t>
            </w:r>
          </w:p>
        </w:tc>
      </w:tr>
      <w:tr w14:paraId="762B7E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1D9055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8819CC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3FC512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588F6D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AC7602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454C189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未制定综合应急救援预案或者缺少3项专项应急预案的。</w:t>
            </w:r>
          </w:p>
        </w:tc>
        <w:tc>
          <w:tcPr>
            <w:tcW w:w="2655" w:type="dxa"/>
            <w:tcBorders>
              <w:tl2br w:val="nil"/>
              <w:tr2bl w:val="nil"/>
            </w:tcBorders>
            <w:shd w:val="clear" w:color="auto" w:fill="auto"/>
            <w:tcMar>
              <w:top w:w="15" w:type="dxa"/>
              <w:left w:w="15" w:type="dxa"/>
              <w:right w:w="15" w:type="dxa"/>
            </w:tcMar>
            <w:vAlign w:val="center"/>
          </w:tcPr>
          <w:p w14:paraId="3AA8BA0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处7万元以上10万元以下的罚款。</w:t>
            </w:r>
          </w:p>
        </w:tc>
      </w:tr>
      <w:tr w14:paraId="163618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3F93A69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del w:id="1707" w:author="LV" w:date="2026-07-14T16:38:32Z">
              <w:r>
                <w:rPr>
                  <w:rFonts w:hint="default" w:ascii="仿宋_GB2312" w:hAnsi="宋体" w:eastAsia="仿宋_GB2312" w:cs="仿宋_GB2312"/>
                  <w:kern w:val="0"/>
                  <w:sz w:val="18"/>
                  <w:szCs w:val="18"/>
                  <w:lang w:val="en-US" w:bidi="ar"/>
                </w:rPr>
                <w:delText>67</w:delText>
              </w:r>
            </w:del>
            <w:ins w:id="1708" w:author="LV" w:date="2026-07-14T16:38:32Z">
              <w:r>
                <w:rPr>
                  <w:rFonts w:hint="eastAsia" w:ascii="仿宋_GB2312" w:hAnsi="宋体" w:eastAsia="仿宋_GB2312" w:cs="仿宋_GB2312"/>
                  <w:kern w:val="0"/>
                  <w:sz w:val="18"/>
                  <w:szCs w:val="18"/>
                  <w:lang w:val="en-US" w:eastAsia="zh-CN" w:bidi="ar"/>
                </w:rPr>
                <w:t>78</w:t>
              </w:r>
            </w:ins>
          </w:p>
        </w:tc>
        <w:tc>
          <w:tcPr>
            <w:tcW w:w="1005" w:type="dxa"/>
            <w:vMerge w:val="restart"/>
            <w:tcBorders>
              <w:tl2br w:val="nil"/>
              <w:tr2bl w:val="nil"/>
            </w:tcBorders>
            <w:shd w:val="clear" w:color="auto" w:fill="auto"/>
            <w:tcMar>
              <w:top w:w="15" w:type="dxa"/>
              <w:left w:w="15" w:type="dxa"/>
              <w:right w:w="15" w:type="dxa"/>
            </w:tcMar>
            <w:vAlign w:val="center"/>
          </w:tcPr>
          <w:p w14:paraId="165A886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煤矿未按照规定制定生产安全事故应急救援预案，逾期未改正的</w:t>
            </w:r>
          </w:p>
        </w:tc>
        <w:tc>
          <w:tcPr>
            <w:tcW w:w="3667" w:type="dxa"/>
            <w:vMerge w:val="restart"/>
            <w:tcBorders>
              <w:tl2br w:val="nil"/>
              <w:tr2bl w:val="nil"/>
            </w:tcBorders>
            <w:shd w:val="clear" w:color="auto" w:fill="auto"/>
            <w:tcMar>
              <w:top w:w="15" w:type="dxa"/>
              <w:left w:w="15" w:type="dxa"/>
              <w:right w:w="15" w:type="dxa"/>
            </w:tcMar>
            <w:vAlign w:val="center"/>
          </w:tcPr>
          <w:p w14:paraId="07D40E2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《安全生产法》第八十一条 生产经营单位应当制定本单位生产安全事故应急救援预案，与所在地县级以上地方人民政府组织制定的生产安全事故应急救援预案相衔接，并定期组织演练。</w:t>
            </w:r>
          </w:p>
        </w:tc>
        <w:tc>
          <w:tcPr>
            <w:tcW w:w="4082" w:type="dxa"/>
            <w:vMerge w:val="restart"/>
            <w:tcBorders>
              <w:tl2br w:val="nil"/>
              <w:tr2bl w:val="nil"/>
            </w:tcBorders>
            <w:shd w:val="clear" w:color="auto" w:fill="auto"/>
            <w:tcMar>
              <w:top w:w="15" w:type="dxa"/>
              <w:left w:w="15" w:type="dxa"/>
              <w:right w:w="15" w:type="dxa"/>
            </w:tcMar>
            <w:vAlign w:val="center"/>
          </w:tcPr>
          <w:p w14:paraId="7C6568B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《安全生产法》第九十七条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六）未按照规定制定生产安全事故应急救援预案或者未定期组织演练的。</w:t>
            </w:r>
          </w:p>
        </w:tc>
        <w:tc>
          <w:tcPr>
            <w:tcW w:w="459" w:type="dxa"/>
            <w:tcBorders>
              <w:tl2br w:val="nil"/>
              <w:tr2bl w:val="nil"/>
            </w:tcBorders>
            <w:shd w:val="clear" w:color="auto" w:fill="auto"/>
            <w:noWrap/>
            <w:tcMar>
              <w:top w:w="15" w:type="dxa"/>
              <w:left w:w="15" w:type="dxa"/>
              <w:right w:w="15" w:type="dxa"/>
            </w:tcMar>
            <w:vAlign w:val="center"/>
          </w:tcPr>
          <w:p w14:paraId="55D9DC2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3FD67A0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4176967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5FEF5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125D05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A56BD5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AC6DA9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F5195F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289408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34BE59B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279F1CD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D242B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0ED857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E8EAD4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128889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4FD4C6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E54EE9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6AB15EB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1322350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9A49A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2FE7B5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A8C88E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9A7635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DF76FC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4E1DA0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2FFF26E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逾期未改正缺少1项专项应急预案的或者超过责令改正期限10日以下的。</w:t>
            </w:r>
          </w:p>
        </w:tc>
        <w:tc>
          <w:tcPr>
            <w:tcW w:w="2655" w:type="dxa"/>
            <w:tcBorders>
              <w:tl2br w:val="nil"/>
              <w:tr2bl w:val="nil"/>
            </w:tcBorders>
            <w:shd w:val="clear" w:color="auto" w:fill="auto"/>
            <w:tcMar>
              <w:top w:w="15" w:type="dxa"/>
              <w:left w:w="15" w:type="dxa"/>
              <w:right w:w="15" w:type="dxa"/>
            </w:tcMar>
            <w:vAlign w:val="center"/>
          </w:tcPr>
          <w:p w14:paraId="7845A14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责令停产停业整顿，对煤矿处10万元以上13万元以下的罚款，对直接负责的主管人员和其他直接责任人员处2万元以上3万元以下的罚款。</w:t>
            </w:r>
          </w:p>
        </w:tc>
      </w:tr>
      <w:tr w14:paraId="5E77B1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26FDB0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E683E2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EF046B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582060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82E134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797AE6B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逾期未改正缺少2项专项应急预案的，或者超过责令改正期限10日以上20日以下的。</w:t>
            </w:r>
          </w:p>
        </w:tc>
        <w:tc>
          <w:tcPr>
            <w:tcW w:w="2655" w:type="dxa"/>
            <w:tcBorders>
              <w:tl2br w:val="nil"/>
              <w:tr2bl w:val="nil"/>
            </w:tcBorders>
            <w:shd w:val="clear" w:color="auto" w:fill="auto"/>
            <w:tcMar>
              <w:top w:w="15" w:type="dxa"/>
              <w:left w:w="15" w:type="dxa"/>
              <w:right w:w="15" w:type="dxa"/>
            </w:tcMar>
            <w:vAlign w:val="center"/>
          </w:tcPr>
          <w:p w14:paraId="7ED8EED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责令停产停业整顿，对煤矿处13万元以上17万元以下的罚款，对直接负责的主管人员和其他直接责任人员处3万元以上4万元以下的罚款。</w:t>
            </w:r>
          </w:p>
        </w:tc>
      </w:tr>
      <w:tr w14:paraId="4673F2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7C6F94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34DDDD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931294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FEF949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8B91C0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3B72C13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逾期未改正未制定综合应急救援预案或者缺少项专项应急预案的，或者超过责令改正期限20日以上的。</w:t>
            </w:r>
          </w:p>
        </w:tc>
        <w:tc>
          <w:tcPr>
            <w:tcW w:w="2655" w:type="dxa"/>
            <w:tcBorders>
              <w:tl2br w:val="nil"/>
              <w:tr2bl w:val="nil"/>
            </w:tcBorders>
            <w:shd w:val="clear" w:color="auto" w:fill="auto"/>
            <w:tcMar>
              <w:top w:w="15" w:type="dxa"/>
              <w:left w:w="15" w:type="dxa"/>
              <w:right w:w="15" w:type="dxa"/>
            </w:tcMar>
            <w:vAlign w:val="center"/>
          </w:tcPr>
          <w:p w14:paraId="5E723B6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责令停产停业整顿，对煤矿处17万元以上20万元以下的罚款，对直接负责的主管人员和其他直接责任人员处4万元以上5万元以下的罚款。</w:t>
            </w:r>
          </w:p>
        </w:tc>
      </w:tr>
      <w:tr w14:paraId="19D956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20AD20E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del w:id="1709" w:author="LV" w:date="2026-07-14T16:38:37Z">
              <w:r>
                <w:rPr>
                  <w:rFonts w:hint="default" w:ascii="仿宋_GB2312" w:hAnsi="宋体" w:eastAsia="仿宋_GB2312" w:cs="仿宋_GB2312"/>
                  <w:kern w:val="0"/>
                  <w:sz w:val="18"/>
                  <w:szCs w:val="18"/>
                  <w:lang w:val="en-US" w:bidi="ar"/>
                </w:rPr>
                <w:delText>68</w:delText>
              </w:r>
            </w:del>
            <w:ins w:id="1710" w:author="LV" w:date="2026-07-14T16:38:37Z">
              <w:r>
                <w:rPr>
                  <w:rFonts w:hint="eastAsia" w:ascii="仿宋_GB2312" w:hAnsi="宋体" w:eastAsia="仿宋_GB2312" w:cs="仿宋_GB2312"/>
                  <w:kern w:val="0"/>
                  <w:sz w:val="18"/>
                  <w:szCs w:val="18"/>
                  <w:lang w:val="en-US" w:eastAsia="zh-CN" w:bidi="ar"/>
                </w:rPr>
                <w:t>7</w:t>
              </w:r>
            </w:ins>
            <w:ins w:id="1711" w:author="LV" w:date="2026-07-14T16:38:38Z">
              <w:r>
                <w:rPr>
                  <w:rFonts w:hint="eastAsia" w:ascii="仿宋_GB2312" w:hAnsi="宋体" w:eastAsia="仿宋_GB2312" w:cs="仿宋_GB2312"/>
                  <w:kern w:val="0"/>
                  <w:sz w:val="18"/>
                  <w:szCs w:val="18"/>
                  <w:lang w:val="en-US" w:eastAsia="zh-CN" w:bidi="ar"/>
                </w:rPr>
                <w:t>9</w:t>
              </w:r>
            </w:ins>
          </w:p>
        </w:tc>
        <w:tc>
          <w:tcPr>
            <w:tcW w:w="1005" w:type="dxa"/>
            <w:vMerge w:val="restart"/>
            <w:tcBorders>
              <w:tl2br w:val="nil"/>
              <w:tr2bl w:val="nil"/>
            </w:tcBorders>
            <w:shd w:val="clear" w:color="auto" w:fill="auto"/>
            <w:tcMar>
              <w:top w:w="15" w:type="dxa"/>
              <w:left w:w="15" w:type="dxa"/>
              <w:right w:w="15" w:type="dxa"/>
            </w:tcMar>
            <w:vAlign w:val="center"/>
          </w:tcPr>
          <w:p w14:paraId="37F1E1B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煤矿未定期组织事故救援预案演练的</w:t>
            </w:r>
          </w:p>
        </w:tc>
        <w:tc>
          <w:tcPr>
            <w:tcW w:w="3667" w:type="dxa"/>
            <w:vMerge w:val="restart"/>
            <w:tcBorders>
              <w:tl2br w:val="nil"/>
              <w:tr2bl w:val="nil"/>
            </w:tcBorders>
            <w:shd w:val="clear" w:color="auto" w:fill="auto"/>
            <w:tcMar>
              <w:top w:w="15" w:type="dxa"/>
              <w:left w:w="15" w:type="dxa"/>
              <w:right w:w="15" w:type="dxa"/>
            </w:tcMar>
            <w:vAlign w:val="center"/>
          </w:tcPr>
          <w:p w14:paraId="0A42A16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《安全生产法》第八十一条 生产经营单位应当制定本单位生产安全事故应急救援预案，与所在地县级以上地方人民政府组织制定的生产安全事故应急救援预案相衔接，并定期组织演练。</w:t>
            </w:r>
          </w:p>
          <w:p w14:paraId="74169B5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《煤矿安全生产条例》第二十九条  煤矿企业应当依法制定生产安全事故应急救援预案，与所在地县级以上地方人民政府组织制定的生产安全事故应急救援预案相衔接，并定期组织演练。</w:t>
            </w:r>
          </w:p>
          <w:p w14:paraId="4C63E41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《山东省生产安全事故应急办法》第十三条第二款  高危和人员密集单位应当每半年至少组织1次综合或者专项应急预案演练，每2年对所有专项应急预案至少组织1次演练，每半年对所有现场处置方案至少组织1次演练。</w:t>
            </w:r>
          </w:p>
          <w:p w14:paraId="57D0996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tc>
        <w:tc>
          <w:tcPr>
            <w:tcW w:w="4082" w:type="dxa"/>
            <w:vMerge w:val="restart"/>
            <w:tcBorders>
              <w:tl2br w:val="nil"/>
              <w:tr2bl w:val="nil"/>
            </w:tcBorders>
            <w:shd w:val="clear" w:color="auto" w:fill="auto"/>
            <w:tcMar>
              <w:top w:w="15" w:type="dxa"/>
              <w:left w:w="15" w:type="dxa"/>
              <w:right w:w="15" w:type="dxa"/>
            </w:tcMar>
            <w:vAlign w:val="center"/>
          </w:tcPr>
          <w:p w14:paraId="1334CC0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《安全生产法》第九十七条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六）未按照规定制定生产安全事故应急救援预案或者未定期组织演练的。</w:t>
            </w:r>
          </w:p>
          <w:p w14:paraId="17B2F52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《煤矿安全生产条例》第六十二条第七项  煤矿企业有下列行为之一的，依照《中华人民共和国安全生产法》有关规定予以处罚：（七）未按照规定制定生产安全事故应急救援预案或者未定期组织演练的。</w:t>
            </w:r>
          </w:p>
        </w:tc>
        <w:tc>
          <w:tcPr>
            <w:tcW w:w="459" w:type="dxa"/>
            <w:tcBorders>
              <w:tl2br w:val="nil"/>
              <w:tr2bl w:val="nil"/>
            </w:tcBorders>
            <w:shd w:val="clear" w:color="auto" w:fill="auto"/>
            <w:noWrap/>
            <w:tcMar>
              <w:top w:w="15" w:type="dxa"/>
              <w:left w:w="15" w:type="dxa"/>
              <w:right w:w="15" w:type="dxa"/>
            </w:tcMar>
            <w:vAlign w:val="center"/>
          </w:tcPr>
          <w:p w14:paraId="2BF9E51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0CD0F42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6B561ABE">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10FD2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4922E1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1791A3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628E9F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36DB58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263A1B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4BDA00A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0771DC9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CE0F2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45A8CB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84A047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6B4A94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20E6CE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6B3BE5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23A06CC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44AB90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D8D84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62E824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809663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1986B0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822B02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68E6C9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152FBC6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现场处置方案演练缺少1次的</w:t>
            </w:r>
            <w:r>
              <w:rPr>
                <w:rFonts w:ascii="仿宋_GB2312" w:hAnsi="宋体" w:eastAsia="仿宋_GB2312" w:cs="仿宋_GB2312"/>
                <w:sz w:val="18"/>
                <w:szCs w:val="18"/>
              </w:rPr>
              <w:t>。</w:t>
            </w:r>
          </w:p>
        </w:tc>
        <w:tc>
          <w:tcPr>
            <w:tcW w:w="2655" w:type="dxa"/>
            <w:tcBorders>
              <w:tl2br w:val="nil"/>
              <w:tr2bl w:val="nil"/>
            </w:tcBorders>
            <w:shd w:val="clear" w:color="auto" w:fill="auto"/>
            <w:tcMar>
              <w:top w:w="15" w:type="dxa"/>
              <w:left w:w="15" w:type="dxa"/>
              <w:right w:w="15" w:type="dxa"/>
            </w:tcMar>
            <w:vAlign w:val="center"/>
          </w:tcPr>
          <w:p w14:paraId="3FDCB5A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处3万元以下的罚款。</w:t>
            </w:r>
          </w:p>
        </w:tc>
      </w:tr>
      <w:tr w14:paraId="217103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D79B64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E0992C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A2AB4B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07F89B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DF4234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4603336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现场处置方案演练缺少2次的</w:t>
            </w:r>
            <w:r>
              <w:rPr>
                <w:rFonts w:ascii="仿宋_GB2312" w:hAnsi="宋体" w:eastAsia="仿宋_GB2312" w:cs="仿宋_GB2312"/>
                <w:kern w:val="0"/>
                <w:sz w:val="18"/>
                <w:szCs w:val="18"/>
                <w:lang w:bidi="ar"/>
              </w:rPr>
              <w:t>。</w:t>
            </w:r>
          </w:p>
        </w:tc>
        <w:tc>
          <w:tcPr>
            <w:tcW w:w="2655" w:type="dxa"/>
            <w:tcBorders>
              <w:tl2br w:val="nil"/>
              <w:tr2bl w:val="nil"/>
            </w:tcBorders>
            <w:shd w:val="clear" w:color="auto" w:fill="auto"/>
            <w:tcMar>
              <w:top w:w="15" w:type="dxa"/>
              <w:left w:w="15" w:type="dxa"/>
              <w:right w:w="15" w:type="dxa"/>
            </w:tcMar>
            <w:vAlign w:val="center"/>
          </w:tcPr>
          <w:p w14:paraId="38942D6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处3万元以上7万元以下的罚款。</w:t>
            </w:r>
          </w:p>
        </w:tc>
      </w:tr>
      <w:tr w14:paraId="189E5A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72465C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64743E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D268B6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472BA5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157596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265C933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综合应急预案或专项应急预案未定期演练，或者现场处置方案演练缺少 3 次以上的</w:t>
            </w:r>
            <w:r>
              <w:rPr>
                <w:rFonts w:ascii="仿宋_GB2312" w:hAnsi="宋体" w:eastAsia="仿宋_GB2312" w:cs="仿宋_GB2312"/>
                <w:sz w:val="18"/>
                <w:szCs w:val="18"/>
              </w:rPr>
              <w:t>。</w:t>
            </w:r>
          </w:p>
        </w:tc>
        <w:tc>
          <w:tcPr>
            <w:tcW w:w="2655" w:type="dxa"/>
            <w:tcBorders>
              <w:tl2br w:val="nil"/>
              <w:tr2bl w:val="nil"/>
            </w:tcBorders>
            <w:shd w:val="clear" w:color="auto" w:fill="auto"/>
            <w:tcMar>
              <w:top w:w="15" w:type="dxa"/>
              <w:left w:w="15" w:type="dxa"/>
              <w:right w:w="15" w:type="dxa"/>
            </w:tcMar>
            <w:vAlign w:val="center"/>
          </w:tcPr>
          <w:p w14:paraId="051D5AE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处7万元以上10万元以下的罚款。</w:t>
            </w:r>
          </w:p>
        </w:tc>
      </w:tr>
      <w:tr w14:paraId="16A47E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74084E7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del w:id="1712" w:author="LV" w:date="2026-07-14T16:38:41Z">
              <w:r>
                <w:rPr>
                  <w:rFonts w:hint="default" w:ascii="仿宋_GB2312" w:hAnsi="宋体" w:eastAsia="仿宋_GB2312" w:cs="仿宋_GB2312"/>
                  <w:kern w:val="0"/>
                  <w:sz w:val="18"/>
                  <w:szCs w:val="18"/>
                  <w:lang w:val="en-US" w:bidi="ar"/>
                </w:rPr>
                <w:delText>69</w:delText>
              </w:r>
            </w:del>
            <w:ins w:id="1713" w:author="LV" w:date="2026-07-14T16:38:41Z">
              <w:r>
                <w:rPr>
                  <w:rFonts w:hint="eastAsia" w:ascii="仿宋_GB2312" w:hAnsi="宋体" w:eastAsia="仿宋_GB2312" w:cs="仿宋_GB2312"/>
                  <w:kern w:val="0"/>
                  <w:sz w:val="18"/>
                  <w:szCs w:val="18"/>
                  <w:lang w:val="en-US" w:eastAsia="zh-CN" w:bidi="ar"/>
                </w:rPr>
                <w:t>8</w:t>
              </w:r>
            </w:ins>
            <w:ins w:id="1714" w:author="LV" w:date="2026-07-14T16:38:42Z">
              <w:r>
                <w:rPr>
                  <w:rFonts w:hint="eastAsia" w:ascii="仿宋_GB2312" w:hAnsi="宋体" w:eastAsia="仿宋_GB2312" w:cs="仿宋_GB2312"/>
                  <w:kern w:val="0"/>
                  <w:sz w:val="18"/>
                  <w:szCs w:val="18"/>
                  <w:lang w:val="en-US" w:eastAsia="zh-CN" w:bidi="ar"/>
                </w:rPr>
                <w:t>0</w:t>
              </w:r>
            </w:ins>
          </w:p>
        </w:tc>
        <w:tc>
          <w:tcPr>
            <w:tcW w:w="1005" w:type="dxa"/>
            <w:vMerge w:val="restart"/>
            <w:tcBorders>
              <w:tl2br w:val="nil"/>
              <w:tr2bl w:val="nil"/>
            </w:tcBorders>
            <w:shd w:val="clear" w:color="auto" w:fill="auto"/>
            <w:tcMar>
              <w:top w:w="15" w:type="dxa"/>
              <w:left w:w="15" w:type="dxa"/>
              <w:right w:w="15" w:type="dxa"/>
            </w:tcMar>
            <w:vAlign w:val="center"/>
          </w:tcPr>
          <w:p w14:paraId="50EE830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煤矿未定期组织事故救援预案演练，逾期未改正的</w:t>
            </w:r>
          </w:p>
        </w:tc>
        <w:tc>
          <w:tcPr>
            <w:tcW w:w="3667" w:type="dxa"/>
            <w:vMerge w:val="restart"/>
            <w:tcBorders>
              <w:tl2br w:val="nil"/>
              <w:tr2bl w:val="nil"/>
            </w:tcBorders>
            <w:shd w:val="clear" w:color="auto" w:fill="auto"/>
            <w:tcMar>
              <w:top w:w="15" w:type="dxa"/>
              <w:left w:w="15" w:type="dxa"/>
              <w:right w:w="15" w:type="dxa"/>
            </w:tcMar>
            <w:vAlign w:val="center"/>
          </w:tcPr>
          <w:p w14:paraId="638B676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《安全生产法》第八十一条 产经营单位应当制定本单位生产安全事故应急救援预案，与所在地县级以上地方人民政府组织制定的生产安全事故应急救援预案相衔接，并定期组织演练。</w:t>
            </w:r>
          </w:p>
          <w:p w14:paraId="765AB42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《煤矿安全生产条例》第二十九条  煤矿企业应当依法制定生产安全事故应急救援预案，与所在地县级以上地方人民政府组织制定的生产安全事故应急救援预案相衔接，并定期组织演练。</w:t>
            </w:r>
          </w:p>
          <w:p w14:paraId="72D14E0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《山东省生产安全事故应急办法》第十三条第二款  高危和人员密集单位应当每半年至少组织1次综合或者专项应急预案演练，每2年对所有专项应急预案至少组织1次演练，每半年对所有现场处置方案至少组织1次演练。</w:t>
            </w:r>
          </w:p>
        </w:tc>
        <w:tc>
          <w:tcPr>
            <w:tcW w:w="4082" w:type="dxa"/>
            <w:vMerge w:val="restart"/>
            <w:tcBorders>
              <w:tl2br w:val="nil"/>
              <w:tr2bl w:val="nil"/>
            </w:tcBorders>
            <w:shd w:val="clear" w:color="auto" w:fill="auto"/>
            <w:tcMar>
              <w:top w:w="15" w:type="dxa"/>
              <w:left w:w="15" w:type="dxa"/>
              <w:right w:w="15" w:type="dxa"/>
            </w:tcMar>
            <w:vAlign w:val="center"/>
          </w:tcPr>
          <w:p w14:paraId="2920075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《安全生产法》第九十七条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六）未按照规定制定生产安全事故应急救援预案或者未定期组织演练的。</w:t>
            </w:r>
          </w:p>
        </w:tc>
        <w:tc>
          <w:tcPr>
            <w:tcW w:w="459" w:type="dxa"/>
            <w:tcBorders>
              <w:tl2br w:val="nil"/>
              <w:tr2bl w:val="nil"/>
            </w:tcBorders>
            <w:shd w:val="clear" w:color="auto" w:fill="auto"/>
            <w:noWrap/>
            <w:tcMar>
              <w:top w:w="15" w:type="dxa"/>
              <w:left w:w="15" w:type="dxa"/>
              <w:right w:w="15" w:type="dxa"/>
            </w:tcMar>
            <w:vAlign w:val="center"/>
          </w:tcPr>
          <w:p w14:paraId="3685BA4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32D84F2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2BF00E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EBA78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ACF45F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B9F883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DC77A4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EC805A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7453E3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75AB3F7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02751B0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BCF6F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6A438E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B17598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3C8F34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DB2DFD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9E48DC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1A7C7C6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696FF5F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2F0B6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5FE421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138F45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F7F8EA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7BCE65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B3C932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1D4FCDF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ascii="仿宋_GB2312" w:hAnsi="宋体" w:eastAsia="仿宋_GB2312" w:cs="仿宋_GB2312"/>
                <w:sz w:val="18"/>
                <w:szCs w:val="18"/>
              </w:rPr>
              <w:t>现场处置方案演练缺少1次的。</w:t>
            </w:r>
          </w:p>
        </w:tc>
        <w:tc>
          <w:tcPr>
            <w:tcW w:w="2655" w:type="dxa"/>
            <w:tcBorders>
              <w:tl2br w:val="nil"/>
              <w:tr2bl w:val="nil"/>
            </w:tcBorders>
            <w:shd w:val="clear" w:color="auto" w:fill="auto"/>
            <w:tcMar>
              <w:top w:w="15" w:type="dxa"/>
              <w:left w:w="15" w:type="dxa"/>
              <w:right w:w="15" w:type="dxa"/>
            </w:tcMar>
            <w:vAlign w:val="center"/>
          </w:tcPr>
          <w:p w14:paraId="4796B19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责令停产停业整顿，对煤矿处10万元以上13万元以下的罚款，对直接负责的主管人员和其他直接责任人员处2万元以上3万元以下的罚款。</w:t>
            </w:r>
          </w:p>
        </w:tc>
      </w:tr>
      <w:tr w14:paraId="7F5BB2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515227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7154EF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9F980E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30A293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0546D8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0D469491">
            <w:pPr>
              <w:keepNext w:val="0"/>
              <w:keepLines w:val="0"/>
              <w:pageBreakBefore w:val="0"/>
              <w:widowControl w:val="0"/>
              <w:kinsoku/>
              <w:wordWrap/>
              <w:topLinePunct w:val="0"/>
              <w:autoSpaceDE/>
              <w:autoSpaceDN/>
              <w:bidi w:val="0"/>
              <w:adjustRightInd/>
              <w:snapToGrid/>
              <w:spacing w:line="280" w:lineRule="exact"/>
              <w:rPr>
                <w:sz w:val="18"/>
                <w:szCs w:val="18"/>
              </w:rPr>
            </w:pPr>
            <w:r>
              <w:rPr>
                <w:rFonts w:ascii="仿宋_GB2312" w:hAnsi="宋体" w:eastAsia="仿宋_GB2312" w:cs="仿宋_GB2312"/>
                <w:sz w:val="18"/>
                <w:szCs w:val="18"/>
              </w:rPr>
              <w:t>现场处置方案演练缺少2次的。</w:t>
            </w:r>
          </w:p>
        </w:tc>
        <w:tc>
          <w:tcPr>
            <w:tcW w:w="2655" w:type="dxa"/>
            <w:tcBorders>
              <w:tl2br w:val="nil"/>
              <w:tr2bl w:val="nil"/>
            </w:tcBorders>
            <w:shd w:val="clear" w:color="auto" w:fill="auto"/>
            <w:tcMar>
              <w:top w:w="15" w:type="dxa"/>
              <w:left w:w="15" w:type="dxa"/>
              <w:right w:w="15" w:type="dxa"/>
            </w:tcMar>
            <w:vAlign w:val="center"/>
          </w:tcPr>
          <w:p w14:paraId="1FA68BA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责令停产停业整顿，对煤矿处13万元以上17万元以下的罚款，对直接负责的主管人员和其他直接责任人员处3万元以上4万元以下的罚款。</w:t>
            </w:r>
          </w:p>
        </w:tc>
      </w:tr>
      <w:tr w14:paraId="2A95F2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77FC32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049133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AE5D06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E96AF0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04F374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2437E98C">
            <w:pPr>
              <w:keepNext w:val="0"/>
              <w:keepLines w:val="0"/>
              <w:pageBreakBefore w:val="0"/>
              <w:widowControl w:val="0"/>
              <w:kinsoku/>
              <w:wordWrap/>
              <w:topLinePunct w:val="0"/>
              <w:autoSpaceDE/>
              <w:autoSpaceDN/>
              <w:bidi w:val="0"/>
              <w:adjustRightInd/>
              <w:snapToGrid/>
              <w:spacing w:line="280" w:lineRule="exact"/>
              <w:rPr>
                <w:sz w:val="18"/>
                <w:szCs w:val="18"/>
              </w:rPr>
            </w:pPr>
            <w:r>
              <w:rPr>
                <w:rFonts w:hint="eastAsia" w:ascii="仿宋_GB2312" w:hAnsi="宋体" w:eastAsia="仿宋_GB2312" w:cs="仿宋_GB2312"/>
                <w:sz w:val="18"/>
                <w:szCs w:val="18"/>
              </w:rPr>
              <w:t>综合应急预案或专项应急预案未定期演练，或者现场处置方案演练缺少 3 次以上的</w:t>
            </w:r>
            <w:r>
              <w:rPr>
                <w:rFonts w:ascii="仿宋_GB2312" w:hAnsi="宋体" w:eastAsia="仿宋_GB2312" w:cs="仿宋_GB2312"/>
                <w:sz w:val="18"/>
                <w:szCs w:val="18"/>
              </w:rPr>
              <w:t>。</w:t>
            </w:r>
          </w:p>
        </w:tc>
        <w:tc>
          <w:tcPr>
            <w:tcW w:w="2655" w:type="dxa"/>
            <w:tcBorders>
              <w:tl2br w:val="nil"/>
              <w:tr2bl w:val="nil"/>
            </w:tcBorders>
            <w:shd w:val="clear" w:color="auto" w:fill="auto"/>
            <w:tcMar>
              <w:top w:w="15" w:type="dxa"/>
              <w:left w:w="15" w:type="dxa"/>
              <w:right w:w="15" w:type="dxa"/>
            </w:tcMar>
            <w:vAlign w:val="center"/>
          </w:tcPr>
          <w:p w14:paraId="076A439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责令停产停业整顿，对煤矿处17万元以上20万元以下的罚款，对直接负责的主管人员和其他直接责任人员处4万元以上5万元以下的罚款。</w:t>
            </w:r>
          </w:p>
        </w:tc>
      </w:tr>
      <w:tr w14:paraId="65E318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1A5D9B2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del w:id="1715" w:author="LV" w:date="2026-07-14T16:38:46Z">
              <w:r>
                <w:rPr>
                  <w:rFonts w:hint="default" w:ascii="仿宋_GB2312" w:hAnsi="宋体" w:eastAsia="仿宋_GB2312" w:cs="仿宋_GB2312"/>
                  <w:kern w:val="0"/>
                  <w:sz w:val="18"/>
                  <w:szCs w:val="18"/>
                  <w:lang w:val="en-US" w:bidi="ar"/>
                </w:rPr>
                <w:delText>7</w:delText>
              </w:r>
            </w:del>
            <w:del w:id="1716" w:author="LV" w:date="2026-07-14T16:38:46Z">
              <w:r>
                <w:rPr>
                  <w:rFonts w:hint="default" w:ascii="仿宋_GB2312" w:hAnsi="宋体" w:eastAsia="仿宋_GB2312" w:cs="仿宋_GB2312"/>
                  <w:kern w:val="0"/>
                  <w:sz w:val="18"/>
                  <w:szCs w:val="18"/>
                  <w:lang w:val="en-US" w:eastAsia="zh-CN" w:bidi="ar"/>
                </w:rPr>
                <w:delText>0</w:delText>
              </w:r>
            </w:del>
            <w:ins w:id="1717" w:author="LV" w:date="2026-07-14T16:38:46Z">
              <w:r>
                <w:rPr>
                  <w:rFonts w:hint="eastAsia" w:ascii="仿宋_GB2312" w:hAnsi="宋体" w:eastAsia="仿宋_GB2312" w:cs="仿宋_GB2312"/>
                  <w:kern w:val="0"/>
                  <w:sz w:val="18"/>
                  <w:szCs w:val="18"/>
                  <w:lang w:val="en-US" w:eastAsia="zh-CN" w:bidi="ar"/>
                </w:rPr>
                <w:t>8</w:t>
              </w:r>
            </w:ins>
            <w:ins w:id="1718" w:author="LV" w:date="2026-07-14T16:38:47Z">
              <w:r>
                <w:rPr>
                  <w:rFonts w:hint="eastAsia" w:ascii="仿宋_GB2312" w:hAnsi="宋体" w:eastAsia="仿宋_GB2312" w:cs="仿宋_GB2312"/>
                  <w:kern w:val="0"/>
                  <w:sz w:val="18"/>
                  <w:szCs w:val="18"/>
                  <w:lang w:val="en-US" w:eastAsia="zh-CN" w:bidi="ar"/>
                </w:rPr>
                <w:t>1</w:t>
              </w:r>
            </w:ins>
          </w:p>
        </w:tc>
        <w:tc>
          <w:tcPr>
            <w:tcW w:w="1005" w:type="dxa"/>
            <w:vMerge w:val="restart"/>
            <w:tcBorders>
              <w:tl2br w:val="nil"/>
              <w:tr2bl w:val="nil"/>
            </w:tcBorders>
            <w:shd w:val="clear" w:color="auto" w:fill="auto"/>
            <w:tcMar>
              <w:top w:w="15" w:type="dxa"/>
              <w:left w:w="15" w:type="dxa"/>
              <w:right w:w="15" w:type="dxa"/>
            </w:tcMar>
            <w:vAlign w:val="center"/>
          </w:tcPr>
          <w:p w14:paraId="18A11B7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煤矿未按照规定开展风险辨识的</w:t>
            </w:r>
          </w:p>
        </w:tc>
        <w:tc>
          <w:tcPr>
            <w:tcW w:w="3667" w:type="dxa"/>
            <w:vMerge w:val="restart"/>
            <w:tcBorders>
              <w:tl2br w:val="nil"/>
              <w:tr2bl w:val="nil"/>
            </w:tcBorders>
            <w:shd w:val="clear" w:color="auto" w:fill="auto"/>
            <w:tcMar>
              <w:top w:w="15" w:type="dxa"/>
              <w:left w:w="15" w:type="dxa"/>
              <w:right w:w="15" w:type="dxa"/>
            </w:tcMar>
            <w:vAlign w:val="center"/>
          </w:tcPr>
          <w:p w14:paraId="312C5DE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《生产安全事故应急预案管理办法》第十条  编制应急预案前，编制单位应当进行事故风险辨识、评估和应急资源调查。事故风险辨识、评估，是指针对不同事故种类及特点，识别存在的危险危害因素，分析事故可能产生的直接后果以及次生、衍生后果，评估各种后果的危害程度和影响范围，提出防范和控制事故风险措施的过程。应急资源调查，是指全面调查本地区、本单位第一时间可以调用的应急资源状况和合作区域内可以请求援助的应急资源状况，并结合事故风险辨识评估结论制定应急措施的过程。</w:t>
            </w:r>
          </w:p>
        </w:tc>
        <w:tc>
          <w:tcPr>
            <w:tcW w:w="4082" w:type="dxa"/>
            <w:vMerge w:val="restart"/>
            <w:tcBorders>
              <w:tl2br w:val="nil"/>
              <w:tr2bl w:val="nil"/>
            </w:tcBorders>
            <w:shd w:val="clear" w:color="auto" w:fill="auto"/>
            <w:tcMar>
              <w:top w:w="15" w:type="dxa"/>
              <w:left w:w="15" w:type="dxa"/>
              <w:right w:w="15" w:type="dxa"/>
            </w:tcMar>
            <w:vAlign w:val="center"/>
          </w:tcPr>
          <w:p w14:paraId="6655F5D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《生产安全事故应急预案管理办法》第四十五条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生产经营单位有下列情形之一的，由县级以上人民政府应急管理部门责令限期改正，可以处1万元以上3万元以下罚款：（一）在应急预案编制前未按照规定开展风险辨识、评估和应急资源调查的。</w:t>
            </w:r>
          </w:p>
        </w:tc>
        <w:tc>
          <w:tcPr>
            <w:tcW w:w="459" w:type="dxa"/>
            <w:tcBorders>
              <w:tl2br w:val="nil"/>
              <w:tr2bl w:val="nil"/>
            </w:tcBorders>
            <w:shd w:val="clear" w:color="auto" w:fill="auto"/>
            <w:noWrap/>
            <w:tcMar>
              <w:top w:w="15" w:type="dxa"/>
              <w:left w:w="15" w:type="dxa"/>
              <w:right w:w="15" w:type="dxa"/>
            </w:tcMar>
            <w:vAlign w:val="center"/>
          </w:tcPr>
          <w:p w14:paraId="6C3C581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627E012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675ED9B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0E6ED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BDC258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725865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516937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72998E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DD9338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6B4AD65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0C6EEC4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CBE02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B3C943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3834B4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7EA2B8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3DE522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3AADD1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234497C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06D82584">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496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D82DD0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8278BE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5E0ED9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069F35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60130F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7236FAD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在应急预案编制前未按照规定开展风险辨识的</w:t>
            </w:r>
            <w:r>
              <w:rPr>
                <w:rFonts w:ascii="仿宋_GB2312" w:hAnsi="宋体" w:eastAsia="仿宋_GB2312" w:cs="仿宋_GB2312"/>
                <w:kern w:val="0"/>
                <w:sz w:val="18"/>
                <w:szCs w:val="18"/>
                <w:lang w:bidi="ar"/>
              </w:rPr>
              <w:t>。</w:t>
            </w:r>
          </w:p>
        </w:tc>
        <w:tc>
          <w:tcPr>
            <w:tcW w:w="2655" w:type="dxa"/>
            <w:tcBorders>
              <w:tl2br w:val="nil"/>
              <w:tr2bl w:val="nil"/>
            </w:tcBorders>
            <w:shd w:val="clear" w:color="auto" w:fill="auto"/>
            <w:tcMar>
              <w:top w:w="15" w:type="dxa"/>
              <w:left w:w="15" w:type="dxa"/>
              <w:right w:w="15" w:type="dxa"/>
            </w:tcMar>
            <w:vAlign w:val="center"/>
          </w:tcPr>
          <w:p w14:paraId="3C50C67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可以处1万元以上1.5万元以下的罚款。</w:t>
            </w:r>
          </w:p>
        </w:tc>
      </w:tr>
      <w:tr w14:paraId="56DE4F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610B57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50045B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2AA4C1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7B0279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54A697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48C42C4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在应急预案编制前未按照规定开展风险辨识、评估的</w:t>
            </w:r>
            <w:r>
              <w:rPr>
                <w:rFonts w:ascii="仿宋_GB2312" w:hAnsi="宋体" w:eastAsia="仿宋_GB2312" w:cs="仿宋_GB2312"/>
                <w:kern w:val="0"/>
                <w:sz w:val="18"/>
                <w:szCs w:val="18"/>
                <w:lang w:bidi="ar"/>
              </w:rPr>
              <w:t>。</w:t>
            </w:r>
          </w:p>
        </w:tc>
        <w:tc>
          <w:tcPr>
            <w:tcW w:w="2655" w:type="dxa"/>
            <w:tcBorders>
              <w:tl2br w:val="nil"/>
              <w:tr2bl w:val="nil"/>
            </w:tcBorders>
            <w:shd w:val="clear" w:color="auto" w:fill="auto"/>
            <w:tcMar>
              <w:top w:w="15" w:type="dxa"/>
              <w:left w:w="15" w:type="dxa"/>
              <w:right w:w="15" w:type="dxa"/>
            </w:tcMar>
            <w:vAlign w:val="center"/>
          </w:tcPr>
          <w:p w14:paraId="2012629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可以处1.5万元以上2.5万元以下的罚款。</w:t>
            </w:r>
          </w:p>
        </w:tc>
      </w:tr>
      <w:tr w14:paraId="10DBFE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03673B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B74AA2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DBEDC3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C14F8D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D361E9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7DE5E03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在应急预案编制前未按照规定开展风险辨识、评估和应急资源调查的</w:t>
            </w:r>
            <w:r>
              <w:rPr>
                <w:rFonts w:ascii="仿宋_GB2312" w:hAnsi="宋体" w:eastAsia="仿宋_GB2312" w:cs="仿宋_GB2312"/>
                <w:kern w:val="0"/>
                <w:sz w:val="18"/>
                <w:szCs w:val="18"/>
                <w:lang w:bidi="ar"/>
              </w:rPr>
              <w:t>。</w:t>
            </w:r>
          </w:p>
        </w:tc>
        <w:tc>
          <w:tcPr>
            <w:tcW w:w="2655" w:type="dxa"/>
            <w:tcBorders>
              <w:tl2br w:val="nil"/>
              <w:tr2bl w:val="nil"/>
            </w:tcBorders>
            <w:shd w:val="clear" w:color="auto" w:fill="auto"/>
            <w:tcMar>
              <w:top w:w="15" w:type="dxa"/>
              <w:left w:w="15" w:type="dxa"/>
              <w:right w:w="15" w:type="dxa"/>
            </w:tcMar>
            <w:vAlign w:val="center"/>
          </w:tcPr>
          <w:p w14:paraId="3FBDAC9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可以处2.5万元以上3万元以下的罚款。</w:t>
            </w:r>
          </w:p>
        </w:tc>
      </w:tr>
      <w:tr w14:paraId="3AC88E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42807A9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del w:id="1719" w:author="LV" w:date="2026-07-14T16:38:53Z">
              <w:r>
                <w:rPr>
                  <w:rFonts w:hint="default" w:ascii="仿宋_GB2312" w:hAnsi="宋体" w:eastAsia="仿宋_GB2312" w:cs="仿宋_GB2312"/>
                  <w:kern w:val="0"/>
                  <w:sz w:val="18"/>
                  <w:szCs w:val="18"/>
                  <w:lang w:val="en-US" w:bidi="ar"/>
                </w:rPr>
                <w:delText>7</w:delText>
              </w:r>
            </w:del>
            <w:del w:id="1720" w:author="LV" w:date="2026-07-14T16:38:53Z">
              <w:r>
                <w:rPr>
                  <w:rFonts w:hint="default" w:ascii="仿宋_GB2312" w:hAnsi="宋体" w:eastAsia="仿宋_GB2312" w:cs="仿宋_GB2312"/>
                  <w:kern w:val="0"/>
                  <w:sz w:val="18"/>
                  <w:szCs w:val="18"/>
                  <w:lang w:val="en-US" w:eastAsia="zh-CN" w:bidi="ar"/>
                </w:rPr>
                <w:delText>1</w:delText>
              </w:r>
            </w:del>
            <w:ins w:id="1721" w:author="LV" w:date="2026-07-14T16:38:53Z">
              <w:r>
                <w:rPr>
                  <w:rFonts w:hint="eastAsia" w:ascii="仿宋_GB2312" w:hAnsi="宋体" w:eastAsia="仿宋_GB2312" w:cs="仿宋_GB2312"/>
                  <w:kern w:val="0"/>
                  <w:sz w:val="18"/>
                  <w:szCs w:val="18"/>
                  <w:lang w:val="en-US" w:eastAsia="zh-CN" w:bidi="ar"/>
                </w:rPr>
                <w:t>82</w:t>
              </w:r>
            </w:ins>
          </w:p>
        </w:tc>
        <w:tc>
          <w:tcPr>
            <w:tcW w:w="1005" w:type="dxa"/>
            <w:vMerge w:val="restart"/>
            <w:tcBorders>
              <w:tl2br w:val="nil"/>
              <w:tr2bl w:val="nil"/>
            </w:tcBorders>
            <w:shd w:val="clear" w:color="auto" w:fill="auto"/>
            <w:tcMar>
              <w:top w:w="15" w:type="dxa"/>
              <w:left w:w="15" w:type="dxa"/>
              <w:right w:w="15" w:type="dxa"/>
            </w:tcMar>
            <w:vAlign w:val="center"/>
          </w:tcPr>
          <w:p w14:paraId="3A04673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煤矿未按照规定开展应急预案评审的</w:t>
            </w:r>
          </w:p>
        </w:tc>
        <w:tc>
          <w:tcPr>
            <w:tcW w:w="3667" w:type="dxa"/>
            <w:vMerge w:val="restart"/>
            <w:tcBorders>
              <w:tl2br w:val="nil"/>
              <w:tr2bl w:val="nil"/>
            </w:tcBorders>
            <w:shd w:val="clear" w:color="auto" w:fill="auto"/>
            <w:tcMar>
              <w:top w:w="15" w:type="dxa"/>
              <w:left w:w="15" w:type="dxa"/>
              <w:right w:w="15" w:type="dxa"/>
            </w:tcMar>
            <w:vAlign w:val="center"/>
          </w:tcPr>
          <w:p w14:paraId="0D13B28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《生产安全事故应急预案管理办法》第二十一条 矿山、金属冶炼企业和易燃易爆物品、危险化学品的生产、经营（带储存设施的，下同）、储存、运输企业，以及使用危险化学品达到国家规定数量的化工企业、烟花爆竹生产、批发经营企业和中型规模以上的其他生产经营单位，应当对本单位编制的应急预案进行评审，并形成书面评审纪要。</w:t>
            </w:r>
          </w:p>
        </w:tc>
        <w:tc>
          <w:tcPr>
            <w:tcW w:w="4082" w:type="dxa"/>
            <w:vMerge w:val="restart"/>
            <w:tcBorders>
              <w:tl2br w:val="nil"/>
              <w:tr2bl w:val="nil"/>
            </w:tcBorders>
            <w:shd w:val="clear" w:color="auto" w:fill="auto"/>
            <w:tcMar>
              <w:top w:w="15" w:type="dxa"/>
              <w:left w:w="15" w:type="dxa"/>
              <w:right w:w="15" w:type="dxa"/>
            </w:tcMar>
            <w:vAlign w:val="center"/>
          </w:tcPr>
          <w:p w14:paraId="1AC40DF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《生产安全事故应急预案管理办法》第四十五条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生产经营单位有下列情形之一的，由县级以上人民政府应急管理部门责令限期改正，可以处1万元以上3万元以下罚款：（二）未按照规定开展应急预案评审的。</w:t>
            </w:r>
          </w:p>
        </w:tc>
        <w:tc>
          <w:tcPr>
            <w:tcW w:w="459" w:type="dxa"/>
            <w:tcBorders>
              <w:tl2br w:val="nil"/>
              <w:tr2bl w:val="nil"/>
            </w:tcBorders>
            <w:shd w:val="clear" w:color="auto" w:fill="auto"/>
            <w:noWrap/>
            <w:tcMar>
              <w:top w:w="15" w:type="dxa"/>
              <w:left w:w="15" w:type="dxa"/>
              <w:right w:w="15" w:type="dxa"/>
            </w:tcMar>
            <w:vAlign w:val="center"/>
          </w:tcPr>
          <w:p w14:paraId="496E97B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2CD04C3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88930E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EB006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2BA728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A71D5C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BEE530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A56949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B936AA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7E13FDE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73D1A21E">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5AE4B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A0FD3C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346484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32AC14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FD472B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24F059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4600E19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5FF774F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E7181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C453A7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9E4B5F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2CB786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D1A157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D89B49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noWrap/>
            <w:tcMar>
              <w:top w:w="15" w:type="dxa"/>
              <w:left w:w="15" w:type="dxa"/>
              <w:right w:w="15" w:type="dxa"/>
            </w:tcMar>
            <w:vAlign w:val="center"/>
          </w:tcPr>
          <w:p w14:paraId="0A5FC62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1项未按规定开展应急预案评审的。</w:t>
            </w:r>
          </w:p>
        </w:tc>
        <w:tc>
          <w:tcPr>
            <w:tcW w:w="2655" w:type="dxa"/>
            <w:tcBorders>
              <w:tl2br w:val="nil"/>
              <w:tr2bl w:val="nil"/>
            </w:tcBorders>
            <w:shd w:val="clear" w:color="auto" w:fill="auto"/>
            <w:tcMar>
              <w:top w:w="15" w:type="dxa"/>
              <w:left w:w="15" w:type="dxa"/>
              <w:right w:w="15" w:type="dxa"/>
            </w:tcMar>
            <w:vAlign w:val="center"/>
          </w:tcPr>
          <w:p w14:paraId="4FF2F79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可以处1万元以上1.5万元以下的罚款。</w:t>
            </w:r>
          </w:p>
        </w:tc>
      </w:tr>
      <w:tr w14:paraId="0681F5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E4328D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ACA5AB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1EC473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EE3FB8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1D9B1C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noWrap/>
            <w:tcMar>
              <w:top w:w="15" w:type="dxa"/>
              <w:left w:w="15" w:type="dxa"/>
              <w:right w:w="15" w:type="dxa"/>
            </w:tcMar>
            <w:vAlign w:val="center"/>
          </w:tcPr>
          <w:p w14:paraId="6141DED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2项未按规定开展应急预案评审的。</w:t>
            </w:r>
          </w:p>
        </w:tc>
        <w:tc>
          <w:tcPr>
            <w:tcW w:w="2655" w:type="dxa"/>
            <w:tcBorders>
              <w:tl2br w:val="nil"/>
              <w:tr2bl w:val="nil"/>
            </w:tcBorders>
            <w:shd w:val="clear" w:color="auto" w:fill="auto"/>
            <w:tcMar>
              <w:top w:w="15" w:type="dxa"/>
              <w:left w:w="15" w:type="dxa"/>
              <w:right w:w="15" w:type="dxa"/>
            </w:tcMar>
            <w:vAlign w:val="center"/>
          </w:tcPr>
          <w:p w14:paraId="3E8FBF9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可以处1.5万元以上2.5万元以下的罚款。</w:t>
            </w:r>
          </w:p>
        </w:tc>
      </w:tr>
      <w:tr w14:paraId="54CBFB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0C9744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98C66D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B942BB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709889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90FF2D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noWrap/>
            <w:tcMar>
              <w:top w:w="15" w:type="dxa"/>
              <w:left w:w="15" w:type="dxa"/>
              <w:right w:w="15" w:type="dxa"/>
            </w:tcMar>
            <w:vAlign w:val="center"/>
          </w:tcPr>
          <w:p w14:paraId="0AC12B0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2项以上未按规定开展应急预案评审的。</w:t>
            </w:r>
          </w:p>
        </w:tc>
        <w:tc>
          <w:tcPr>
            <w:tcW w:w="2655" w:type="dxa"/>
            <w:tcBorders>
              <w:tl2br w:val="nil"/>
              <w:tr2bl w:val="nil"/>
            </w:tcBorders>
            <w:shd w:val="clear" w:color="auto" w:fill="auto"/>
            <w:tcMar>
              <w:top w:w="15" w:type="dxa"/>
              <w:left w:w="15" w:type="dxa"/>
              <w:right w:w="15" w:type="dxa"/>
            </w:tcMar>
            <w:vAlign w:val="center"/>
          </w:tcPr>
          <w:p w14:paraId="4D98111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可以处2.5万元以上3万元以下的罚款。</w:t>
            </w:r>
          </w:p>
        </w:tc>
      </w:tr>
      <w:tr w14:paraId="02ABB7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1C52A98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del w:id="1722" w:author="LV" w:date="2026-07-14T16:38:57Z">
              <w:r>
                <w:rPr>
                  <w:rFonts w:hint="default" w:ascii="仿宋_GB2312" w:hAnsi="宋体" w:eastAsia="仿宋_GB2312" w:cs="仿宋_GB2312"/>
                  <w:kern w:val="0"/>
                  <w:sz w:val="18"/>
                  <w:szCs w:val="18"/>
                  <w:lang w:val="en-US" w:bidi="ar"/>
                </w:rPr>
                <w:delText>7</w:delText>
              </w:r>
            </w:del>
            <w:del w:id="1723" w:author="LV" w:date="2026-07-14T16:38:57Z">
              <w:r>
                <w:rPr>
                  <w:rFonts w:hint="default" w:ascii="仿宋_GB2312" w:hAnsi="宋体" w:eastAsia="仿宋_GB2312" w:cs="仿宋_GB2312"/>
                  <w:kern w:val="0"/>
                  <w:sz w:val="18"/>
                  <w:szCs w:val="18"/>
                  <w:lang w:val="en-US" w:eastAsia="zh-CN" w:bidi="ar"/>
                </w:rPr>
                <w:delText>2</w:delText>
              </w:r>
            </w:del>
            <w:ins w:id="1724" w:author="LV" w:date="2026-07-14T16:38:57Z">
              <w:r>
                <w:rPr>
                  <w:rFonts w:hint="eastAsia" w:ascii="仿宋_GB2312" w:hAnsi="宋体" w:eastAsia="仿宋_GB2312" w:cs="仿宋_GB2312"/>
                  <w:kern w:val="0"/>
                  <w:sz w:val="18"/>
                  <w:szCs w:val="18"/>
                  <w:lang w:val="en-US" w:eastAsia="zh-CN" w:bidi="ar"/>
                </w:rPr>
                <w:t>8</w:t>
              </w:r>
            </w:ins>
            <w:ins w:id="1725" w:author="LV" w:date="2026-07-14T16:38:58Z">
              <w:r>
                <w:rPr>
                  <w:rFonts w:hint="eastAsia" w:ascii="仿宋_GB2312" w:hAnsi="宋体" w:eastAsia="仿宋_GB2312" w:cs="仿宋_GB2312"/>
                  <w:kern w:val="0"/>
                  <w:sz w:val="18"/>
                  <w:szCs w:val="18"/>
                  <w:lang w:val="en-US" w:eastAsia="zh-CN" w:bidi="ar"/>
                </w:rPr>
                <w:t>3</w:t>
              </w:r>
            </w:ins>
          </w:p>
        </w:tc>
        <w:tc>
          <w:tcPr>
            <w:tcW w:w="1005" w:type="dxa"/>
            <w:vMerge w:val="restart"/>
            <w:tcBorders>
              <w:tl2br w:val="nil"/>
              <w:tr2bl w:val="nil"/>
            </w:tcBorders>
            <w:shd w:val="clear" w:color="auto" w:fill="auto"/>
            <w:tcMar>
              <w:top w:w="15" w:type="dxa"/>
              <w:left w:w="15" w:type="dxa"/>
              <w:right w:w="15" w:type="dxa"/>
            </w:tcMar>
            <w:vAlign w:val="center"/>
          </w:tcPr>
          <w:p w14:paraId="3EEC33A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煤矿未将事故风险的性质、影响范围和应急防范措施告知周边单位和人员的</w:t>
            </w:r>
          </w:p>
        </w:tc>
        <w:tc>
          <w:tcPr>
            <w:tcW w:w="3667" w:type="dxa"/>
            <w:vMerge w:val="restart"/>
            <w:tcBorders>
              <w:tl2br w:val="nil"/>
              <w:tr2bl w:val="nil"/>
            </w:tcBorders>
            <w:shd w:val="clear" w:color="auto" w:fill="auto"/>
            <w:tcMar>
              <w:top w:w="15" w:type="dxa"/>
              <w:left w:w="15" w:type="dxa"/>
              <w:right w:w="15" w:type="dxa"/>
            </w:tcMar>
            <w:vAlign w:val="center"/>
          </w:tcPr>
          <w:p w14:paraId="282F4B8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《生产安全事故应急预案管理办法》第二十四条第二款 事故风险可能影响周边其他单位、人员的，生产经营单位应当将有关事故风险的性质、影响范围和应急防范措施告知周边的其他单位和人员。</w:t>
            </w:r>
          </w:p>
        </w:tc>
        <w:tc>
          <w:tcPr>
            <w:tcW w:w="4082" w:type="dxa"/>
            <w:vMerge w:val="restart"/>
            <w:tcBorders>
              <w:tl2br w:val="nil"/>
              <w:tr2bl w:val="nil"/>
            </w:tcBorders>
            <w:shd w:val="clear" w:color="auto" w:fill="auto"/>
            <w:tcMar>
              <w:top w:w="15" w:type="dxa"/>
              <w:left w:w="15" w:type="dxa"/>
              <w:right w:w="15" w:type="dxa"/>
            </w:tcMar>
            <w:vAlign w:val="center"/>
          </w:tcPr>
          <w:p w14:paraId="3AD22E1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《生产安全事故应急预案管理办法》第四十五条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生产经营单位有下列情形之一的，由县级以上人民政府应急管理部门责令限期改正，可以处1万元以上3万元以下罚款：（三）事故风险可能影响周边单位、人员的，未将事故风险的性质、影响范围和应急防范措施告知周边单位和人员的。</w:t>
            </w:r>
          </w:p>
        </w:tc>
        <w:tc>
          <w:tcPr>
            <w:tcW w:w="459" w:type="dxa"/>
            <w:tcBorders>
              <w:tl2br w:val="nil"/>
              <w:tr2bl w:val="nil"/>
            </w:tcBorders>
            <w:shd w:val="clear" w:color="auto" w:fill="auto"/>
            <w:noWrap/>
            <w:tcMar>
              <w:top w:w="15" w:type="dxa"/>
              <w:left w:w="15" w:type="dxa"/>
              <w:right w:w="15" w:type="dxa"/>
            </w:tcMar>
            <w:vAlign w:val="center"/>
          </w:tcPr>
          <w:p w14:paraId="453A607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6D61EB0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64D501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99FB0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1985A2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4AAA74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A3A3B7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52150C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E036CA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768566F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5DDEC3AE">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C5D71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C6B027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9AC3B1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4BAEA9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A05D82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CA50C9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72ABA4B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35F775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09199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C71E8C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8E5DE2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4FC5F8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F19E72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1BFC45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47572F9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事故风险可能影响周边单位、人员的，未将事故风险的性质告知周边单位和人员的。</w:t>
            </w:r>
          </w:p>
        </w:tc>
        <w:tc>
          <w:tcPr>
            <w:tcW w:w="2655" w:type="dxa"/>
            <w:tcBorders>
              <w:tl2br w:val="nil"/>
              <w:tr2bl w:val="nil"/>
            </w:tcBorders>
            <w:shd w:val="clear" w:color="auto" w:fill="auto"/>
            <w:tcMar>
              <w:top w:w="15" w:type="dxa"/>
              <w:left w:w="15" w:type="dxa"/>
              <w:right w:w="15" w:type="dxa"/>
            </w:tcMar>
            <w:vAlign w:val="center"/>
          </w:tcPr>
          <w:p w14:paraId="42220C6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可以处1万元以上1.5万元以下的罚款。</w:t>
            </w:r>
          </w:p>
        </w:tc>
      </w:tr>
      <w:tr w14:paraId="452101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AE8A16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A0DDE7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8E40EE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93E72B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9B046B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3629DA4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事故风险可能影响周边单位、人员的，未将事故风险的影响范围告知周边单位和人员的。</w:t>
            </w:r>
          </w:p>
        </w:tc>
        <w:tc>
          <w:tcPr>
            <w:tcW w:w="2655" w:type="dxa"/>
            <w:tcBorders>
              <w:tl2br w:val="nil"/>
              <w:tr2bl w:val="nil"/>
            </w:tcBorders>
            <w:shd w:val="clear" w:color="auto" w:fill="auto"/>
            <w:tcMar>
              <w:top w:w="15" w:type="dxa"/>
              <w:left w:w="15" w:type="dxa"/>
              <w:right w:w="15" w:type="dxa"/>
            </w:tcMar>
            <w:vAlign w:val="center"/>
          </w:tcPr>
          <w:p w14:paraId="35CD6B0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可以处1.5万元以上2.5万元以下的罚款。</w:t>
            </w:r>
          </w:p>
        </w:tc>
      </w:tr>
      <w:tr w14:paraId="56B08E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835B1A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4C31D3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DB2CE6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CD9863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8B43AC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3EDCD9E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事故风险可能影响周边单位、人员的，未将事故风险的性质、影响范围和应急防范措施告知周边单位和人员的。</w:t>
            </w:r>
          </w:p>
        </w:tc>
        <w:tc>
          <w:tcPr>
            <w:tcW w:w="2655" w:type="dxa"/>
            <w:tcBorders>
              <w:tl2br w:val="nil"/>
              <w:tr2bl w:val="nil"/>
            </w:tcBorders>
            <w:shd w:val="clear" w:color="auto" w:fill="auto"/>
            <w:tcMar>
              <w:top w:w="15" w:type="dxa"/>
              <w:left w:w="15" w:type="dxa"/>
              <w:right w:w="15" w:type="dxa"/>
            </w:tcMar>
            <w:vAlign w:val="center"/>
          </w:tcPr>
          <w:p w14:paraId="1C959C5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ascii="仿宋_GB2312" w:hAnsi="宋体" w:eastAsia="仿宋_GB2312" w:cs="仿宋_GB2312"/>
                <w:kern w:val="0"/>
                <w:sz w:val="18"/>
                <w:szCs w:val="18"/>
                <w:lang w:bidi="ar"/>
              </w:rPr>
              <w:t>可以</w:t>
            </w:r>
            <w:r>
              <w:rPr>
                <w:rFonts w:hint="eastAsia" w:ascii="仿宋_GB2312" w:hAnsi="宋体" w:eastAsia="仿宋_GB2312" w:cs="仿宋_GB2312"/>
                <w:kern w:val="0"/>
                <w:sz w:val="18"/>
                <w:szCs w:val="18"/>
                <w:lang w:bidi="ar"/>
              </w:rPr>
              <w:t>处2.5万元以上3万元以下的罚款。</w:t>
            </w:r>
          </w:p>
        </w:tc>
      </w:tr>
      <w:tr w14:paraId="571703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3"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60FDBBB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del w:id="1726" w:author="LV" w:date="2026-07-14T16:39:03Z">
              <w:r>
                <w:rPr>
                  <w:rFonts w:hint="default" w:ascii="仿宋_GB2312" w:hAnsi="宋体" w:eastAsia="仿宋_GB2312" w:cs="仿宋_GB2312"/>
                  <w:kern w:val="0"/>
                  <w:sz w:val="18"/>
                  <w:szCs w:val="18"/>
                  <w:lang w:val="en-US" w:bidi="ar"/>
                </w:rPr>
                <w:delText>7</w:delText>
              </w:r>
            </w:del>
            <w:del w:id="1727" w:author="LV" w:date="2026-07-14T16:39:03Z">
              <w:r>
                <w:rPr>
                  <w:rFonts w:hint="default" w:ascii="仿宋_GB2312" w:hAnsi="宋体" w:eastAsia="仿宋_GB2312" w:cs="仿宋_GB2312"/>
                  <w:kern w:val="0"/>
                  <w:sz w:val="18"/>
                  <w:szCs w:val="18"/>
                  <w:lang w:val="en-US" w:eastAsia="zh-CN" w:bidi="ar"/>
                </w:rPr>
                <w:delText>3</w:delText>
              </w:r>
            </w:del>
            <w:ins w:id="1728" w:author="LV" w:date="2026-07-14T16:39:03Z">
              <w:r>
                <w:rPr>
                  <w:rFonts w:hint="eastAsia" w:ascii="仿宋_GB2312" w:hAnsi="宋体" w:eastAsia="仿宋_GB2312" w:cs="仿宋_GB2312"/>
                  <w:kern w:val="0"/>
                  <w:sz w:val="18"/>
                  <w:szCs w:val="18"/>
                  <w:lang w:val="en-US" w:eastAsia="zh-CN" w:bidi="ar"/>
                </w:rPr>
                <w:t>84</w:t>
              </w:r>
            </w:ins>
          </w:p>
        </w:tc>
        <w:tc>
          <w:tcPr>
            <w:tcW w:w="1005" w:type="dxa"/>
            <w:vMerge w:val="restart"/>
            <w:tcBorders>
              <w:tl2br w:val="nil"/>
              <w:tr2bl w:val="nil"/>
            </w:tcBorders>
            <w:shd w:val="clear" w:color="auto" w:fill="auto"/>
            <w:tcMar>
              <w:top w:w="15" w:type="dxa"/>
              <w:left w:w="15" w:type="dxa"/>
              <w:right w:w="15" w:type="dxa"/>
            </w:tcMar>
            <w:vAlign w:val="center"/>
          </w:tcPr>
          <w:p w14:paraId="449F786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煤矿未按照规定开展应急预案评估的</w:t>
            </w:r>
          </w:p>
        </w:tc>
        <w:tc>
          <w:tcPr>
            <w:tcW w:w="3667" w:type="dxa"/>
            <w:vMerge w:val="restart"/>
            <w:tcBorders>
              <w:tl2br w:val="nil"/>
              <w:tr2bl w:val="nil"/>
            </w:tcBorders>
            <w:shd w:val="clear" w:color="auto" w:fill="auto"/>
            <w:tcMar>
              <w:top w:w="15" w:type="dxa"/>
              <w:left w:w="15" w:type="dxa"/>
              <w:right w:w="15" w:type="dxa"/>
            </w:tcMar>
            <w:vAlign w:val="center"/>
          </w:tcPr>
          <w:p w14:paraId="2F80A74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《生产安全事故应急预案管理办法》第三十五条 应急预案编制单位应当建立应急预案定期评估制度，对预案内容的针对性和实用性进行分析，并对应急预案是否需要修订作出结论。矿山、金属冶炼、建筑施工企业和易燃易爆物品、危险化学品等危险物品的生产、经营、储存、运输企业、使用危险化学品达到国家规定数量的化工企业、烟花爆竹生产、批发经营企业和中型规模以上的其他生产经营单位，应当每三年进行一次应急预案评估。应急预案评估可以邀请相关专业机构或者有关专家、有实际应急救援工作经验的人员参加，必要时可以委托安全生产技术服务机构实施。</w:t>
            </w:r>
          </w:p>
        </w:tc>
        <w:tc>
          <w:tcPr>
            <w:tcW w:w="4082" w:type="dxa"/>
            <w:vMerge w:val="restart"/>
            <w:tcBorders>
              <w:tl2br w:val="nil"/>
              <w:tr2bl w:val="nil"/>
            </w:tcBorders>
            <w:shd w:val="clear" w:color="auto" w:fill="auto"/>
            <w:tcMar>
              <w:top w:w="15" w:type="dxa"/>
              <w:left w:w="15" w:type="dxa"/>
              <w:right w:w="15" w:type="dxa"/>
            </w:tcMar>
            <w:vAlign w:val="center"/>
          </w:tcPr>
          <w:p w14:paraId="0F45DE0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《生产安全事故应急预案管理办法》第四十五条</w:t>
            </w:r>
            <w:r>
              <w:rPr>
                <w:rFonts w:hint="eastAsia" w:ascii="仿宋_GB2312" w:hAnsi="宋体" w:eastAsia="仿宋_GB2312" w:cs="仿宋_GB2312"/>
                <w:color w:val="auto"/>
                <w:kern w:val="0"/>
                <w:sz w:val="18"/>
                <w:szCs w:val="18"/>
                <w:lang w:eastAsia="zh-CN" w:bidi="ar"/>
              </w:rPr>
              <w:t xml:space="preserve"> </w:t>
            </w:r>
            <w:r>
              <w:rPr>
                <w:rFonts w:hint="eastAsia" w:ascii="仿宋_GB2312" w:hAnsi="宋体" w:eastAsia="仿宋_GB2312" w:cs="仿宋_GB2312"/>
                <w:color w:val="auto"/>
                <w:kern w:val="0"/>
                <w:sz w:val="18"/>
                <w:szCs w:val="18"/>
                <w:lang w:bidi="ar"/>
              </w:rPr>
              <w:t>生产经营单位有下列情形之一的，由县级以上人民政府应急管理部门责令限期改正，可以处1万元以上3万元以下罚款：（四）未按照规定开展应急预案评估的。</w:t>
            </w:r>
          </w:p>
        </w:tc>
        <w:tc>
          <w:tcPr>
            <w:tcW w:w="459" w:type="dxa"/>
            <w:tcBorders>
              <w:tl2br w:val="nil"/>
              <w:tr2bl w:val="nil"/>
            </w:tcBorders>
            <w:shd w:val="clear" w:color="auto" w:fill="auto"/>
            <w:noWrap/>
            <w:tcMar>
              <w:top w:w="15" w:type="dxa"/>
              <w:left w:w="15" w:type="dxa"/>
              <w:right w:w="15" w:type="dxa"/>
            </w:tcMar>
            <w:vAlign w:val="center"/>
          </w:tcPr>
          <w:p w14:paraId="4529F90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1EB6BED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8E5EBA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43164D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3"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9FB5AE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BD1C4D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44BF88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49F9D1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4CB218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39FA51A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41F9706D">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16E5D7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3"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F98D10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293875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72E6F7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FA8E37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B70100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3BB0E76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6124A2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38363A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3"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4B7859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3006B6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53CC92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8A3F3D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1A78F5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23E6ACD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1处未按照规定开展应急预案评估的。</w:t>
            </w:r>
          </w:p>
        </w:tc>
        <w:tc>
          <w:tcPr>
            <w:tcW w:w="2655" w:type="dxa"/>
            <w:tcBorders>
              <w:tl2br w:val="nil"/>
              <w:tr2bl w:val="nil"/>
            </w:tcBorders>
            <w:shd w:val="clear" w:color="auto" w:fill="auto"/>
            <w:tcMar>
              <w:top w:w="15" w:type="dxa"/>
              <w:left w:w="15" w:type="dxa"/>
              <w:right w:w="15" w:type="dxa"/>
            </w:tcMar>
            <w:vAlign w:val="center"/>
          </w:tcPr>
          <w:p w14:paraId="542522A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可以处1万元以上1.5元以下罚款。</w:t>
            </w:r>
          </w:p>
        </w:tc>
      </w:tr>
      <w:tr w14:paraId="4E95D6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3"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0534A0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91D52E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1C9D26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4070A8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594F29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33BD88D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2处未按照规定开展应急预案评估的。</w:t>
            </w:r>
          </w:p>
        </w:tc>
        <w:tc>
          <w:tcPr>
            <w:tcW w:w="2655" w:type="dxa"/>
            <w:tcBorders>
              <w:tl2br w:val="nil"/>
              <w:tr2bl w:val="nil"/>
            </w:tcBorders>
            <w:shd w:val="clear" w:color="auto" w:fill="auto"/>
            <w:tcMar>
              <w:top w:w="15" w:type="dxa"/>
              <w:left w:w="15" w:type="dxa"/>
              <w:right w:w="15" w:type="dxa"/>
            </w:tcMar>
            <w:vAlign w:val="center"/>
          </w:tcPr>
          <w:p w14:paraId="66CAC5E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可以处1.5万元以上2.5万元以下罚款。</w:t>
            </w:r>
          </w:p>
        </w:tc>
      </w:tr>
      <w:tr w14:paraId="4BCE42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3"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5CBAC4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583C4D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E993AB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7C1F91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F4268F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21FA750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3处及以上未按照规定开展应急预案评估的。</w:t>
            </w:r>
          </w:p>
        </w:tc>
        <w:tc>
          <w:tcPr>
            <w:tcW w:w="2655" w:type="dxa"/>
            <w:tcBorders>
              <w:tl2br w:val="nil"/>
              <w:tr2bl w:val="nil"/>
            </w:tcBorders>
            <w:shd w:val="clear" w:color="auto" w:fill="auto"/>
            <w:tcMar>
              <w:top w:w="15" w:type="dxa"/>
              <w:left w:w="15" w:type="dxa"/>
              <w:right w:w="15" w:type="dxa"/>
            </w:tcMar>
            <w:vAlign w:val="center"/>
          </w:tcPr>
          <w:p w14:paraId="195320F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可以处2.5万元以上3万元以下罚款。</w:t>
            </w:r>
          </w:p>
        </w:tc>
      </w:tr>
      <w:tr w14:paraId="0A8DB9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3"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467C501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del w:id="1729" w:author="LV" w:date="2026-07-14T16:39:05Z">
              <w:r>
                <w:rPr>
                  <w:rFonts w:hint="default" w:ascii="仿宋_GB2312" w:hAnsi="宋体" w:eastAsia="仿宋_GB2312" w:cs="仿宋_GB2312"/>
                  <w:kern w:val="0"/>
                  <w:sz w:val="18"/>
                  <w:szCs w:val="18"/>
                  <w:lang w:val="en-US" w:bidi="ar"/>
                </w:rPr>
                <w:delText>7</w:delText>
              </w:r>
            </w:del>
            <w:del w:id="1730" w:author="LV" w:date="2026-07-14T16:39:05Z">
              <w:r>
                <w:rPr>
                  <w:rFonts w:hint="default" w:ascii="仿宋_GB2312" w:hAnsi="宋体" w:eastAsia="仿宋_GB2312" w:cs="仿宋_GB2312"/>
                  <w:kern w:val="0"/>
                  <w:sz w:val="18"/>
                  <w:szCs w:val="18"/>
                  <w:lang w:val="en-US" w:eastAsia="zh-CN" w:bidi="ar"/>
                </w:rPr>
                <w:delText>4</w:delText>
              </w:r>
            </w:del>
            <w:ins w:id="1731" w:author="LV" w:date="2026-07-14T16:39:05Z">
              <w:r>
                <w:rPr>
                  <w:rFonts w:hint="eastAsia" w:ascii="仿宋_GB2312" w:hAnsi="宋体" w:eastAsia="仿宋_GB2312" w:cs="仿宋_GB2312"/>
                  <w:kern w:val="0"/>
                  <w:sz w:val="18"/>
                  <w:szCs w:val="18"/>
                  <w:lang w:val="en-US" w:eastAsia="zh-CN" w:bidi="ar"/>
                </w:rPr>
                <w:t>8</w:t>
              </w:r>
            </w:ins>
            <w:ins w:id="1732" w:author="LV" w:date="2026-07-14T16:39:06Z">
              <w:r>
                <w:rPr>
                  <w:rFonts w:hint="eastAsia" w:ascii="仿宋_GB2312" w:hAnsi="宋体" w:eastAsia="仿宋_GB2312" w:cs="仿宋_GB2312"/>
                  <w:kern w:val="0"/>
                  <w:sz w:val="18"/>
                  <w:szCs w:val="18"/>
                  <w:lang w:val="en-US" w:eastAsia="zh-CN" w:bidi="ar"/>
                </w:rPr>
                <w:t>5</w:t>
              </w:r>
            </w:ins>
          </w:p>
        </w:tc>
        <w:tc>
          <w:tcPr>
            <w:tcW w:w="1005" w:type="dxa"/>
            <w:vMerge w:val="restart"/>
            <w:tcBorders>
              <w:tl2br w:val="nil"/>
              <w:tr2bl w:val="nil"/>
            </w:tcBorders>
            <w:shd w:val="clear" w:color="auto" w:fill="auto"/>
            <w:tcMar>
              <w:top w:w="15" w:type="dxa"/>
              <w:left w:w="15" w:type="dxa"/>
              <w:right w:w="15" w:type="dxa"/>
            </w:tcMar>
            <w:vAlign w:val="center"/>
          </w:tcPr>
          <w:p w14:paraId="1854CE8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煤矿未按照规定进行应急预案修订的</w:t>
            </w:r>
          </w:p>
        </w:tc>
        <w:tc>
          <w:tcPr>
            <w:tcW w:w="3667" w:type="dxa"/>
            <w:vMerge w:val="restart"/>
            <w:tcBorders>
              <w:tl2br w:val="nil"/>
              <w:tr2bl w:val="nil"/>
            </w:tcBorders>
            <w:shd w:val="clear" w:color="auto" w:fill="auto"/>
            <w:tcMar>
              <w:top w:w="15" w:type="dxa"/>
              <w:left w:w="15" w:type="dxa"/>
              <w:right w:w="15" w:type="dxa"/>
            </w:tcMar>
            <w:vAlign w:val="center"/>
          </w:tcPr>
          <w:p w14:paraId="74BBB6A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《生产安全事故应急预案管理办法》第三十六条 有下列情形之一的，应急预案应当及时修订并归档：（一）依据的法律、法规、规章、标准及上位预案中的有关规定发生重大变化的；（二）应急指挥机构及其职责发生调整的；（三）安全生产面临的风险发生重大变化的；（四）重要应急资源发生重大变化的；（五）在应急演练和事故应急救援中发现需要修订预案的重大问题的；（六）编制单位认为应当修订的其他情况。</w:t>
            </w:r>
          </w:p>
        </w:tc>
        <w:tc>
          <w:tcPr>
            <w:tcW w:w="4082" w:type="dxa"/>
            <w:vMerge w:val="restart"/>
            <w:tcBorders>
              <w:tl2br w:val="nil"/>
              <w:tr2bl w:val="nil"/>
            </w:tcBorders>
            <w:shd w:val="clear" w:color="auto" w:fill="auto"/>
            <w:tcMar>
              <w:top w:w="15" w:type="dxa"/>
              <w:left w:w="15" w:type="dxa"/>
              <w:right w:w="15" w:type="dxa"/>
            </w:tcMar>
            <w:vAlign w:val="center"/>
          </w:tcPr>
          <w:p w14:paraId="6AEB4E7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《生产安全事故应急预案管理办法》第四十五条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生产经营单位有下列情形之一的，由县级以上人民政府应急管理部门责令限期改正，可以处1万元以上3万元以下罚款：（五）未按照规定进行应急预案修订的。</w:t>
            </w:r>
          </w:p>
        </w:tc>
        <w:tc>
          <w:tcPr>
            <w:tcW w:w="459" w:type="dxa"/>
            <w:tcBorders>
              <w:tl2br w:val="nil"/>
              <w:tr2bl w:val="nil"/>
            </w:tcBorders>
            <w:shd w:val="clear" w:color="auto" w:fill="auto"/>
            <w:noWrap/>
            <w:tcMar>
              <w:top w:w="15" w:type="dxa"/>
              <w:left w:w="15" w:type="dxa"/>
              <w:right w:w="15" w:type="dxa"/>
            </w:tcMar>
            <w:vAlign w:val="center"/>
          </w:tcPr>
          <w:p w14:paraId="2925632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1C9DBB1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CC406A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4CFD6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3"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5FA722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7F7D0A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9BAA65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2489B2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A047F2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470E1E1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16BBD3F3">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3CAA0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3"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694880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857237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9FBCAE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BE0C0D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CC847A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6C6DC17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0545E8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708D6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3"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3A9695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0F2354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DA645F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B8693E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0E04AF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140BB74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1处未按照规定进行应急预案修订的。</w:t>
            </w:r>
          </w:p>
        </w:tc>
        <w:tc>
          <w:tcPr>
            <w:tcW w:w="2655" w:type="dxa"/>
            <w:tcBorders>
              <w:tl2br w:val="nil"/>
              <w:tr2bl w:val="nil"/>
            </w:tcBorders>
            <w:shd w:val="clear" w:color="auto" w:fill="auto"/>
            <w:tcMar>
              <w:top w:w="15" w:type="dxa"/>
              <w:left w:w="15" w:type="dxa"/>
              <w:right w:w="15" w:type="dxa"/>
            </w:tcMar>
            <w:vAlign w:val="center"/>
          </w:tcPr>
          <w:p w14:paraId="5FE044D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可以处1万元以上1.5元以下罚款。</w:t>
            </w:r>
          </w:p>
        </w:tc>
      </w:tr>
      <w:tr w14:paraId="3B5569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3"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F9A725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4FC3C7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023823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C1B2D3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75572B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5148A09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2处未按照规定进行应急预案修订的。</w:t>
            </w:r>
          </w:p>
        </w:tc>
        <w:tc>
          <w:tcPr>
            <w:tcW w:w="2655" w:type="dxa"/>
            <w:tcBorders>
              <w:tl2br w:val="nil"/>
              <w:tr2bl w:val="nil"/>
            </w:tcBorders>
            <w:shd w:val="clear" w:color="auto" w:fill="auto"/>
            <w:tcMar>
              <w:top w:w="15" w:type="dxa"/>
              <w:left w:w="15" w:type="dxa"/>
              <w:right w:w="15" w:type="dxa"/>
            </w:tcMar>
            <w:vAlign w:val="center"/>
          </w:tcPr>
          <w:p w14:paraId="32FF9D6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可以处1.5万元以上2.5万元以下罚款。</w:t>
            </w:r>
          </w:p>
        </w:tc>
      </w:tr>
      <w:tr w14:paraId="4EF10D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3"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81D19C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196086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6C08A4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C659AC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27E09F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1FBD248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3处及以上未按照规定进行应急预案修订的。</w:t>
            </w:r>
          </w:p>
        </w:tc>
        <w:tc>
          <w:tcPr>
            <w:tcW w:w="2655" w:type="dxa"/>
            <w:tcBorders>
              <w:tl2br w:val="nil"/>
              <w:tr2bl w:val="nil"/>
            </w:tcBorders>
            <w:shd w:val="clear" w:color="auto" w:fill="auto"/>
            <w:tcMar>
              <w:top w:w="15" w:type="dxa"/>
              <w:left w:w="15" w:type="dxa"/>
              <w:right w:w="15" w:type="dxa"/>
            </w:tcMar>
            <w:vAlign w:val="center"/>
          </w:tcPr>
          <w:p w14:paraId="3E8748A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可以处2.5万元以上3万元以下罚款。</w:t>
            </w:r>
          </w:p>
        </w:tc>
      </w:tr>
      <w:tr w14:paraId="05F532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19A9F60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del w:id="1733" w:author="LV" w:date="2026-07-14T16:39:11Z">
              <w:r>
                <w:rPr>
                  <w:rFonts w:hint="default" w:ascii="仿宋_GB2312" w:hAnsi="宋体" w:eastAsia="仿宋_GB2312" w:cs="仿宋_GB2312"/>
                  <w:kern w:val="0"/>
                  <w:sz w:val="18"/>
                  <w:szCs w:val="18"/>
                  <w:lang w:val="en-US" w:bidi="ar"/>
                </w:rPr>
                <w:delText>7</w:delText>
              </w:r>
            </w:del>
            <w:del w:id="1734" w:author="LV" w:date="2026-07-14T16:39:11Z">
              <w:r>
                <w:rPr>
                  <w:rFonts w:hint="default" w:ascii="仿宋_GB2312" w:hAnsi="宋体" w:eastAsia="仿宋_GB2312" w:cs="仿宋_GB2312"/>
                  <w:kern w:val="0"/>
                  <w:sz w:val="18"/>
                  <w:szCs w:val="18"/>
                  <w:lang w:val="en-US" w:eastAsia="zh-CN" w:bidi="ar"/>
                </w:rPr>
                <w:delText>5</w:delText>
              </w:r>
            </w:del>
            <w:ins w:id="1735" w:author="LV" w:date="2026-07-14T16:39:11Z">
              <w:r>
                <w:rPr>
                  <w:rFonts w:hint="eastAsia" w:ascii="仿宋_GB2312" w:hAnsi="宋体" w:eastAsia="仿宋_GB2312" w:cs="仿宋_GB2312"/>
                  <w:kern w:val="0"/>
                  <w:sz w:val="18"/>
                  <w:szCs w:val="18"/>
                  <w:lang w:val="en-US" w:eastAsia="zh-CN" w:bidi="ar"/>
                </w:rPr>
                <w:t>86</w:t>
              </w:r>
            </w:ins>
          </w:p>
        </w:tc>
        <w:tc>
          <w:tcPr>
            <w:tcW w:w="1005" w:type="dxa"/>
            <w:vMerge w:val="restart"/>
            <w:tcBorders>
              <w:tl2br w:val="nil"/>
              <w:tr2bl w:val="nil"/>
            </w:tcBorders>
            <w:shd w:val="clear" w:color="auto" w:fill="auto"/>
            <w:tcMar>
              <w:top w:w="15" w:type="dxa"/>
              <w:left w:w="15" w:type="dxa"/>
              <w:right w:w="15" w:type="dxa"/>
            </w:tcMar>
            <w:vAlign w:val="center"/>
          </w:tcPr>
          <w:p w14:paraId="7CBBA19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煤矿未落实应急预案规定的应急物资及装备的</w:t>
            </w:r>
          </w:p>
        </w:tc>
        <w:tc>
          <w:tcPr>
            <w:tcW w:w="3667" w:type="dxa"/>
            <w:vMerge w:val="restart"/>
            <w:tcBorders>
              <w:tl2br w:val="nil"/>
              <w:tr2bl w:val="nil"/>
            </w:tcBorders>
            <w:shd w:val="clear" w:color="auto" w:fill="auto"/>
            <w:tcMar>
              <w:top w:w="15" w:type="dxa"/>
              <w:left w:w="15" w:type="dxa"/>
              <w:right w:w="15" w:type="dxa"/>
            </w:tcMar>
            <w:vAlign w:val="center"/>
          </w:tcPr>
          <w:p w14:paraId="34A1B60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《生产安全事故应急预案管理办法》第三十八条 生产经营单位应当按照应急预案的规定，落实应急指挥体系、应急救援队伍、应急物资及装备，建立应急物资、装备配备及其使用档案，并对应急物资、装备进行定期检测和维护，使其处于适用状态。</w:t>
            </w:r>
          </w:p>
        </w:tc>
        <w:tc>
          <w:tcPr>
            <w:tcW w:w="4082" w:type="dxa"/>
            <w:vMerge w:val="restart"/>
            <w:tcBorders>
              <w:tl2br w:val="nil"/>
              <w:tr2bl w:val="nil"/>
            </w:tcBorders>
            <w:shd w:val="clear" w:color="auto" w:fill="auto"/>
            <w:tcMar>
              <w:top w:w="15" w:type="dxa"/>
              <w:left w:w="15" w:type="dxa"/>
              <w:right w:w="15" w:type="dxa"/>
            </w:tcMar>
            <w:vAlign w:val="center"/>
          </w:tcPr>
          <w:p w14:paraId="62DA228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《生产安全事故应急预案管理办法》第四十五条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生产经营单位有下列情形之一的，由县级以上人民政府应急管理部门责令限期改正，可以处1万元以上3万元以下罚款：（六）未落实应急预案规定的应急物资及装备的。</w:t>
            </w:r>
          </w:p>
        </w:tc>
        <w:tc>
          <w:tcPr>
            <w:tcW w:w="459" w:type="dxa"/>
            <w:tcBorders>
              <w:tl2br w:val="nil"/>
              <w:tr2bl w:val="nil"/>
            </w:tcBorders>
            <w:shd w:val="clear" w:color="auto" w:fill="auto"/>
            <w:noWrap/>
            <w:tcMar>
              <w:top w:w="15" w:type="dxa"/>
              <w:left w:w="15" w:type="dxa"/>
              <w:right w:w="15" w:type="dxa"/>
            </w:tcMar>
            <w:vAlign w:val="center"/>
          </w:tcPr>
          <w:p w14:paraId="6545D1E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6B6E781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6F5E0BA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30ECA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7F90FB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04C1CF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563A4F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4FD2F1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5BA199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6E9519A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1748C9FE">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B596E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408A75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B46E19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F10605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0C6AF0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85D965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549A139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80F2AD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53DEB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6DE113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1184BB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190BFB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4F8C65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68F1DF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310A1A3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1处未落实应急预案规定的应急物资及装备的。</w:t>
            </w:r>
          </w:p>
        </w:tc>
        <w:tc>
          <w:tcPr>
            <w:tcW w:w="2655" w:type="dxa"/>
            <w:tcBorders>
              <w:tl2br w:val="nil"/>
              <w:tr2bl w:val="nil"/>
            </w:tcBorders>
            <w:shd w:val="clear" w:color="auto" w:fill="auto"/>
            <w:tcMar>
              <w:top w:w="15" w:type="dxa"/>
              <w:left w:w="15" w:type="dxa"/>
              <w:right w:w="15" w:type="dxa"/>
            </w:tcMar>
            <w:vAlign w:val="center"/>
          </w:tcPr>
          <w:p w14:paraId="545A385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可以处1万元以上1.5元以下罚款。</w:t>
            </w:r>
          </w:p>
        </w:tc>
      </w:tr>
      <w:tr w14:paraId="23FEFC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B028BB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77F16E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8D2A33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A3F1B1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5B117D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58FCC73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2处未落实应急预案规定的应急物资及装备的。</w:t>
            </w:r>
          </w:p>
        </w:tc>
        <w:tc>
          <w:tcPr>
            <w:tcW w:w="2655" w:type="dxa"/>
            <w:tcBorders>
              <w:tl2br w:val="nil"/>
              <w:tr2bl w:val="nil"/>
            </w:tcBorders>
            <w:shd w:val="clear" w:color="auto" w:fill="auto"/>
            <w:tcMar>
              <w:top w:w="15" w:type="dxa"/>
              <w:left w:w="15" w:type="dxa"/>
              <w:right w:w="15" w:type="dxa"/>
            </w:tcMar>
            <w:vAlign w:val="center"/>
          </w:tcPr>
          <w:p w14:paraId="2BFC23E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可以处1.5万元以上2.5万元以下罚款。</w:t>
            </w:r>
          </w:p>
        </w:tc>
      </w:tr>
      <w:tr w14:paraId="2D1B41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8FA23C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ED1761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4C2DEC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537B67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39F0E8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443A5DD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3处及以上未落实应急预案规定的应急物资及装备的。</w:t>
            </w:r>
          </w:p>
        </w:tc>
        <w:tc>
          <w:tcPr>
            <w:tcW w:w="2655" w:type="dxa"/>
            <w:tcBorders>
              <w:tl2br w:val="nil"/>
              <w:tr2bl w:val="nil"/>
            </w:tcBorders>
            <w:shd w:val="clear" w:color="auto" w:fill="auto"/>
            <w:tcMar>
              <w:top w:w="15" w:type="dxa"/>
              <w:left w:w="15" w:type="dxa"/>
              <w:right w:w="15" w:type="dxa"/>
            </w:tcMar>
            <w:vAlign w:val="center"/>
          </w:tcPr>
          <w:p w14:paraId="06C4568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可以处2.5万元以上3万元以下罚款。</w:t>
            </w:r>
          </w:p>
        </w:tc>
      </w:tr>
      <w:tr w14:paraId="4DEA76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422FD92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del w:id="1736" w:author="LV" w:date="2026-07-14T16:39:15Z">
              <w:r>
                <w:rPr>
                  <w:rFonts w:hint="default" w:ascii="仿宋_GB2312" w:hAnsi="宋体" w:eastAsia="仿宋_GB2312" w:cs="仿宋_GB2312"/>
                  <w:kern w:val="0"/>
                  <w:sz w:val="18"/>
                  <w:szCs w:val="18"/>
                  <w:lang w:val="en-US" w:bidi="ar"/>
                </w:rPr>
                <w:delText>7</w:delText>
              </w:r>
            </w:del>
            <w:del w:id="1737" w:author="LV" w:date="2026-07-14T16:39:15Z">
              <w:r>
                <w:rPr>
                  <w:rFonts w:hint="default" w:ascii="仿宋_GB2312" w:hAnsi="宋体" w:eastAsia="仿宋_GB2312" w:cs="仿宋_GB2312"/>
                  <w:kern w:val="0"/>
                  <w:sz w:val="18"/>
                  <w:szCs w:val="18"/>
                  <w:lang w:val="en-US" w:eastAsia="zh-CN" w:bidi="ar"/>
                </w:rPr>
                <w:delText>6</w:delText>
              </w:r>
            </w:del>
            <w:ins w:id="1738" w:author="LV" w:date="2026-07-14T16:39:15Z">
              <w:r>
                <w:rPr>
                  <w:rFonts w:hint="eastAsia" w:ascii="仿宋_GB2312" w:hAnsi="宋体" w:eastAsia="仿宋_GB2312" w:cs="仿宋_GB2312"/>
                  <w:kern w:val="0"/>
                  <w:sz w:val="18"/>
                  <w:szCs w:val="18"/>
                  <w:lang w:val="en-US" w:eastAsia="zh-CN" w:bidi="ar"/>
                </w:rPr>
                <w:t>8</w:t>
              </w:r>
            </w:ins>
            <w:ins w:id="1739" w:author="LV" w:date="2026-07-14T16:39:16Z">
              <w:r>
                <w:rPr>
                  <w:rFonts w:hint="eastAsia" w:ascii="仿宋_GB2312" w:hAnsi="宋体" w:eastAsia="仿宋_GB2312" w:cs="仿宋_GB2312"/>
                  <w:kern w:val="0"/>
                  <w:sz w:val="18"/>
                  <w:szCs w:val="18"/>
                  <w:lang w:val="en-US" w:eastAsia="zh-CN" w:bidi="ar"/>
                </w:rPr>
                <w:t>7</w:t>
              </w:r>
            </w:ins>
          </w:p>
        </w:tc>
        <w:tc>
          <w:tcPr>
            <w:tcW w:w="1005" w:type="dxa"/>
            <w:vMerge w:val="restart"/>
            <w:tcBorders>
              <w:tl2br w:val="nil"/>
              <w:tr2bl w:val="nil"/>
            </w:tcBorders>
            <w:shd w:val="clear" w:color="auto" w:fill="auto"/>
            <w:tcMar>
              <w:top w:w="15" w:type="dxa"/>
              <w:left w:w="15" w:type="dxa"/>
              <w:right w:w="15" w:type="dxa"/>
            </w:tcMar>
            <w:vAlign w:val="center"/>
          </w:tcPr>
          <w:p w14:paraId="05204FA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煤矿未按照规定如实告知有关的安全生产事项的</w:t>
            </w:r>
          </w:p>
        </w:tc>
        <w:tc>
          <w:tcPr>
            <w:tcW w:w="3667" w:type="dxa"/>
            <w:vMerge w:val="restart"/>
            <w:tcBorders>
              <w:tl2br w:val="nil"/>
              <w:tr2bl w:val="nil"/>
            </w:tcBorders>
            <w:shd w:val="clear" w:color="auto" w:fill="auto"/>
            <w:tcMar>
              <w:top w:w="15" w:type="dxa"/>
              <w:left w:w="15" w:type="dxa"/>
              <w:right w:w="15" w:type="dxa"/>
            </w:tcMar>
            <w:vAlign w:val="center"/>
          </w:tcPr>
          <w:p w14:paraId="65CB717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《安全生产法》第四十四条 生产经营单位应当教育和督促从业人员严格执行本单位的安全生产规章制度和安全操作规程；并向从业人员如实告知作业场所和工作岗位存在的危险因素、防范措施以及事故应急措施。</w:t>
            </w:r>
          </w:p>
          <w:p w14:paraId="452140E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tc>
        <w:tc>
          <w:tcPr>
            <w:tcW w:w="4082" w:type="dxa"/>
            <w:vMerge w:val="restart"/>
            <w:tcBorders>
              <w:tl2br w:val="nil"/>
              <w:tr2bl w:val="nil"/>
            </w:tcBorders>
            <w:shd w:val="clear" w:color="auto" w:fill="auto"/>
            <w:tcMar>
              <w:top w:w="15" w:type="dxa"/>
              <w:left w:w="15" w:type="dxa"/>
              <w:right w:w="15" w:type="dxa"/>
            </w:tcMar>
            <w:vAlign w:val="center"/>
          </w:tcPr>
          <w:p w14:paraId="3DCCC10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《安全生产法》第九十七条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三）未按照规定对从业人员、被派遣劳动者、实习学生进行安全生产教育和培训，或者未按照规定如实告知有关的安全生产事项的。</w:t>
            </w:r>
          </w:p>
          <w:p w14:paraId="2674406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《煤矿安全生产条例》第六十二条第三项  煤矿企业有下列行为之一的，依照《中华人民共和国安全生产法》有关规定予以处罚：（三）未按照规定进行安全生产教育和培训，未按照规定如实告知有关的安全生产事项，或者未如实记录安全生产教育和培训情况的。</w:t>
            </w:r>
          </w:p>
        </w:tc>
        <w:tc>
          <w:tcPr>
            <w:tcW w:w="459" w:type="dxa"/>
            <w:tcBorders>
              <w:tl2br w:val="nil"/>
              <w:tr2bl w:val="nil"/>
            </w:tcBorders>
            <w:shd w:val="clear" w:color="auto" w:fill="auto"/>
            <w:noWrap/>
            <w:tcMar>
              <w:top w:w="15" w:type="dxa"/>
              <w:left w:w="15" w:type="dxa"/>
              <w:right w:w="15" w:type="dxa"/>
            </w:tcMar>
            <w:vAlign w:val="center"/>
          </w:tcPr>
          <w:p w14:paraId="1DC53E0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285A680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069FED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294CC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D2922D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DE1131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54F580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FEB010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406241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289DB5E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71C5EEF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FEFE6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F5F03A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A3D7A6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3F0D8D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738735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937C00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66C93BC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FF7EFF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8D9D7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C583A5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739BE9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B4C46B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D4F77C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A23E76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7994FDA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未按照规定向从业人员告知部分安全生产事项的。</w:t>
            </w:r>
          </w:p>
        </w:tc>
        <w:tc>
          <w:tcPr>
            <w:tcW w:w="2655" w:type="dxa"/>
            <w:tcBorders>
              <w:tl2br w:val="nil"/>
              <w:tr2bl w:val="nil"/>
            </w:tcBorders>
            <w:shd w:val="clear" w:color="auto" w:fill="auto"/>
            <w:tcMar>
              <w:top w:w="15" w:type="dxa"/>
              <w:left w:w="15" w:type="dxa"/>
              <w:right w:w="15" w:type="dxa"/>
            </w:tcMar>
            <w:vAlign w:val="center"/>
          </w:tcPr>
          <w:p w14:paraId="1A2B45F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处3万元以下的罚款。</w:t>
            </w:r>
          </w:p>
        </w:tc>
      </w:tr>
      <w:tr w14:paraId="7984E9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92FF11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9B8165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30F6DF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C53570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9A93D2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40D91AE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未按照规定向从业人员告知安全生产事项的。</w:t>
            </w:r>
          </w:p>
        </w:tc>
        <w:tc>
          <w:tcPr>
            <w:tcW w:w="2655" w:type="dxa"/>
            <w:tcBorders>
              <w:tl2br w:val="nil"/>
              <w:tr2bl w:val="nil"/>
            </w:tcBorders>
            <w:shd w:val="clear" w:color="auto" w:fill="auto"/>
            <w:tcMar>
              <w:top w:w="15" w:type="dxa"/>
              <w:left w:w="15" w:type="dxa"/>
              <w:right w:w="15" w:type="dxa"/>
            </w:tcMar>
            <w:vAlign w:val="center"/>
          </w:tcPr>
          <w:p w14:paraId="7F3ABB5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处3万元以上7万元以下的罚款。</w:t>
            </w:r>
          </w:p>
        </w:tc>
      </w:tr>
      <w:tr w14:paraId="3A88EB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119271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76015F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D91CB8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9342CA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DED878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2BD0019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生产经营单位故意隐瞒未告知安全生产事项的，或者提供虚假信息隐瞒未告知安全生产事项的。</w:t>
            </w:r>
          </w:p>
        </w:tc>
        <w:tc>
          <w:tcPr>
            <w:tcW w:w="2655" w:type="dxa"/>
            <w:tcBorders>
              <w:tl2br w:val="nil"/>
              <w:tr2bl w:val="nil"/>
            </w:tcBorders>
            <w:shd w:val="clear" w:color="auto" w:fill="auto"/>
            <w:tcMar>
              <w:top w:w="15" w:type="dxa"/>
              <w:left w:w="15" w:type="dxa"/>
              <w:right w:w="15" w:type="dxa"/>
            </w:tcMar>
            <w:vAlign w:val="center"/>
          </w:tcPr>
          <w:p w14:paraId="18733DA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处7万元以上10万元以下的罚款。</w:t>
            </w:r>
          </w:p>
        </w:tc>
      </w:tr>
      <w:tr w14:paraId="6574CC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797CFE8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del w:id="1740" w:author="LV" w:date="2026-07-14T16:39:20Z">
              <w:r>
                <w:rPr>
                  <w:rFonts w:hint="default" w:ascii="仿宋_GB2312" w:hAnsi="宋体" w:eastAsia="仿宋_GB2312" w:cs="仿宋_GB2312"/>
                  <w:kern w:val="0"/>
                  <w:sz w:val="18"/>
                  <w:szCs w:val="18"/>
                  <w:lang w:val="en-US" w:bidi="ar"/>
                </w:rPr>
                <w:delText>7</w:delText>
              </w:r>
            </w:del>
            <w:del w:id="1741" w:author="LV" w:date="2026-07-14T16:39:20Z">
              <w:r>
                <w:rPr>
                  <w:rFonts w:hint="default" w:ascii="仿宋_GB2312" w:hAnsi="宋体" w:eastAsia="仿宋_GB2312" w:cs="仿宋_GB2312"/>
                  <w:kern w:val="0"/>
                  <w:sz w:val="18"/>
                  <w:szCs w:val="18"/>
                  <w:lang w:val="en-US" w:eastAsia="zh-CN" w:bidi="ar"/>
                </w:rPr>
                <w:delText>7</w:delText>
              </w:r>
            </w:del>
            <w:ins w:id="1742" w:author="LV" w:date="2026-07-14T16:39:20Z">
              <w:r>
                <w:rPr>
                  <w:rFonts w:hint="eastAsia" w:ascii="仿宋_GB2312" w:hAnsi="宋体" w:eastAsia="仿宋_GB2312" w:cs="仿宋_GB2312"/>
                  <w:kern w:val="0"/>
                  <w:sz w:val="18"/>
                  <w:szCs w:val="18"/>
                  <w:lang w:val="en-US" w:eastAsia="zh-CN" w:bidi="ar"/>
                </w:rPr>
                <w:t>88</w:t>
              </w:r>
            </w:ins>
          </w:p>
        </w:tc>
        <w:tc>
          <w:tcPr>
            <w:tcW w:w="1005" w:type="dxa"/>
            <w:vMerge w:val="restart"/>
            <w:tcBorders>
              <w:tl2br w:val="nil"/>
              <w:tr2bl w:val="nil"/>
            </w:tcBorders>
            <w:shd w:val="clear" w:color="auto" w:fill="auto"/>
            <w:tcMar>
              <w:top w:w="15" w:type="dxa"/>
              <w:left w:w="15" w:type="dxa"/>
              <w:right w:w="15" w:type="dxa"/>
            </w:tcMar>
            <w:vAlign w:val="center"/>
          </w:tcPr>
          <w:p w14:paraId="66AA843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煤矿未按照规定如实告知有关的安全生产事项，逾期未改正的</w:t>
            </w:r>
          </w:p>
        </w:tc>
        <w:tc>
          <w:tcPr>
            <w:tcW w:w="3667" w:type="dxa"/>
            <w:vMerge w:val="restart"/>
            <w:tcBorders>
              <w:tl2br w:val="nil"/>
              <w:tr2bl w:val="nil"/>
            </w:tcBorders>
            <w:shd w:val="clear" w:color="auto" w:fill="auto"/>
            <w:tcMar>
              <w:top w:w="15" w:type="dxa"/>
              <w:left w:w="15" w:type="dxa"/>
              <w:right w:w="15" w:type="dxa"/>
            </w:tcMar>
            <w:vAlign w:val="center"/>
          </w:tcPr>
          <w:p w14:paraId="7B9DA6F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《安全生产法》第四十四条 生产经营单位应当教育和督促从业人员严格执行本单位的安全生产规章制度和安全操作规程；并向从业人员如实告知作业场所和工作岗位存在的危险因素、防范措施以及事故应急措施。</w:t>
            </w:r>
          </w:p>
        </w:tc>
        <w:tc>
          <w:tcPr>
            <w:tcW w:w="4082" w:type="dxa"/>
            <w:vMerge w:val="restart"/>
            <w:tcBorders>
              <w:tl2br w:val="nil"/>
              <w:tr2bl w:val="nil"/>
            </w:tcBorders>
            <w:shd w:val="clear" w:color="auto" w:fill="auto"/>
            <w:tcMar>
              <w:top w:w="15" w:type="dxa"/>
              <w:left w:w="15" w:type="dxa"/>
              <w:right w:w="15" w:type="dxa"/>
            </w:tcMar>
            <w:vAlign w:val="center"/>
          </w:tcPr>
          <w:p w14:paraId="2B9580B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《安全生产法》第九十七条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三）未按照规定对从业人员、被派遣劳动者、实习学生进行安全生产教育和培训，或者未按照规定如实告知有关的安全生产事项的。</w:t>
            </w:r>
          </w:p>
        </w:tc>
        <w:tc>
          <w:tcPr>
            <w:tcW w:w="459" w:type="dxa"/>
            <w:tcBorders>
              <w:tl2br w:val="nil"/>
              <w:tr2bl w:val="nil"/>
            </w:tcBorders>
            <w:shd w:val="clear" w:color="auto" w:fill="auto"/>
            <w:noWrap/>
            <w:tcMar>
              <w:top w:w="15" w:type="dxa"/>
              <w:left w:w="15" w:type="dxa"/>
              <w:right w:w="15" w:type="dxa"/>
            </w:tcMar>
            <w:vAlign w:val="center"/>
          </w:tcPr>
          <w:p w14:paraId="130A2A1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7C34592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6E52B1DD">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00AD6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85B688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B0F149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7A19ED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98737D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968D4B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52547F0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2D6B4A2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8BE86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4107C7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EEEC32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D93F57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0DC479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1704A0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4C8F96E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022247F">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FBCA4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A3D358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5AE10A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414E6D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043A95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A9B008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682E74C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逾期未改正未按照规定向从业人员告知部分安全生产事项的或者超过责令改正期限10日以下的。</w:t>
            </w:r>
          </w:p>
        </w:tc>
        <w:tc>
          <w:tcPr>
            <w:tcW w:w="2655" w:type="dxa"/>
            <w:tcBorders>
              <w:tl2br w:val="nil"/>
              <w:tr2bl w:val="nil"/>
            </w:tcBorders>
            <w:shd w:val="clear" w:color="auto" w:fill="auto"/>
            <w:tcMar>
              <w:top w:w="15" w:type="dxa"/>
              <w:left w:w="15" w:type="dxa"/>
              <w:right w:w="15" w:type="dxa"/>
            </w:tcMar>
            <w:vAlign w:val="center"/>
          </w:tcPr>
          <w:p w14:paraId="015C9B6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责令停产停业整顿，对煤矿处10万元以上13万元以下的罚款，对直接负责的主管人员和其他直接责任人员处2万元以上3万元以下的罚款。</w:t>
            </w:r>
          </w:p>
        </w:tc>
      </w:tr>
      <w:tr w14:paraId="5D3D86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3B6172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EF6C64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AE252B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86C123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645244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551A8B1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逾期未改正未按照规定向从业人员告知安全生产事项的或者超过责令改正期限10日以上20日以下的。</w:t>
            </w:r>
          </w:p>
        </w:tc>
        <w:tc>
          <w:tcPr>
            <w:tcW w:w="2655" w:type="dxa"/>
            <w:tcBorders>
              <w:tl2br w:val="nil"/>
              <w:tr2bl w:val="nil"/>
            </w:tcBorders>
            <w:shd w:val="clear" w:color="auto" w:fill="auto"/>
            <w:tcMar>
              <w:top w:w="15" w:type="dxa"/>
              <w:left w:w="15" w:type="dxa"/>
              <w:right w:w="15" w:type="dxa"/>
            </w:tcMar>
            <w:vAlign w:val="center"/>
          </w:tcPr>
          <w:p w14:paraId="6E09BA0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责令停产停业整顿，对煤矿处13万元以上17万元以下的罚款，对直接负责的主管人员和其他直接责任人员处3万元以上4万元以下的罚款。</w:t>
            </w:r>
          </w:p>
        </w:tc>
      </w:tr>
      <w:tr w14:paraId="5DF6E3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2010D9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BE1E16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0CE93E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54D13B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207A38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5BA05A0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逾期未改正生产经营单位故意隐瞒未告知安全生产事项的，或者提供虚假信息隐瞒未告知安全生产事项的，或者超过责令改正期限20日以上的。</w:t>
            </w:r>
          </w:p>
        </w:tc>
        <w:tc>
          <w:tcPr>
            <w:tcW w:w="2655" w:type="dxa"/>
            <w:tcBorders>
              <w:tl2br w:val="nil"/>
              <w:tr2bl w:val="nil"/>
            </w:tcBorders>
            <w:shd w:val="clear" w:color="auto" w:fill="auto"/>
            <w:tcMar>
              <w:top w:w="15" w:type="dxa"/>
              <w:left w:w="15" w:type="dxa"/>
              <w:right w:w="15" w:type="dxa"/>
            </w:tcMar>
            <w:vAlign w:val="center"/>
          </w:tcPr>
          <w:p w14:paraId="59057A5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责令停产停业整顿，对煤矿处17万元以上20万元以下的罚款，对直接负责的主管人员和其他直接责任人员处4万元以上5万元以下的罚款。</w:t>
            </w:r>
          </w:p>
        </w:tc>
      </w:tr>
      <w:tr w14:paraId="6CA8C8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2C3585C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del w:id="1743" w:author="LV" w:date="2026-07-14T16:39:25Z">
              <w:r>
                <w:rPr>
                  <w:rFonts w:hint="default" w:ascii="仿宋_GB2312" w:hAnsi="宋体" w:eastAsia="仿宋_GB2312" w:cs="仿宋_GB2312"/>
                  <w:kern w:val="0"/>
                  <w:sz w:val="18"/>
                  <w:szCs w:val="18"/>
                  <w:lang w:val="en-US" w:eastAsia="zh-CN" w:bidi="ar"/>
                </w:rPr>
                <w:delText>78</w:delText>
              </w:r>
            </w:del>
            <w:ins w:id="1744" w:author="LV" w:date="2026-07-14T16:39:25Z">
              <w:r>
                <w:rPr>
                  <w:rFonts w:hint="eastAsia" w:ascii="仿宋_GB2312" w:hAnsi="宋体" w:eastAsia="仿宋_GB2312" w:cs="仿宋_GB2312"/>
                  <w:kern w:val="0"/>
                  <w:sz w:val="18"/>
                  <w:szCs w:val="18"/>
                  <w:lang w:val="en-US" w:eastAsia="zh-CN" w:bidi="ar"/>
                </w:rPr>
                <w:t>89</w:t>
              </w:r>
            </w:ins>
          </w:p>
        </w:tc>
        <w:tc>
          <w:tcPr>
            <w:tcW w:w="1005" w:type="dxa"/>
            <w:vMerge w:val="restart"/>
            <w:tcBorders>
              <w:tl2br w:val="nil"/>
              <w:tr2bl w:val="nil"/>
            </w:tcBorders>
            <w:shd w:val="clear" w:color="auto" w:fill="auto"/>
            <w:tcMar>
              <w:top w:w="15" w:type="dxa"/>
              <w:left w:w="15" w:type="dxa"/>
              <w:right w:w="15" w:type="dxa"/>
            </w:tcMar>
            <w:vAlign w:val="center"/>
          </w:tcPr>
          <w:p w14:paraId="0611A98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煤矿从业人员违反操作规程或者安全管理规定作业的违法行为</w:t>
            </w:r>
          </w:p>
        </w:tc>
        <w:tc>
          <w:tcPr>
            <w:tcW w:w="3667" w:type="dxa"/>
            <w:vMerge w:val="restart"/>
            <w:tcBorders>
              <w:tl2br w:val="nil"/>
              <w:tr2bl w:val="nil"/>
            </w:tcBorders>
            <w:shd w:val="clear" w:color="auto" w:fill="auto"/>
            <w:tcMar>
              <w:top w:w="15" w:type="dxa"/>
              <w:left w:w="15" w:type="dxa"/>
              <w:right w:w="15" w:type="dxa"/>
            </w:tcMar>
            <w:vAlign w:val="center"/>
          </w:tcPr>
          <w:p w14:paraId="28C253C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《安全生产法》第五十七条 从业人员在作业过程中，当严格落实岗位安全责任，遵守本单位的安全生产规章制度和操作规程，服从管理，正确佩戴和使用劳动防护用品。</w:t>
            </w:r>
          </w:p>
          <w:p w14:paraId="4453CAC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《煤矿安全生产条例》第二十条第一款  煤矿企业从业人员负有下列安全生产职责：（一）遵守煤矿企业安全生产规章制度和作业规程、操作规程，严格落实岗位安全责任；（二）参加安全生产教育和培训，掌握本职工作所需的安全 生产知识，提高安全生产技能，增强事故预防和应急处理能力；（三）及时报告发现的事故隐患或者其他不安全因素。</w:t>
            </w:r>
          </w:p>
        </w:tc>
        <w:tc>
          <w:tcPr>
            <w:tcW w:w="4082" w:type="dxa"/>
            <w:vMerge w:val="restart"/>
            <w:tcBorders>
              <w:tl2br w:val="nil"/>
              <w:tr2bl w:val="nil"/>
            </w:tcBorders>
            <w:shd w:val="clear" w:color="auto" w:fill="auto"/>
            <w:tcMar>
              <w:top w:w="15" w:type="dxa"/>
              <w:left w:w="15" w:type="dxa"/>
              <w:right w:w="15" w:type="dxa"/>
            </w:tcMar>
            <w:vAlign w:val="center"/>
          </w:tcPr>
          <w:p w14:paraId="215A07E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《安全生产违法行为行政处罚办法》（应急部令第18号）第七十三条第一项  生产经营单位及其主要负责人或者其他人员有下列行为之一的，给予警告，并可以对生产经营单位处1万元以上5万元以下的罚款，对其主要负责人、其他有关人员处1000元以上2万元以下的罚款：（一）违反操作规程或者安全管理规定作业的。</w:t>
            </w:r>
          </w:p>
        </w:tc>
        <w:tc>
          <w:tcPr>
            <w:tcW w:w="459" w:type="dxa"/>
            <w:tcBorders>
              <w:tl2br w:val="nil"/>
              <w:tr2bl w:val="nil"/>
            </w:tcBorders>
            <w:shd w:val="clear" w:color="auto" w:fill="auto"/>
            <w:noWrap/>
            <w:tcMar>
              <w:top w:w="15" w:type="dxa"/>
              <w:left w:w="15" w:type="dxa"/>
              <w:right w:w="15" w:type="dxa"/>
            </w:tcMar>
            <w:vAlign w:val="center"/>
          </w:tcPr>
          <w:p w14:paraId="3302075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7169D57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3057AA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52AC19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242090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B40A62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5C1AF1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A5F33A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44F914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02265EC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6A4C628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358008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2EA4E6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54BE84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719B00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925931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F11D8B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2245010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184AC56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1A0C21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28"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D404AC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5453F9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C87C82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FA0608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4A7B2F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21D024C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val="en-US" w:eastAsia="zh-CN" w:bidi="ar"/>
              </w:rPr>
              <w:t>1</w:t>
            </w:r>
            <w:r>
              <w:rPr>
                <w:rFonts w:hint="eastAsia" w:ascii="仿宋_GB2312" w:hAnsi="宋体" w:eastAsia="仿宋_GB2312" w:cs="仿宋_GB2312"/>
                <w:color w:val="auto"/>
                <w:kern w:val="0"/>
                <w:sz w:val="18"/>
                <w:szCs w:val="18"/>
                <w:lang w:bidi="ar"/>
              </w:rPr>
              <w:t>处违反操作规程或者安全管理规定作业的。</w:t>
            </w:r>
          </w:p>
        </w:tc>
        <w:tc>
          <w:tcPr>
            <w:tcW w:w="2655" w:type="dxa"/>
            <w:tcBorders>
              <w:tl2br w:val="nil"/>
              <w:tr2bl w:val="nil"/>
            </w:tcBorders>
            <w:shd w:val="clear" w:color="auto" w:fill="auto"/>
            <w:tcMar>
              <w:top w:w="15" w:type="dxa"/>
              <w:left w:w="15" w:type="dxa"/>
              <w:right w:w="15" w:type="dxa"/>
            </w:tcMar>
            <w:vAlign w:val="center"/>
          </w:tcPr>
          <w:p w14:paraId="1410A84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sz w:val="18"/>
                <w:szCs w:val="18"/>
              </w:rPr>
              <w:t>给予警告，并可以对生产经营单位处1万元以上2万元以下罚款，对其主要负责人、其他有关人员处1000元以上5000元以下的罚款。</w:t>
            </w:r>
          </w:p>
        </w:tc>
      </w:tr>
      <w:tr w14:paraId="310D33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28"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FFFC39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600EC0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283FDE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5AB9A4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F72186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736FDA2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val="en-US" w:eastAsia="zh-CN" w:bidi="ar"/>
              </w:rPr>
              <w:t>2</w:t>
            </w:r>
            <w:r>
              <w:rPr>
                <w:rFonts w:hint="eastAsia" w:ascii="仿宋_GB2312" w:hAnsi="宋体" w:eastAsia="仿宋_GB2312" w:cs="仿宋_GB2312"/>
                <w:color w:val="auto"/>
                <w:kern w:val="0"/>
                <w:sz w:val="18"/>
                <w:szCs w:val="18"/>
                <w:lang w:bidi="ar"/>
              </w:rPr>
              <w:t>处违反操作规程或者安全管理规定作业的。</w:t>
            </w:r>
          </w:p>
        </w:tc>
        <w:tc>
          <w:tcPr>
            <w:tcW w:w="2655" w:type="dxa"/>
            <w:tcBorders>
              <w:tl2br w:val="nil"/>
              <w:tr2bl w:val="nil"/>
            </w:tcBorders>
            <w:shd w:val="clear" w:color="auto" w:fill="auto"/>
            <w:tcMar>
              <w:top w:w="15" w:type="dxa"/>
              <w:left w:w="15" w:type="dxa"/>
              <w:right w:w="15" w:type="dxa"/>
            </w:tcMar>
            <w:vAlign w:val="center"/>
          </w:tcPr>
          <w:p w14:paraId="70C1B24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sz w:val="18"/>
                <w:szCs w:val="18"/>
              </w:rPr>
              <w:t>给予警告，并可以对生产经营单位处2万元以上4万元以下罚款，对其主要负责人、其他有关人员处5000元以上</w:t>
            </w:r>
            <w:r>
              <w:rPr>
                <w:rFonts w:hint="eastAsia" w:ascii="仿宋_GB2312" w:hAnsi="宋体" w:eastAsia="仿宋_GB2312" w:cs="仿宋_GB2312"/>
                <w:color w:val="auto"/>
                <w:sz w:val="18"/>
                <w:szCs w:val="18"/>
                <w:lang w:val="en-US" w:eastAsia="zh-CN"/>
              </w:rPr>
              <w:t>1万</w:t>
            </w:r>
            <w:r>
              <w:rPr>
                <w:rFonts w:hint="eastAsia" w:ascii="仿宋_GB2312" w:hAnsi="宋体" w:eastAsia="仿宋_GB2312" w:cs="仿宋_GB2312"/>
                <w:color w:val="auto"/>
                <w:sz w:val="18"/>
                <w:szCs w:val="18"/>
              </w:rPr>
              <w:t>元以下的罚款。</w:t>
            </w:r>
          </w:p>
        </w:tc>
      </w:tr>
      <w:tr w14:paraId="1D6842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28"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C61AE0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FF3985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C81D3D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162C1E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5E9ECF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763811D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val="en-US" w:eastAsia="zh-CN" w:bidi="ar"/>
              </w:rPr>
              <w:t>3</w:t>
            </w:r>
            <w:r>
              <w:rPr>
                <w:rFonts w:hint="eastAsia" w:ascii="仿宋_GB2312" w:hAnsi="宋体" w:eastAsia="仿宋_GB2312" w:cs="仿宋_GB2312"/>
                <w:color w:val="auto"/>
                <w:kern w:val="0"/>
                <w:sz w:val="18"/>
                <w:szCs w:val="18"/>
                <w:lang w:bidi="ar"/>
              </w:rPr>
              <w:t>处及以上违反操作规程或者安全管理规定作业的。</w:t>
            </w:r>
          </w:p>
        </w:tc>
        <w:tc>
          <w:tcPr>
            <w:tcW w:w="2655" w:type="dxa"/>
            <w:tcBorders>
              <w:tl2br w:val="nil"/>
              <w:tr2bl w:val="nil"/>
            </w:tcBorders>
            <w:shd w:val="clear" w:color="auto" w:fill="auto"/>
            <w:tcMar>
              <w:top w:w="15" w:type="dxa"/>
              <w:left w:w="15" w:type="dxa"/>
              <w:right w:w="15" w:type="dxa"/>
            </w:tcMar>
            <w:vAlign w:val="center"/>
          </w:tcPr>
          <w:p w14:paraId="2093F8A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sz w:val="18"/>
                <w:szCs w:val="18"/>
              </w:rPr>
              <w:t>给予警告，并可以对生产经营单位处4万元以上5万元以下罚款，对其主要负责人、其他有关人员处</w:t>
            </w:r>
            <w:r>
              <w:rPr>
                <w:rFonts w:hint="eastAsia" w:ascii="仿宋_GB2312" w:hAnsi="宋体" w:eastAsia="仿宋_GB2312" w:cs="仿宋_GB2312"/>
                <w:color w:val="auto"/>
                <w:sz w:val="18"/>
                <w:szCs w:val="18"/>
                <w:lang w:val="en-US" w:eastAsia="zh-CN"/>
              </w:rPr>
              <w:t>1万</w:t>
            </w:r>
            <w:r>
              <w:rPr>
                <w:rFonts w:hint="eastAsia" w:ascii="仿宋_GB2312" w:hAnsi="宋体" w:eastAsia="仿宋_GB2312" w:cs="仿宋_GB2312"/>
                <w:color w:val="auto"/>
                <w:sz w:val="18"/>
                <w:szCs w:val="18"/>
              </w:rPr>
              <w:t>元以上</w:t>
            </w:r>
            <w:r>
              <w:rPr>
                <w:rFonts w:hint="eastAsia" w:ascii="仿宋_GB2312" w:hAnsi="宋体" w:eastAsia="仿宋_GB2312" w:cs="仿宋_GB2312"/>
                <w:color w:val="auto"/>
                <w:sz w:val="18"/>
                <w:szCs w:val="18"/>
                <w:lang w:val="en-US" w:eastAsia="zh-CN"/>
              </w:rPr>
              <w:t>2</w:t>
            </w:r>
            <w:r>
              <w:rPr>
                <w:rFonts w:hint="eastAsia" w:ascii="仿宋_GB2312" w:hAnsi="宋体" w:eastAsia="仿宋_GB2312" w:cs="仿宋_GB2312"/>
                <w:color w:val="auto"/>
                <w:sz w:val="18"/>
                <w:szCs w:val="18"/>
              </w:rPr>
              <w:t>万元以下的罚款。</w:t>
            </w:r>
          </w:p>
        </w:tc>
      </w:tr>
      <w:tr w14:paraId="4F67BA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6764710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del w:id="1745" w:author="LV" w:date="2026-07-14T16:39:29Z">
              <w:r>
                <w:rPr>
                  <w:rFonts w:hint="default" w:ascii="仿宋_GB2312" w:hAnsi="宋体" w:eastAsia="仿宋_GB2312" w:cs="仿宋_GB2312"/>
                  <w:kern w:val="0"/>
                  <w:sz w:val="18"/>
                  <w:szCs w:val="18"/>
                  <w:lang w:val="en-US" w:eastAsia="zh-CN" w:bidi="ar"/>
                </w:rPr>
                <w:delText>79</w:delText>
              </w:r>
            </w:del>
            <w:ins w:id="1746" w:author="LV" w:date="2026-07-14T16:39:29Z">
              <w:r>
                <w:rPr>
                  <w:rFonts w:hint="eastAsia" w:ascii="仿宋_GB2312" w:hAnsi="宋体" w:eastAsia="仿宋_GB2312" w:cs="仿宋_GB2312"/>
                  <w:kern w:val="0"/>
                  <w:sz w:val="18"/>
                  <w:szCs w:val="18"/>
                  <w:lang w:val="en-US" w:eastAsia="zh-CN" w:bidi="ar"/>
                </w:rPr>
                <w:t>9</w:t>
              </w:r>
            </w:ins>
            <w:ins w:id="1747" w:author="LV" w:date="2026-07-14T16:39:30Z">
              <w:r>
                <w:rPr>
                  <w:rFonts w:hint="eastAsia" w:ascii="仿宋_GB2312" w:hAnsi="宋体" w:eastAsia="仿宋_GB2312" w:cs="仿宋_GB2312"/>
                  <w:kern w:val="0"/>
                  <w:sz w:val="18"/>
                  <w:szCs w:val="18"/>
                  <w:lang w:val="en-US" w:eastAsia="zh-CN" w:bidi="ar"/>
                </w:rPr>
                <w:t>0</w:t>
              </w:r>
            </w:ins>
          </w:p>
        </w:tc>
        <w:tc>
          <w:tcPr>
            <w:tcW w:w="1005" w:type="dxa"/>
            <w:vMerge w:val="restart"/>
            <w:tcBorders>
              <w:tl2br w:val="nil"/>
              <w:tr2bl w:val="nil"/>
            </w:tcBorders>
            <w:shd w:val="clear" w:color="auto" w:fill="auto"/>
            <w:tcMar>
              <w:top w:w="15" w:type="dxa"/>
              <w:left w:w="15" w:type="dxa"/>
              <w:right w:w="15" w:type="dxa"/>
            </w:tcMar>
            <w:vAlign w:val="center"/>
          </w:tcPr>
          <w:p w14:paraId="1DC26AF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煤矿企业违章指挥或者强令冒险作业、违反规程的违法行为</w:t>
            </w:r>
          </w:p>
        </w:tc>
        <w:tc>
          <w:tcPr>
            <w:tcW w:w="3667" w:type="dxa"/>
            <w:vMerge w:val="restart"/>
            <w:tcBorders>
              <w:tl2br w:val="nil"/>
              <w:tr2bl w:val="nil"/>
            </w:tcBorders>
            <w:shd w:val="clear" w:color="auto" w:fill="auto"/>
            <w:tcMar>
              <w:top w:w="15" w:type="dxa"/>
              <w:left w:w="15" w:type="dxa"/>
              <w:right w:w="15" w:type="dxa"/>
            </w:tcMar>
            <w:vAlign w:val="center"/>
          </w:tcPr>
          <w:p w14:paraId="4E0D806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《安全生产法》第五十七条 从业人员在作业过程中，当严格落实岗位安全责任，遵守本单位的安全生产规章制度和操作规程，服从管理，正确佩戴和使用劳动防护用品。</w:t>
            </w:r>
          </w:p>
          <w:p w14:paraId="29BD291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《煤矿安全生产条例》第二十条第二款、第三款  对违章指挥和强令冒险作业的行为，煤矿企业从业人员有权拒绝并向县级以上地方人民政府负有煤矿安全生产监督管理职责的部门、所在地矿山安全监察机构报告。</w:t>
            </w:r>
          </w:p>
          <w:p w14:paraId="5243D5F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第三款  煤矿企业不得因从业人员拒绝违章指挥或者强令冒险作业而降低其工资、福利等待遇，无正当理由调整工作岗位，或者解除与其订立的劳动合同。</w:t>
            </w:r>
          </w:p>
        </w:tc>
        <w:tc>
          <w:tcPr>
            <w:tcW w:w="4082" w:type="dxa"/>
            <w:vMerge w:val="restart"/>
            <w:tcBorders>
              <w:tl2br w:val="nil"/>
              <w:tr2bl w:val="nil"/>
            </w:tcBorders>
            <w:shd w:val="clear" w:color="auto" w:fill="auto"/>
            <w:tcMar>
              <w:top w:w="15" w:type="dxa"/>
              <w:left w:w="15" w:type="dxa"/>
              <w:right w:w="15" w:type="dxa"/>
            </w:tcMar>
            <w:vAlign w:val="center"/>
          </w:tcPr>
          <w:p w14:paraId="1F59EB7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《煤矿安全生产条例》第六十三条第七项  煤矿企业有下列行为之一的，责令限期改正，处10万元以上 20万元以下的罚款；逾期未改正的，责令停产整顿，并处 20万元以上50万元以下的罚款，对其直接负责的主管人员和其他直接责任人员处3万元以上5万元以下的罚款：（七）违章指挥或者强令冒险作业、违反规程的。</w:t>
            </w:r>
          </w:p>
          <w:p w14:paraId="02BB5A4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color w:val="auto"/>
                <w:kern w:val="0"/>
                <w:sz w:val="18"/>
                <w:szCs w:val="18"/>
                <w:lang w:bidi="ar"/>
              </w:rPr>
              <w:t>《安全生产违法行为行政处罚办法》（应急部令第18号）</w:t>
            </w:r>
            <w:r>
              <w:rPr>
                <w:rFonts w:hint="eastAsia" w:ascii="仿宋_GB2312" w:hAnsi="宋体" w:eastAsia="仿宋_GB2312" w:cs="仿宋_GB2312"/>
                <w:kern w:val="0"/>
                <w:sz w:val="18"/>
                <w:szCs w:val="18"/>
                <w:lang w:bidi="ar"/>
              </w:rPr>
              <w:t>第七十三条</w:t>
            </w:r>
            <w:r>
              <w:rPr>
                <w:rFonts w:hint="eastAsia" w:ascii="仿宋_GB2312" w:hAnsi="宋体" w:eastAsia="仿宋_GB2312" w:cs="仿宋_GB2312"/>
                <w:kern w:val="0"/>
                <w:sz w:val="18"/>
                <w:szCs w:val="18"/>
                <w:lang w:val="en-US" w:eastAsia="zh-CN" w:bidi="ar"/>
              </w:rPr>
              <w:t>第二项</w:t>
            </w:r>
            <w:r>
              <w:rPr>
                <w:rFonts w:hint="eastAsia" w:ascii="仿宋_GB2312" w:hAnsi="宋体" w:eastAsia="仿宋_GB2312" w:cs="仿宋_GB2312"/>
                <w:kern w:val="0"/>
                <w:sz w:val="18"/>
                <w:szCs w:val="18"/>
                <w:lang w:bidi="ar"/>
              </w:rPr>
              <w:t xml:space="preserve"> 生产经营单位及其主要负责人或者其他人员有下列行为之一的，给予警告，并可以对生产经营单位处1万元以上5万元以下的罚款，对其主要负责人、其他有关人员处1000元以上2万元以下的罚款：</w:t>
            </w:r>
          </w:p>
          <w:p w14:paraId="59B9CB1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（二）违章指挥从业人员或者强令从业人员违章、冒险作业的；</w:t>
            </w:r>
          </w:p>
        </w:tc>
        <w:tc>
          <w:tcPr>
            <w:tcW w:w="459" w:type="dxa"/>
            <w:tcBorders>
              <w:tl2br w:val="nil"/>
              <w:tr2bl w:val="nil"/>
            </w:tcBorders>
            <w:shd w:val="clear" w:color="auto" w:fill="auto"/>
            <w:noWrap/>
            <w:tcMar>
              <w:top w:w="15" w:type="dxa"/>
              <w:left w:w="15" w:type="dxa"/>
              <w:right w:w="15" w:type="dxa"/>
            </w:tcMar>
            <w:vAlign w:val="center"/>
          </w:tcPr>
          <w:p w14:paraId="16C55D1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166C58B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1E8DF8B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A7233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3CF2B6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4BA33F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6A36A2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9D1E5B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2EC182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1697DAD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4F8A2134">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7D0FE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40E53E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0332C2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A69B56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74AD84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E68414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19F543E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6F7478B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3538B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8AE9EE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00321F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5CAE5A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2DBF59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F53C9D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0551137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违章指挥从业人员违章、冒险作业后，及时主动停止违章行为的。</w:t>
            </w:r>
          </w:p>
        </w:tc>
        <w:tc>
          <w:tcPr>
            <w:tcW w:w="2655" w:type="dxa"/>
            <w:tcBorders>
              <w:tl2br w:val="nil"/>
              <w:tr2bl w:val="nil"/>
            </w:tcBorders>
            <w:shd w:val="clear" w:color="auto" w:fill="auto"/>
            <w:tcMar>
              <w:top w:w="15" w:type="dxa"/>
              <w:left w:w="15" w:type="dxa"/>
              <w:right w:w="15" w:type="dxa"/>
            </w:tcMar>
            <w:vAlign w:val="center"/>
          </w:tcPr>
          <w:p w14:paraId="13A3A13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pacing w:val="-6"/>
                <w:sz w:val="18"/>
                <w:szCs w:val="18"/>
              </w:rPr>
            </w:pPr>
            <w:r>
              <w:rPr>
                <w:rFonts w:hint="eastAsia" w:ascii="仿宋_GB2312" w:hAnsi="宋体" w:eastAsia="仿宋_GB2312" w:cs="仿宋_GB2312"/>
                <w:spacing w:val="-6"/>
                <w:sz w:val="18"/>
                <w:szCs w:val="18"/>
              </w:rPr>
              <w:t>对生产经营单位处10万元以上13万元以下罚款，对其主要负责人、其他有关人员处3万元以上3.5万元以下罚款。</w:t>
            </w:r>
          </w:p>
        </w:tc>
      </w:tr>
      <w:tr w14:paraId="0A10CA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06F193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3F2779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17FD04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3C3E48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CDC244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3D42E12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违章指挥从业人员违章、冒险作业的。</w:t>
            </w:r>
          </w:p>
        </w:tc>
        <w:tc>
          <w:tcPr>
            <w:tcW w:w="2655" w:type="dxa"/>
            <w:tcBorders>
              <w:tl2br w:val="nil"/>
              <w:tr2bl w:val="nil"/>
            </w:tcBorders>
            <w:shd w:val="clear" w:color="auto" w:fill="auto"/>
            <w:tcMar>
              <w:top w:w="15" w:type="dxa"/>
              <w:left w:w="15" w:type="dxa"/>
              <w:right w:w="15" w:type="dxa"/>
            </w:tcMar>
            <w:vAlign w:val="center"/>
          </w:tcPr>
          <w:p w14:paraId="0D51DB0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pacing w:val="-6"/>
                <w:sz w:val="18"/>
                <w:szCs w:val="18"/>
              </w:rPr>
            </w:pPr>
            <w:r>
              <w:rPr>
                <w:rFonts w:hint="eastAsia" w:ascii="仿宋_GB2312" w:hAnsi="宋体" w:eastAsia="仿宋_GB2312" w:cs="仿宋_GB2312"/>
                <w:spacing w:val="-6"/>
                <w:sz w:val="18"/>
                <w:szCs w:val="18"/>
              </w:rPr>
              <w:t>对生产经营单位处13万元以上17万元以下罚款，对其主要负责人、其他有关人员处3.5万元以上4.5万元以下罚款。</w:t>
            </w:r>
          </w:p>
        </w:tc>
      </w:tr>
      <w:tr w14:paraId="6525D6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FE16AC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5CF4FC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7F5006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84DD36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F5E4FD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7B57B13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强令从业人员违章、冒险作业的。</w:t>
            </w:r>
          </w:p>
        </w:tc>
        <w:tc>
          <w:tcPr>
            <w:tcW w:w="2655" w:type="dxa"/>
            <w:tcBorders>
              <w:tl2br w:val="nil"/>
              <w:tr2bl w:val="nil"/>
            </w:tcBorders>
            <w:shd w:val="clear" w:color="auto" w:fill="auto"/>
            <w:tcMar>
              <w:top w:w="15" w:type="dxa"/>
              <w:left w:w="15" w:type="dxa"/>
              <w:right w:w="15" w:type="dxa"/>
            </w:tcMar>
            <w:vAlign w:val="center"/>
          </w:tcPr>
          <w:p w14:paraId="016BE01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pacing w:val="-6"/>
                <w:sz w:val="18"/>
                <w:szCs w:val="18"/>
              </w:rPr>
            </w:pPr>
            <w:r>
              <w:rPr>
                <w:rFonts w:hint="eastAsia" w:ascii="仿宋_GB2312" w:hAnsi="宋体" w:eastAsia="仿宋_GB2312" w:cs="仿宋_GB2312"/>
                <w:spacing w:val="-6"/>
                <w:sz w:val="18"/>
                <w:szCs w:val="18"/>
              </w:rPr>
              <w:t>对生产经营单位处17万元以上20万元以下罚款，对其主要负责人、其他有关人员处4.5万元以上5万元以下罚款。</w:t>
            </w:r>
          </w:p>
        </w:tc>
      </w:tr>
      <w:tr w14:paraId="055D06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00120DF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hint="default" w:ascii="仿宋_GB2312" w:hAnsi="宋体" w:eastAsia="仿宋_GB2312" w:cs="仿宋_GB2312"/>
                <w:sz w:val="18"/>
                <w:szCs w:val="18"/>
                <w:lang w:val="en-US" w:eastAsia="zh-CN"/>
              </w:rPr>
            </w:pPr>
            <w:del w:id="1748" w:author="LV" w:date="2026-07-14T16:39:38Z">
              <w:r>
                <w:rPr>
                  <w:rFonts w:hint="default" w:ascii="仿宋_GB2312" w:hAnsi="宋体" w:eastAsia="仿宋_GB2312" w:cs="仿宋_GB2312"/>
                  <w:sz w:val="18"/>
                  <w:szCs w:val="18"/>
                  <w:lang w:val="en-US" w:eastAsia="zh-CN"/>
                </w:rPr>
                <w:delText>80</w:delText>
              </w:r>
            </w:del>
            <w:ins w:id="1749" w:author="LV" w:date="2026-07-14T16:39:38Z">
              <w:r>
                <w:rPr>
                  <w:rFonts w:hint="eastAsia" w:ascii="仿宋_GB2312" w:hAnsi="宋体" w:eastAsia="仿宋_GB2312" w:cs="仿宋_GB2312"/>
                  <w:sz w:val="18"/>
                  <w:szCs w:val="18"/>
                  <w:lang w:val="en-US" w:eastAsia="zh-CN"/>
                </w:rPr>
                <w:t>9</w:t>
              </w:r>
            </w:ins>
            <w:ins w:id="1750" w:author="LV" w:date="2026-07-14T16:39:39Z">
              <w:r>
                <w:rPr>
                  <w:rFonts w:hint="eastAsia" w:ascii="仿宋_GB2312" w:hAnsi="宋体" w:eastAsia="仿宋_GB2312" w:cs="仿宋_GB2312"/>
                  <w:sz w:val="18"/>
                  <w:szCs w:val="18"/>
                  <w:lang w:val="en-US" w:eastAsia="zh-CN"/>
                </w:rPr>
                <w:t>1</w:t>
              </w:r>
            </w:ins>
          </w:p>
        </w:tc>
        <w:tc>
          <w:tcPr>
            <w:tcW w:w="1005" w:type="dxa"/>
            <w:vMerge w:val="restart"/>
            <w:tcBorders>
              <w:tl2br w:val="nil"/>
              <w:tr2bl w:val="nil"/>
            </w:tcBorders>
            <w:shd w:val="clear" w:color="auto" w:fill="auto"/>
            <w:tcMar>
              <w:top w:w="15" w:type="dxa"/>
              <w:left w:w="15" w:type="dxa"/>
              <w:right w:w="15" w:type="dxa"/>
            </w:tcMar>
            <w:vAlign w:val="center"/>
          </w:tcPr>
          <w:p w14:paraId="5AD5B8B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hint="eastAsia" w:ascii="仿宋_GB2312" w:hAnsi="宋体" w:eastAsia="仿宋_GB2312" w:cs="仿宋_GB2312"/>
                <w:sz w:val="18"/>
                <w:szCs w:val="18"/>
              </w:rPr>
              <w:t>煤矿及其主要负责人或者其他负责人违章指挥从业人员，逾期未改正的</w:t>
            </w:r>
          </w:p>
        </w:tc>
        <w:tc>
          <w:tcPr>
            <w:tcW w:w="3667" w:type="dxa"/>
            <w:vMerge w:val="restart"/>
            <w:tcBorders>
              <w:tl2br w:val="nil"/>
              <w:tr2bl w:val="nil"/>
            </w:tcBorders>
            <w:shd w:val="clear" w:color="auto" w:fill="auto"/>
            <w:tcMar>
              <w:top w:w="15" w:type="dxa"/>
              <w:left w:w="15" w:type="dxa"/>
              <w:right w:w="15" w:type="dxa"/>
            </w:tcMar>
            <w:vAlign w:val="center"/>
          </w:tcPr>
          <w:p w14:paraId="21EC2579">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sz w:val="18"/>
                <w:szCs w:val="18"/>
              </w:rPr>
            </w:pPr>
            <w:r>
              <w:rPr>
                <w:rFonts w:hint="eastAsia" w:ascii="仿宋_GB2312" w:hAnsi="宋体" w:eastAsia="仿宋_GB2312" w:cs="仿宋_GB2312"/>
                <w:sz w:val="18"/>
                <w:szCs w:val="18"/>
              </w:rPr>
              <w:t>《煤矿安全生产条例》第二十条第二款、第三款  对违章指挥和强令冒险作业的行为，煤矿企业从业人员有权拒绝并向县级以上地方人民政府负有煤矿安全生产监督管理职责的部门、所在地矿山安全监察机构报告。</w:t>
            </w:r>
          </w:p>
          <w:p w14:paraId="155F448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hint="eastAsia" w:ascii="仿宋_GB2312" w:hAnsi="宋体" w:eastAsia="仿宋_GB2312" w:cs="仿宋_GB2312"/>
                <w:sz w:val="18"/>
                <w:szCs w:val="18"/>
              </w:rPr>
              <w:t>第三款  煤矿企业不得因从业人员拒绝违章指挥或者强令冒险作业而降低其工资、福利等待遇，无正当理由调整工作岗位，或者解除与其订立的劳动合同。</w:t>
            </w:r>
          </w:p>
        </w:tc>
        <w:tc>
          <w:tcPr>
            <w:tcW w:w="4082" w:type="dxa"/>
            <w:vMerge w:val="restart"/>
            <w:tcBorders>
              <w:tl2br w:val="nil"/>
              <w:tr2bl w:val="nil"/>
            </w:tcBorders>
            <w:shd w:val="clear" w:color="auto" w:fill="auto"/>
            <w:tcMar>
              <w:top w:w="15" w:type="dxa"/>
              <w:left w:w="15" w:type="dxa"/>
              <w:right w:w="15" w:type="dxa"/>
            </w:tcMar>
            <w:vAlign w:val="center"/>
          </w:tcPr>
          <w:p w14:paraId="0C9391A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hint="eastAsia" w:ascii="仿宋_GB2312" w:hAnsi="宋体" w:eastAsia="仿宋_GB2312" w:cs="仿宋_GB2312"/>
                <w:sz w:val="18"/>
                <w:szCs w:val="18"/>
              </w:rPr>
              <w:t>《煤矿安全生产条例》第六十三条第七项  煤矿企业有下列行为之一的，责令限期改正，处10万元以上20万元以下的罚款；逾期未改正的，责令停产整顿，并处20万元以上50万元以下的罚款，对其直接负责的主管人员和其他直接责任人员处3万元以上5万元以下的罚款：（七）违章指挥或者强令冒险作业、违反规程的。</w:t>
            </w:r>
          </w:p>
        </w:tc>
        <w:tc>
          <w:tcPr>
            <w:tcW w:w="459" w:type="dxa"/>
            <w:tcBorders>
              <w:tl2br w:val="nil"/>
              <w:tr2bl w:val="nil"/>
            </w:tcBorders>
            <w:shd w:val="clear" w:color="auto" w:fill="auto"/>
            <w:noWrap/>
            <w:tcMar>
              <w:top w:w="15" w:type="dxa"/>
              <w:left w:w="15" w:type="dxa"/>
              <w:right w:w="15" w:type="dxa"/>
            </w:tcMar>
            <w:vAlign w:val="center"/>
          </w:tcPr>
          <w:p w14:paraId="553D5FC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0D902E7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70C0A3B3">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795D23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4F4430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BAD203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B533D8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FD59E9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849982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03913C8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125D76D3">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350C32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A30ADD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7F896B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475485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385731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4328E0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718CB06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60E305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41A94D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1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611AAF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547071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39F1A3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AC5A26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D192BA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7B89984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超过责令改正期限5日以下的。</w:t>
            </w:r>
          </w:p>
        </w:tc>
        <w:tc>
          <w:tcPr>
            <w:tcW w:w="2655" w:type="dxa"/>
            <w:tcBorders>
              <w:tl2br w:val="nil"/>
              <w:tr2bl w:val="nil"/>
            </w:tcBorders>
            <w:shd w:val="clear" w:color="auto" w:fill="auto"/>
            <w:tcMar>
              <w:top w:w="15" w:type="dxa"/>
              <w:left w:w="15" w:type="dxa"/>
              <w:right w:w="15" w:type="dxa"/>
            </w:tcMar>
            <w:vAlign w:val="center"/>
          </w:tcPr>
          <w:p w14:paraId="41E473B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6"/>
                <w:sz w:val="18"/>
                <w:szCs w:val="18"/>
              </w:rPr>
            </w:pPr>
            <w:r>
              <w:rPr>
                <w:rFonts w:hint="eastAsia" w:ascii="仿宋_GB2312" w:hAnsi="宋体" w:eastAsia="仿宋_GB2312" w:cs="仿宋_GB2312"/>
                <w:spacing w:val="-6"/>
                <w:sz w:val="18"/>
                <w:szCs w:val="18"/>
              </w:rPr>
              <w:t>责令停产整顿，对煤矿企业处20万元以上 30万元以下的罚款；对其直接负责的主管人员和其他直接责任人员处3万元以上5万元以下的罚款。</w:t>
            </w:r>
          </w:p>
        </w:tc>
      </w:tr>
      <w:tr w14:paraId="0E5F10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1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B8E910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CA8C43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6332FC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BA7C48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B424FB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1B1950A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超过责令改正期限5日以上10日以下的。</w:t>
            </w:r>
          </w:p>
        </w:tc>
        <w:tc>
          <w:tcPr>
            <w:tcW w:w="2655" w:type="dxa"/>
            <w:tcBorders>
              <w:tl2br w:val="nil"/>
              <w:tr2bl w:val="nil"/>
            </w:tcBorders>
            <w:shd w:val="clear" w:color="auto" w:fill="auto"/>
            <w:tcMar>
              <w:top w:w="15" w:type="dxa"/>
              <w:left w:w="15" w:type="dxa"/>
              <w:right w:w="15" w:type="dxa"/>
            </w:tcMar>
            <w:vAlign w:val="center"/>
          </w:tcPr>
          <w:p w14:paraId="6BC295E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6"/>
                <w:sz w:val="18"/>
                <w:szCs w:val="18"/>
              </w:rPr>
            </w:pPr>
            <w:r>
              <w:rPr>
                <w:rFonts w:hint="eastAsia" w:ascii="仿宋_GB2312" w:hAnsi="宋体" w:eastAsia="仿宋_GB2312" w:cs="仿宋_GB2312"/>
                <w:spacing w:val="-6"/>
                <w:sz w:val="18"/>
                <w:szCs w:val="18"/>
              </w:rPr>
              <w:t>责令停产整顿，对煤矿企业处30万元以上 40万元以下的罚款；对其直接负责的主管人员和其他直接责任人员处3万元以上5万元以下的罚款。</w:t>
            </w:r>
          </w:p>
        </w:tc>
      </w:tr>
      <w:tr w14:paraId="634F82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1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EC4CE0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C45766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739428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44F779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C54A08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5B84219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超过责令改正期限10日以上的。</w:t>
            </w:r>
          </w:p>
        </w:tc>
        <w:tc>
          <w:tcPr>
            <w:tcW w:w="2655" w:type="dxa"/>
            <w:tcBorders>
              <w:tl2br w:val="nil"/>
              <w:tr2bl w:val="nil"/>
            </w:tcBorders>
            <w:shd w:val="clear" w:color="auto" w:fill="auto"/>
            <w:tcMar>
              <w:top w:w="15" w:type="dxa"/>
              <w:left w:w="15" w:type="dxa"/>
              <w:right w:w="15" w:type="dxa"/>
            </w:tcMar>
            <w:vAlign w:val="center"/>
          </w:tcPr>
          <w:p w14:paraId="7052EB7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6"/>
                <w:sz w:val="18"/>
                <w:szCs w:val="18"/>
              </w:rPr>
            </w:pPr>
            <w:r>
              <w:rPr>
                <w:rFonts w:hint="eastAsia" w:ascii="仿宋_GB2312" w:hAnsi="宋体" w:eastAsia="仿宋_GB2312" w:cs="仿宋_GB2312"/>
                <w:spacing w:val="-6"/>
                <w:sz w:val="18"/>
                <w:szCs w:val="18"/>
              </w:rPr>
              <w:t>责令停产整顿，对煤矿企业处40万元以上 50万元以下的罚款；对其直接负责的主管人员和其他直接责任人员处3万元以上5万元以下的罚款。</w:t>
            </w:r>
          </w:p>
        </w:tc>
      </w:tr>
      <w:tr w14:paraId="455326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12092F2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del w:id="1751" w:author="LV" w:date="2026-07-14T16:39:49Z">
              <w:r>
                <w:rPr>
                  <w:rFonts w:hint="default" w:ascii="仿宋_GB2312" w:hAnsi="宋体" w:eastAsia="仿宋_GB2312" w:cs="仿宋_GB2312"/>
                  <w:kern w:val="0"/>
                  <w:sz w:val="18"/>
                  <w:szCs w:val="18"/>
                  <w:lang w:val="en-US" w:bidi="ar"/>
                </w:rPr>
                <w:delText>8</w:delText>
              </w:r>
            </w:del>
            <w:del w:id="1752" w:author="LV" w:date="2026-07-14T16:39:49Z">
              <w:r>
                <w:rPr>
                  <w:rFonts w:hint="default" w:ascii="仿宋_GB2312" w:hAnsi="宋体" w:eastAsia="仿宋_GB2312" w:cs="仿宋_GB2312"/>
                  <w:kern w:val="0"/>
                  <w:sz w:val="18"/>
                  <w:szCs w:val="18"/>
                  <w:lang w:val="en-US" w:eastAsia="zh-CN" w:bidi="ar"/>
                </w:rPr>
                <w:delText>1</w:delText>
              </w:r>
            </w:del>
            <w:ins w:id="1753" w:author="LV" w:date="2026-07-14T16:39:49Z">
              <w:r>
                <w:rPr>
                  <w:rFonts w:hint="eastAsia" w:ascii="仿宋_GB2312" w:hAnsi="宋体" w:eastAsia="仿宋_GB2312" w:cs="仿宋_GB2312"/>
                  <w:kern w:val="0"/>
                  <w:sz w:val="18"/>
                  <w:szCs w:val="18"/>
                  <w:lang w:val="en-US" w:eastAsia="zh-CN" w:bidi="ar"/>
                </w:rPr>
                <w:t>92</w:t>
              </w:r>
            </w:ins>
          </w:p>
        </w:tc>
        <w:tc>
          <w:tcPr>
            <w:tcW w:w="1005" w:type="dxa"/>
            <w:vMerge w:val="restart"/>
            <w:tcBorders>
              <w:tl2br w:val="nil"/>
              <w:tr2bl w:val="nil"/>
            </w:tcBorders>
            <w:shd w:val="clear" w:color="auto" w:fill="auto"/>
            <w:tcMar>
              <w:top w:w="15" w:type="dxa"/>
              <w:left w:w="15" w:type="dxa"/>
              <w:right w:w="15" w:type="dxa"/>
            </w:tcMar>
            <w:vAlign w:val="center"/>
          </w:tcPr>
          <w:p w14:paraId="61F3CDA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煤矿及其主要负责人、其他负责人、安全管理人员发现从业人员违章作业不加制止的</w:t>
            </w:r>
          </w:p>
        </w:tc>
        <w:tc>
          <w:tcPr>
            <w:tcW w:w="3667" w:type="dxa"/>
            <w:vMerge w:val="restart"/>
            <w:tcBorders>
              <w:tl2br w:val="nil"/>
              <w:tr2bl w:val="nil"/>
            </w:tcBorders>
            <w:shd w:val="clear" w:color="auto" w:fill="auto"/>
            <w:tcMar>
              <w:top w:w="15" w:type="dxa"/>
              <w:left w:w="15" w:type="dxa"/>
              <w:right w:w="15" w:type="dxa"/>
            </w:tcMar>
            <w:vAlign w:val="center"/>
          </w:tcPr>
          <w:p w14:paraId="0A66C64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w:t>
            </w:r>
          </w:p>
          <w:p w14:paraId="27B7A0D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第二十一条 生产经营单位的主要负责对本单位安全生产工作负有下列职责：（一）组织建立并实安全风险分级管控和隐患排查治理双重预防工作机制，促、检查本单位的安全生产工作，及时消除生产安全事故隐患。</w:t>
            </w:r>
          </w:p>
          <w:p w14:paraId="24762DF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第二十五条 生产经营单位的安全生产理机构以及安全生产管理人员履行下列职责：（一）制止和纠正违章指挥、强令冒险作业、违反操作规程的行为。</w:t>
            </w:r>
          </w:p>
          <w:p w14:paraId="6669133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第五十七条</w:t>
            </w:r>
            <w:r>
              <w:rPr>
                <w:rFonts w:ascii="仿宋_GB2312" w:hAnsi="宋体" w:eastAsia="仿宋_GB2312" w:cs="仿宋_GB2312"/>
                <w:kern w:val="0"/>
                <w:sz w:val="18"/>
                <w:szCs w:val="18"/>
                <w:lang w:bidi="ar"/>
              </w:rPr>
              <w:t xml:space="preserve"> </w:t>
            </w:r>
            <w:r>
              <w:rPr>
                <w:rFonts w:hint="eastAsia" w:ascii="仿宋_GB2312" w:hAnsi="宋体" w:eastAsia="仿宋_GB2312" w:cs="仿宋_GB2312"/>
                <w:kern w:val="0"/>
                <w:sz w:val="18"/>
                <w:szCs w:val="18"/>
                <w:lang w:bidi="ar"/>
              </w:rPr>
              <w:t>从业人员在作业过程中，当严格落实岗位安全责任，遵守本单位的安全生产规章制度和操作规程，服从管理，正确佩戴和使用劳动防护用品。</w:t>
            </w:r>
          </w:p>
        </w:tc>
        <w:tc>
          <w:tcPr>
            <w:tcW w:w="4082" w:type="dxa"/>
            <w:vMerge w:val="restart"/>
            <w:tcBorders>
              <w:tl2br w:val="nil"/>
              <w:tr2bl w:val="nil"/>
            </w:tcBorders>
            <w:shd w:val="clear" w:color="auto" w:fill="auto"/>
            <w:tcMar>
              <w:top w:w="15" w:type="dxa"/>
              <w:left w:w="15" w:type="dxa"/>
              <w:right w:w="15" w:type="dxa"/>
            </w:tcMar>
            <w:vAlign w:val="center"/>
          </w:tcPr>
          <w:p w14:paraId="4EF0417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《安全生产违法行为行政处罚办法》（应急部令第18号）第七十三条第三项  生产经营单位及其主要负责人或者其他人员有下列行为之一的，给予警告，并可以对生产经营单位处1万元以上5万元以下的罚款，对其主要负责人、其他有关人员处1000元以上2万元以下的罚款：（三）发现从业人员违章作业不加制止的</w:t>
            </w:r>
          </w:p>
        </w:tc>
        <w:tc>
          <w:tcPr>
            <w:tcW w:w="459" w:type="dxa"/>
            <w:tcBorders>
              <w:tl2br w:val="nil"/>
              <w:tr2bl w:val="nil"/>
            </w:tcBorders>
            <w:shd w:val="clear" w:color="auto" w:fill="auto"/>
            <w:noWrap/>
            <w:tcMar>
              <w:top w:w="15" w:type="dxa"/>
              <w:left w:w="15" w:type="dxa"/>
              <w:right w:w="15" w:type="dxa"/>
            </w:tcMar>
            <w:vAlign w:val="center"/>
          </w:tcPr>
          <w:p w14:paraId="6C77AB1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132D6E5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8264B9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50B18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ADF415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8FC850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C2148F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B67AA9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CA4BC3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631D6C0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3099D75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C5D48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4A3AEC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1E80EC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3ED2AB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F89A83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F64D73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5D63CB8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1377E15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57538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317787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69A015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533908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5B6AD2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4BFD80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7E6D46B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发现从业人员违章作业不加制止的，情节轻微的。</w:t>
            </w:r>
          </w:p>
        </w:tc>
        <w:tc>
          <w:tcPr>
            <w:tcW w:w="2655" w:type="dxa"/>
            <w:tcBorders>
              <w:tl2br w:val="nil"/>
              <w:tr2bl w:val="nil"/>
            </w:tcBorders>
            <w:shd w:val="clear" w:color="auto" w:fill="auto"/>
            <w:tcMar>
              <w:top w:w="15" w:type="dxa"/>
              <w:left w:w="15" w:type="dxa"/>
              <w:right w:w="15" w:type="dxa"/>
            </w:tcMar>
            <w:vAlign w:val="center"/>
          </w:tcPr>
          <w:p w14:paraId="11E2D62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pacing w:val="-6"/>
                <w:sz w:val="18"/>
                <w:szCs w:val="18"/>
              </w:rPr>
            </w:pPr>
            <w:r>
              <w:rPr>
                <w:rFonts w:hint="eastAsia" w:ascii="仿宋_GB2312" w:hAnsi="宋体" w:eastAsia="仿宋_GB2312" w:cs="仿宋_GB2312"/>
                <w:spacing w:val="-6"/>
                <w:sz w:val="18"/>
                <w:szCs w:val="18"/>
              </w:rPr>
              <w:t>给予警告，并可以对生产经营单位处1万元以上2万元以下罚款，对其主要负责人、其他有关人员处1000元以上5000元以下的罚款。</w:t>
            </w:r>
          </w:p>
        </w:tc>
      </w:tr>
      <w:tr w14:paraId="6ABEF1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0DDE5E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191568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EE1D78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6BA9F5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245267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0E8DA0F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发现从业人员违章作业不加制止的，未形成严重后果的。</w:t>
            </w:r>
          </w:p>
        </w:tc>
        <w:tc>
          <w:tcPr>
            <w:tcW w:w="2655" w:type="dxa"/>
            <w:tcBorders>
              <w:tl2br w:val="nil"/>
              <w:tr2bl w:val="nil"/>
            </w:tcBorders>
            <w:shd w:val="clear" w:color="auto" w:fill="auto"/>
            <w:tcMar>
              <w:top w:w="15" w:type="dxa"/>
              <w:left w:w="15" w:type="dxa"/>
              <w:right w:w="15" w:type="dxa"/>
            </w:tcMar>
            <w:vAlign w:val="center"/>
          </w:tcPr>
          <w:p w14:paraId="54EF8FA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pacing w:val="-6"/>
                <w:sz w:val="18"/>
                <w:szCs w:val="18"/>
              </w:rPr>
            </w:pPr>
            <w:r>
              <w:rPr>
                <w:rFonts w:hint="eastAsia" w:ascii="仿宋_GB2312" w:hAnsi="宋体" w:eastAsia="仿宋_GB2312" w:cs="仿宋_GB2312"/>
                <w:spacing w:val="-6"/>
                <w:sz w:val="18"/>
                <w:szCs w:val="18"/>
              </w:rPr>
              <w:t>给予警告，并可以对生产经营单位处2万元以上4万元以下罚款，对其主要负责人、其他有关人员处5000元以上7000元以下的罚款。</w:t>
            </w:r>
          </w:p>
        </w:tc>
      </w:tr>
      <w:tr w14:paraId="4B9478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0E92A5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CE53E9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DF87A5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F43B91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EB1B85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42AF0B8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发现从业人员违章作业不加制止的，造成安全隐患的。</w:t>
            </w:r>
          </w:p>
        </w:tc>
        <w:tc>
          <w:tcPr>
            <w:tcW w:w="2655" w:type="dxa"/>
            <w:tcBorders>
              <w:tl2br w:val="nil"/>
              <w:tr2bl w:val="nil"/>
            </w:tcBorders>
            <w:shd w:val="clear" w:color="auto" w:fill="auto"/>
            <w:tcMar>
              <w:top w:w="15" w:type="dxa"/>
              <w:left w:w="15" w:type="dxa"/>
              <w:right w:w="15" w:type="dxa"/>
            </w:tcMar>
            <w:vAlign w:val="center"/>
          </w:tcPr>
          <w:p w14:paraId="11B1B25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pacing w:val="-6"/>
                <w:sz w:val="18"/>
                <w:szCs w:val="18"/>
              </w:rPr>
            </w:pPr>
            <w:r>
              <w:rPr>
                <w:rFonts w:hint="eastAsia" w:ascii="仿宋_GB2312" w:hAnsi="宋体" w:eastAsia="仿宋_GB2312" w:cs="仿宋_GB2312"/>
                <w:spacing w:val="-6"/>
                <w:sz w:val="18"/>
                <w:szCs w:val="18"/>
              </w:rPr>
              <w:t>给予警告，并可以对生产经营单位处4万元以上5万元以下罚款，对其主要负责人、其他有关人员处7000元以上1万元以下的罚款。</w:t>
            </w:r>
          </w:p>
        </w:tc>
      </w:tr>
      <w:tr w14:paraId="47D97B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19A7918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del w:id="1754" w:author="LV" w:date="2026-07-14T16:39:53Z">
              <w:r>
                <w:rPr>
                  <w:rFonts w:hint="default" w:ascii="仿宋_GB2312" w:hAnsi="宋体" w:eastAsia="仿宋_GB2312" w:cs="仿宋_GB2312"/>
                  <w:kern w:val="0"/>
                  <w:sz w:val="18"/>
                  <w:szCs w:val="18"/>
                  <w:lang w:val="en-US" w:bidi="ar"/>
                </w:rPr>
                <w:delText>8</w:delText>
              </w:r>
            </w:del>
            <w:del w:id="1755" w:author="LV" w:date="2026-07-14T16:39:53Z">
              <w:r>
                <w:rPr>
                  <w:rFonts w:hint="default" w:ascii="仿宋_GB2312" w:hAnsi="宋体" w:eastAsia="仿宋_GB2312" w:cs="仿宋_GB2312"/>
                  <w:kern w:val="0"/>
                  <w:sz w:val="18"/>
                  <w:szCs w:val="18"/>
                  <w:lang w:val="en-US" w:eastAsia="zh-CN" w:bidi="ar"/>
                </w:rPr>
                <w:delText>2</w:delText>
              </w:r>
            </w:del>
            <w:ins w:id="1756" w:author="LV" w:date="2026-07-14T16:39:53Z">
              <w:r>
                <w:rPr>
                  <w:rFonts w:hint="eastAsia" w:ascii="仿宋_GB2312" w:hAnsi="宋体" w:eastAsia="仿宋_GB2312" w:cs="仿宋_GB2312"/>
                  <w:kern w:val="0"/>
                  <w:sz w:val="18"/>
                  <w:szCs w:val="18"/>
                  <w:lang w:val="en-US" w:eastAsia="zh-CN" w:bidi="ar"/>
                </w:rPr>
                <w:t>93</w:t>
              </w:r>
            </w:ins>
          </w:p>
        </w:tc>
        <w:tc>
          <w:tcPr>
            <w:tcW w:w="1005" w:type="dxa"/>
            <w:vMerge w:val="restart"/>
            <w:tcBorders>
              <w:tl2br w:val="nil"/>
              <w:tr2bl w:val="nil"/>
            </w:tcBorders>
            <w:shd w:val="clear" w:color="auto" w:fill="auto"/>
            <w:tcMar>
              <w:top w:w="15" w:type="dxa"/>
              <w:left w:w="15" w:type="dxa"/>
              <w:right w:w="15" w:type="dxa"/>
            </w:tcMar>
            <w:vAlign w:val="center"/>
          </w:tcPr>
          <w:p w14:paraId="6FB25C0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煤矿及其主要负责人或者其他人员对被查或者扣押的设施、设备、器材、危险物品和作业场所，擅自启封或者使用的</w:t>
            </w:r>
          </w:p>
        </w:tc>
        <w:tc>
          <w:tcPr>
            <w:tcW w:w="3667" w:type="dxa"/>
            <w:vMerge w:val="restart"/>
            <w:tcBorders>
              <w:tl2br w:val="nil"/>
              <w:tr2bl w:val="nil"/>
            </w:tcBorders>
            <w:shd w:val="clear" w:color="auto" w:fill="auto"/>
            <w:tcMar>
              <w:top w:w="15" w:type="dxa"/>
              <w:left w:w="15" w:type="dxa"/>
              <w:right w:w="15" w:type="dxa"/>
            </w:tcMar>
            <w:vAlign w:val="center"/>
          </w:tcPr>
          <w:p w14:paraId="16AEF60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 xml:space="preserve">《煤矿安全生产条例》第四十四条第四项  县级以上地方人民政府负有煤矿安全生产监督管理职责的部门依法对煤矿企业进行监督检查，并将煤矿现场安全生产状况作为监督检查重点内容。监督检查可以采取以下措施：（四）对有根据认为不符合保障安全生产的国家标准或者行业标准的设施、设备、器材予以查封或者扣押。 </w:t>
            </w:r>
          </w:p>
        </w:tc>
        <w:tc>
          <w:tcPr>
            <w:tcW w:w="4082" w:type="dxa"/>
            <w:vMerge w:val="restart"/>
            <w:tcBorders>
              <w:tl2br w:val="nil"/>
              <w:tr2bl w:val="nil"/>
            </w:tcBorders>
            <w:shd w:val="clear" w:color="auto" w:fill="auto"/>
            <w:tcMar>
              <w:top w:w="15" w:type="dxa"/>
              <w:left w:w="15" w:type="dxa"/>
              <w:right w:w="15" w:type="dxa"/>
            </w:tcMar>
            <w:vAlign w:val="center"/>
          </w:tcPr>
          <w:p w14:paraId="47346FD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《安全生产违法行为行政处罚办法》（应急部令第18号）第七十三条第五项  生产经营单位及其主要负责人或者其他人员有下列行为之一的，给予警告，并可以对生产经营单位处1万元以上5万元以下的罚款，对其主要负责人、其他有关人员处1000元以上2万元以下的罚款：（五）对被查封或者扣押的设施、设备、器材、危险物品和作业场所，擅自启封或者使用的</w:t>
            </w:r>
          </w:p>
        </w:tc>
        <w:tc>
          <w:tcPr>
            <w:tcW w:w="459" w:type="dxa"/>
            <w:tcBorders>
              <w:tl2br w:val="nil"/>
              <w:tr2bl w:val="nil"/>
            </w:tcBorders>
            <w:shd w:val="clear" w:color="auto" w:fill="auto"/>
            <w:noWrap/>
            <w:tcMar>
              <w:top w:w="15" w:type="dxa"/>
              <w:left w:w="15" w:type="dxa"/>
              <w:right w:w="15" w:type="dxa"/>
            </w:tcMar>
            <w:vAlign w:val="center"/>
          </w:tcPr>
          <w:p w14:paraId="258FACF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3994D9D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343B14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4B094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6F2417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E673AD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767C63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05227E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8C10DB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046C781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616CD6E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225A7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8CA882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112807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66F8F9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17CD6A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78713E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38CF5CD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786579B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0E03E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509254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448CB5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6E895A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BB260C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9EA3FA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08D13D9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对被查封或者扣押的设施、设备、器材、危险物品和作业场所，有1处擅自启封或者使用的。</w:t>
            </w:r>
          </w:p>
        </w:tc>
        <w:tc>
          <w:tcPr>
            <w:tcW w:w="2655" w:type="dxa"/>
            <w:tcBorders>
              <w:tl2br w:val="nil"/>
              <w:tr2bl w:val="nil"/>
            </w:tcBorders>
            <w:shd w:val="clear" w:color="auto" w:fill="auto"/>
            <w:tcMar>
              <w:top w:w="15" w:type="dxa"/>
              <w:left w:w="15" w:type="dxa"/>
              <w:right w:w="15" w:type="dxa"/>
            </w:tcMar>
            <w:vAlign w:val="center"/>
          </w:tcPr>
          <w:p w14:paraId="25037A0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pacing w:val="-6"/>
                <w:sz w:val="18"/>
                <w:szCs w:val="18"/>
              </w:rPr>
            </w:pPr>
            <w:r>
              <w:rPr>
                <w:rFonts w:hint="eastAsia" w:ascii="仿宋_GB2312" w:hAnsi="宋体" w:eastAsia="仿宋_GB2312" w:cs="仿宋_GB2312"/>
                <w:spacing w:val="-6"/>
                <w:sz w:val="18"/>
                <w:szCs w:val="18"/>
              </w:rPr>
              <w:t>给予警告，并可以对生产经营单位处1万元以上2万元以下罚款，对其主要负责人、其他有关人员处1000元以上5000元以下的罚款。</w:t>
            </w:r>
          </w:p>
        </w:tc>
      </w:tr>
      <w:tr w14:paraId="256FCE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171617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9ACE19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B66931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9F4527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7B7D9A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71966B6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对被查封或者扣押的设施、设备、器材、危险物品和作业场所，有2处擅自启封或者使用的。</w:t>
            </w:r>
          </w:p>
        </w:tc>
        <w:tc>
          <w:tcPr>
            <w:tcW w:w="2655" w:type="dxa"/>
            <w:tcBorders>
              <w:tl2br w:val="nil"/>
              <w:tr2bl w:val="nil"/>
            </w:tcBorders>
            <w:shd w:val="clear" w:color="auto" w:fill="auto"/>
            <w:tcMar>
              <w:top w:w="15" w:type="dxa"/>
              <w:left w:w="15" w:type="dxa"/>
              <w:right w:w="15" w:type="dxa"/>
            </w:tcMar>
            <w:vAlign w:val="center"/>
          </w:tcPr>
          <w:p w14:paraId="2AE38DC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pacing w:val="-6"/>
                <w:sz w:val="18"/>
                <w:szCs w:val="18"/>
              </w:rPr>
            </w:pPr>
            <w:r>
              <w:rPr>
                <w:rFonts w:hint="eastAsia" w:ascii="仿宋_GB2312" w:hAnsi="宋体" w:eastAsia="仿宋_GB2312" w:cs="仿宋_GB2312"/>
                <w:spacing w:val="-6"/>
                <w:sz w:val="18"/>
                <w:szCs w:val="18"/>
              </w:rPr>
              <w:t>给予警告，并可以对生产经营单位处2万元以上4万元以下罚款，对其主要负责人、其他有关人员处5000元以上7000元以下的罚款。</w:t>
            </w:r>
          </w:p>
        </w:tc>
      </w:tr>
      <w:tr w14:paraId="189F42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85F3A1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3C755A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56C130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30E285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E8A50D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4FC0A83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对被查封或者扣押的设施、设备、器材、危险物品和作业场所，有3处及以上擅自启封或者使用的。</w:t>
            </w:r>
          </w:p>
        </w:tc>
        <w:tc>
          <w:tcPr>
            <w:tcW w:w="2655" w:type="dxa"/>
            <w:tcBorders>
              <w:tl2br w:val="nil"/>
              <w:tr2bl w:val="nil"/>
            </w:tcBorders>
            <w:shd w:val="clear" w:color="auto" w:fill="auto"/>
            <w:tcMar>
              <w:top w:w="15" w:type="dxa"/>
              <w:left w:w="15" w:type="dxa"/>
              <w:right w:w="15" w:type="dxa"/>
            </w:tcMar>
            <w:vAlign w:val="center"/>
          </w:tcPr>
          <w:p w14:paraId="3B655C9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pacing w:val="-6"/>
                <w:sz w:val="18"/>
                <w:szCs w:val="18"/>
              </w:rPr>
            </w:pPr>
            <w:r>
              <w:rPr>
                <w:rFonts w:hint="eastAsia" w:ascii="仿宋_GB2312" w:hAnsi="宋体" w:eastAsia="仿宋_GB2312" w:cs="仿宋_GB2312"/>
                <w:spacing w:val="-6"/>
                <w:sz w:val="18"/>
                <w:szCs w:val="18"/>
              </w:rPr>
              <w:t>给予警告，并可以对生产经营单位处4万元以上5万元以下罚款，对其主要负责人、其他有关人员处7000元以上1万元以下的罚款。</w:t>
            </w:r>
          </w:p>
        </w:tc>
      </w:tr>
      <w:tr w14:paraId="0D2711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7225D51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hint="default" w:ascii="仿宋_GB2312" w:hAnsi="宋体" w:eastAsia="仿宋_GB2312" w:cs="仿宋_GB2312"/>
                <w:sz w:val="18"/>
                <w:szCs w:val="18"/>
                <w:lang w:val="en-US" w:eastAsia="zh-CN"/>
              </w:rPr>
            </w:pPr>
            <w:del w:id="1757" w:author="LV" w:date="2026-07-14T16:39:57Z">
              <w:r>
                <w:rPr>
                  <w:rFonts w:hint="default" w:ascii="仿宋_GB2312" w:hAnsi="宋体" w:eastAsia="仿宋_GB2312" w:cs="仿宋_GB2312"/>
                  <w:sz w:val="18"/>
                  <w:szCs w:val="18"/>
                  <w:lang w:val="en-US" w:eastAsia="zh-CN"/>
                </w:rPr>
                <w:delText>83</w:delText>
              </w:r>
            </w:del>
            <w:ins w:id="1758" w:author="LV" w:date="2026-07-14T16:39:57Z">
              <w:r>
                <w:rPr>
                  <w:rFonts w:hint="eastAsia" w:ascii="仿宋_GB2312" w:hAnsi="宋体" w:eastAsia="仿宋_GB2312" w:cs="仿宋_GB2312"/>
                  <w:sz w:val="18"/>
                  <w:szCs w:val="18"/>
                  <w:lang w:val="en-US" w:eastAsia="zh-CN"/>
                </w:rPr>
                <w:t>94</w:t>
              </w:r>
            </w:ins>
          </w:p>
        </w:tc>
        <w:tc>
          <w:tcPr>
            <w:tcW w:w="1005" w:type="dxa"/>
            <w:vMerge w:val="restart"/>
            <w:tcBorders>
              <w:tl2br w:val="nil"/>
              <w:tr2bl w:val="nil"/>
            </w:tcBorders>
            <w:shd w:val="clear" w:color="auto" w:fill="auto"/>
            <w:tcMar>
              <w:top w:w="15" w:type="dxa"/>
              <w:left w:w="15" w:type="dxa"/>
              <w:right w:w="15" w:type="dxa"/>
            </w:tcMar>
            <w:vAlign w:val="center"/>
          </w:tcPr>
          <w:p w14:paraId="5679C34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hint="eastAsia" w:ascii="仿宋_GB2312" w:hAnsi="宋体" w:eastAsia="仿宋_GB2312" w:cs="仿宋_GB2312"/>
                <w:sz w:val="18"/>
                <w:szCs w:val="18"/>
              </w:rPr>
              <w:t>煤矿及其主要负责人或者其他人员对被查或者扣押的设施、设备、器材、危险物品和作业场所，擅自启封或者使用，拒不改正的</w:t>
            </w:r>
          </w:p>
        </w:tc>
        <w:tc>
          <w:tcPr>
            <w:tcW w:w="3667" w:type="dxa"/>
            <w:vMerge w:val="restart"/>
            <w:tcBorders>
              <w:tl2br w:val="nil"/>
              <w:tr2bl w:val="nil"/>
            </w:tcBorders>
            <w:shd w:val="clear" w:color="auto" w:fill="auto"/>
            <w:tcMar>
              <w:top w:w="15" w:type="dxa"/>
              <w:left w:w="15" w:type="dxa"/>
              <w:right w:w="15" w:type="dxa"/>
            </w:tcMar>
            <w:vAlign w:val="center"/>
          </w:tcPr>
          <w:p w14:paraId="4B491D2C">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sz w:val="18"/>
                <w:szCs w:val="18"/>
              </w:rPr>
            </w:pPr>
            <w:r>
              <w:rPr>
                <w:rFonts w:hint="eastAsia" w:ascii="仿宋_GB2312" w:hAnsi="宋体" w:eastAsia="仿宋_GB2312" w:cs="仿宋_GB2312"/>
                <w:sz w:val="18"/>
                <w:szCs w:val="18"/>
              </w:rPr>
              <w:t>《安全生产法》第六十五条第四项  应急管理部门和其他负有安全生产监督管理职责的部门依法开展安全生产行政执法工作，对生产经营单位执行有关安全生产的法律、法规和国家标准或者行业标准的情况进行监督检查，行使以下职权：（四）对有根据认为不符合保障安全生产的国家标准或者行业标准的设施、设备、器材以及违法生产、储存、使用、经营、运输的危险物品予以查封或者扣押，对违法生产、储存、使用、经营危险物品的作业场所予以查封，并依法作出处理决定。</w:t>
            </w:r>
          </w:p>
          <w:p w14:paraId="319FBD1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hint="eastAsia" w:ascii="仿宋_GB2312" w:hAnsi="宋体" w:eastAsia="仿宋_GB2312" w:cs="仿宋_GB2312"/>
                <w:sz w:val="18"/>
                <w:szCs w:val="18"/>
              </w:rPr>
              <w:t xml:space="preserve">《煤矿安全生产条例》第四十四条第四项  县级以上地方人民政府负有煤矿安全生产监督管理职责的部门依法对煤矿企业进行监督检查，并将煤矿现场安全生产状况作为监督检查重点内容。监督检查可以采取以下措施：（四）对有根据认为不符合保障安全生产的国家标准或者行业标准的设施、设备、器材予以查封或者扣押。 </w:t>
            </w:r>
          </w:p>
        </w:tc>
        <w:tc>
          <w:tcPr>
            <w:tcW w:w="4082" w:type="dxa"/>
            <w:vMerge w:val="restart"/>
            <w:tcBorders>
              <w:tl2br w:val="nil"/>
              <w:tr2bl w:val="nil"/>
            </w:tcBorders>
            <w:shd w:val="clear" w:color="auto" w:fill="auto"/>
            <w:tcMar>
              <w:top w:w="15" w:type="dxa"/>
              <w:left w:w="15" w:type="dxa"/>
              <w:right w:w="15" w:type="dxa"/>
            </w:tcMar>
            <w:vAlign w:val="center"/>
          </w:tcPr>
          <w:p w14:paraId="0A38A9B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hint="eastAsia" w:ascii="仿宋_GB2312" w:hAnsi="宋体" w:eastAsia="仿宋_GB2312" w:cs="仿宋_GB2312"/>
                <w:sz w:val="18"/>
                <w:szCs w:val="18"/>
              </w:rPr>
              <w:t>《煤矿安全生产条例》第六十六条第二项  煤矿企业有下列行为之一的，责令改正；拒不改正的，处10万元以上20万元以下的罚款；对其直接负责的主管人员和其他直接责任人员处1万元以上2万元以下的罚款：（二）违反本条例第四十四条第一款规定，擅自启封或者使用被查封、扣押的设施、设备、器材的。</w:t>
            </w:r>
          </w:p>
        </w:tc>
        <w:tc>
          <w:tcPr>
            <w:tcW w:w="459" w:type="dxa"/>
            <w:tcBorders>
              <w:tl2br w:val="nil"/>
              <w:tr2bl w:val="nil"/>
            </w:tcBorders>
            <w:shd w:val="clear" w:color="auto" w:fill="auto"/>
            <w:noWrap/>
            <w:tcMar>
              <w:top w:w="15" w:type="dxa"/>
              <w:left w:w="15" w:type="dxa"/>
              <w:right w:w="15" w:type="dxa"/>
            </w:tcMar>
            <w:vAlign w:val="center"/>
          </w:tcPr>
          <w:p w14:paraId="356D530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2C6CCFC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355986E">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474C93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98165C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EED8F3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8C985E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E7FD0B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21428A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508E1A4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5B777F9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5A0E82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8F5CF0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741F55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E7A82D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C7CBEC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B8C502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7619973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7423483F">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097939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1"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3729DA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D060E2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701598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BB0888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6CD748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263AD62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超过责令改正期限5日以下的。</w:t>
            </w:r>
          </w:p>
        </w:tc>
        <w:tc>
          <w:tcPr>
            <w:tcW w:w="2655" w:type="dxa"/>
            <w:tcBorders>
              <w:tl2br w:val="nil"/>
              <w:tr2bl w:val="nil"/>
            </w:tcBorders>
            <w:shd w:val="clear" w:color="auto" w:fill="auto"/>
            <w:tcMar>
              <w:top w:w="15" w:type="dxa"/>
              <w:left w:w="15" w:type="dxa"/>
              <w:right w:w="15" w:type="dxa"/>
            </w:tcMar>
            <w:vAlign w:val="center"/>
          </w:tcPr>
          <w:p w14:paraId="3712015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6"/>
                <w:sz w:val="18"/>
                <w:szCs w:val="18"/>
              </w:rPr>
            </w:pPr>
            <w:r>
              <w:rPr>
                <w:rFonts w:hint="eastAsia" w:ascii="仿宋_GB2312" w:hAnsi="宋体" w:eastAsia="仿宋_GB2312" w:cs="仿宋_GB2312"/>
                <w:spacing w:val="-6"/>
                <w:sz w:val="18"/>
                <w:szCs w:val="18"/>
              </w:rPr>
              <w:t>对煤矿企业处10万元以上13万元以下罚款；对其直接负责的主管人员和其他直接责任人员处1万元以上2万元以下的罚款。</w:t>
            </w:r>
          </w:p>
        </w:tc>
      </w:tr>
      <w:tr w14:paraId="12E9A6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1"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49E28E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003666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F7AA5D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F8EADA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84E5A3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77D606E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超过责令改正期限5日以上10日以下的。</w:t>
            </w:r>
          </w:p>
        </w:tc>
        <w:tc>
          <w:tcPr>
            <w:tcW w:w="2655" w:type="dxa"/>
            <w:tcBorders>
              <w:tl2br w:val="nil"/>
              <w:tr2bl w:val="nil"/>
            </w:tcBorders>
            <w:shd w:val="clear" w:color="auto" w:fill="auto"/>
            <w:tcMar>
              <w:top w:w="15" w:type="dxa"/>
              <w:left w:w="15" w:type="dxa"/>
              <w:right w:w="15" w:type="dxa"/>
            </w:tcMar>
            <w:vAlign w:val="center"/>
          </w:tcPr>
          <w:p w14:paraId="3C85469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6"/>
                <w:sz w:val="18"/>
                <w:szCs w:val="18"/>
              </w:rPr>
            </w:pPr>
            <w:r>
              <w:rPr>
                <w:rFonts w:hint="eastAsia" w:ascii="仿宋_GB2312" w:hAnsi="宋体" w:eastAsia="仿宋_GB2312" w:cs="仿宋_GB2312"/>
                <w:spacing w:val="-6"/>
                <w:sz w:val="18"/>
                <w:szCs w:val="18"/>
              </w:rPr>
              <w:t>对煤矿企业处13万元以上17万元以下罚款；对其直接负责的主管人员和其他直接责任人员处1万元以上2万元以下的罚款。</w:t>
            </w:r>
          </w:p>
        </w:tc>
      </w:tr>
      <w:tr w14:paraId="5E9AEE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1"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AA0408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AE079C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8C9153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763D3B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297E06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429115B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超过责令改正期限10日以上的。</w:t>
            </w:r>
          </w:p>
        </w:tc>
        <w:tc>
          <w:tcPr>
            <w:tcW w:w="2655" w:type="dxa"/>
            <w:tcBorders>
              <w:tl2br w:val="nil"/>
              <w:tr2bl w:val="nil"/>
            </w:tcBorders>
            <w:shd w:val="clear" w:color="auto" w:fill="auto"/>
            <w:tcMar>
              <w:top w:w="15" w:type="dxa"/>
              <w:left w:w="15" w:type="dxa"/>
              <w:right w:w="15" w:type="dxa"/>
            </w:tcMar>
            <w:vAlign w:val="center"/>
          </w:tcPr>
          <w:p w14:paraId="3793688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6"/>
                <w:sz w:val="18"/>
                <w:szCs w:val="18"/>
              </w:rPr>
            </w:pPr>
            <w:r>
              <w:rPr>
                <w:rFonts w:hint="eastAsia" w:ascii="仿宋_GB2312" w:hAnsi="宋体" w:eastAsia="仿宋_GB2312" w:cs="仿宋_GB2312"/>
                <w:spacing w:val="-6"/>
                <w:sz w:val="18"/>
                <w:szCs w:val="18"/>
              </w:rPr>
              <w:t>对煤矿企业处17万元以上20万元以下罚款；对其直接负责的主管人员和其他直接责任人员处1万元以上2万元以下的罚款。</w:t>
            </w:r>
          </w:p>
        </w:tc>
      </w:tr>
      <w:tr w14:paraId="0D3200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700C20A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del w:id="1759" w:author="LV" w:date="2026-07-14T16:40:02Z">
              <w:r>
                <w:rPr>
                  <w:rFonts w:hint="default" w:ascii="仿宋_GB2312" w:hAnsi="宋体" w:eastAsia="仿宋_GB2312" w:cs="仿宋_GB2312"/>
                  <w:kern w:val="0"/>
                  <w:sz w:val="18"/>
                  <w:szCs w:val="18"/>
                  <w:lang w:val="en-US" w:bidi="ar"/>
                </w:rPr>
                <w:delText>84</w:delText>
              </w:r>
            </w:del>
            <w:ins w:id="1760" w:author="LV" w:date="2026-07-14T16:40:02Z">
              <w:r>
                <w:rPr>
                  <w:rFonts w:hint="eastAsia" w:ascii="仿宋_GB2312" w:hAnsi="宋体" w:eastAsia="仿宋_GB2312" w:cs="仿宋_GB2312"/>
                  <w:kern w:val="0"/>
                  <w:sz w:val="18"/>
                  <w:szCs w:val="18"/>
                  <w:lang w:val="en-US" w:eastAsia="zh-CN" w:bidi="ar"/>
                </w:rPr>
                <w:t>95</w:t>
              </w:r>
            </w:ins>
          </w:p>
        </w:tc>
        <w:tc>
          <w:tcPr>
            <w:tcW w:w="1005" w:type="dxa"/>
            <w:vMerge w:val="restart"/>
            <w:tcBorders>
              <w:tl2br w:val="nil"/>
              <w:tr2bl w:val="nil"/>
            </w:tcBorders>
            <w:shd w:val="clear" w:color="auto" w:fill="auto"/>
            <w:tcMar>
              <w:top w:w="15" w:type="dxa"/>
              <w:left w:w="15" w:type="dxa"/>
              <w:right w:w="15" w:type="dxa"/>
            </w:tcMar>
            <w:vAlign w:val="center"/>
          </w:tcPr>
          <w:p w14:paraId="751915F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煤矿及其主要负责人或者其他人员故意供虚假情况或者隐瞒存在的事故隐患以及其他安全问题的</w:t>
            </w:r>
          </w:p>
        </w:tc>
        <w:tc>
          <w:tcPr>
            <w:tcW w:w="3667" w:type="dxa"/>
            <w:vMerge w:val="restart"/>
            <w:tcBorders>
              <w:tl2br w:val="nil"/>
              <w:tr2bl w:val="nil"/>
            </w:tcBorders>
            <w:shd w:val="clear" w:color="auto" w:fill="auto"/>
            <w:tcMar>
              <w:top w:w="15" w:type="dxa"/>
              <w:left w:w="15" w:type="dxa"/>
              <w:right w:w="15" w:type="dxa"/>
            </w:tcMar>
            <w:vAlign w:val="center"/>
          </w:tcPr>
          <w:p w14:paraId="2F7C5F2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《安全生产法》第六十六条 生产经营单位对负有安全产监督管理职责的部门的监督检查人员依法履行监督检查职责，应当予以配合，不得拒绝、阻挠。</w:t>
            </w:r>
          </w:p>
          <w:p w14:paraId="407B431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《煤矿安全生产条例》第三十七条  煤矿企业及其有关人员对县级以上人民政府负有煤矿安全生产监督管理职责的部门、国家矿山安全监察机构及其设在地方的矿山安全监察机构依法履行职责，应当予以配合，按照要求如实提供有关情况，不得隐瞒或者拒绝、阻挠。</w:t>
            </w:r>
          </w:p>
        </w:tc>
        <w:tc>
          <w:tcPr>
            <w:tcW w:w="4082" w:type="dxa"/>
            <w:vMerge w:val="restart"/>
            <w:tcBorders>
              <w:tl2br w:val="nil"/>
              <w:tr2bl w:val="nil"/>
            </w:tcBorders>
            <w:shd w:val="clear" w:color="auto" w:fill="auto"/>
            <w:tcMar>
              <w:top w:w="15" w:type="dxa"/>
              <w:left w:w="15" w:type="dxa"/>
              <w:right w:w="15" w:type="dxa"/>
            </w:tcMar>
            <w:vAlign w:val="center"/>
          </w:tcPr>
          <w:p w14:paraId="0294E3D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《煤矿安全生产条例》第六十六条第一项  煤矿企业有下列行为之一的，责令改正；拒不改正的，处10 万元以上20万元以下的罚款；对其直接负责的主管人员和其他直接责任人员处1万元以上2万元以下的罚款：（一）违反本条例第三十七条第一款规定，隐瞒存在的事故隐患以及其他安全问题的</w:t>
            </w:r>
          </w:p>
          <w:p w14:paraId="7F847D7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违法行为行政处罚办法》为第七十三条第三项：给予警告，并可以对生产经营单位处1万元以上5万元以下的罚款，对其主要负责人、其他有关人员处1000元以上2万元以下的罚款：（六）故意提供虚假情况或者隐瞒存在的事故隐患以及其他安全问题的</w:t>
            </w:r>
          </w:p>
        </w:tc>
        <w:tc>
          <w:tcPr>
            <w:tcW w:w="459" w:type="dxa"/>
            <w:tcBorders>
              <w:tl2br w:val="nil"/>
              <w:tr2bl w:val="nil"/>
            </w:tcBorders>
            <w:shd w:val="clear" w:color="auto" w:fill="auto"/>
            <w:noWrap/>
            <w:tcMar>
              <w:top w:w="15" w:type="dxa"/>
              <w:left w:w="15" w:type="dxa"/>
              <w:right w:w="15" w:type="dxa"/>
            </w:tcMar>
            <w:vAlign w:val="center"/>
          </w:tcPr>
          <w:p w14:paraId="685019F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6C9162D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E72BAD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C3EC2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E94694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5957F1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E7B0F7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495B6B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CC5343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0C25A40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362D20E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BDE1D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AA99DC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C8197A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F419FF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D0DEA0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F33190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464D957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A485ED6">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1614F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3EF16E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8A6A5D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B58C45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D90ABE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48E543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3C8069E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故意提供虚假情况，主动制止未造成严重后果的。</w:t>
            </w:r>
          </w:p>
        </w:tc>
        <w:tc>
          <w:tcPr>
            <w:tcW w:w="2655" w:type="dxa"/>
            <w:tcBorders>
              <w:tl2br w:val="nil"/>
              <w:tr2bl w:val="nil"/>
            </w:tcBorders>
            <w:shd w:val="clear" w:color="auto" w:fill="auto"/>
            <w:tcMar>
              <w:top w:w="15" w:type="dxa"/>
              <w:left w:w="15" w:type="dxa"/>
              <w:right w:w="15" w:type="dxa"/>
            </w:tcMar>
            <w:vAlign w:val="center"/>
          </w:tcPr>
          <w:p w14:paraId="58C6CEC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pacing w:val="-6"/>
                <w:sz w:val="18"/>
                <w:szCs w:val="18"/>
              </w:rPr>
            </w:pPr>
            <w:r>
              <w:rPr>
                <w:rFonts w:hint="eastAsia" w:ascii="仿宋_GB2312" w:hAnsi="宋体" w:eastAsia="仿宋_GB2312" w:cs="仿宋_GB2312"/>
                <w:spacing w:val="-6"/>
                <w:sz w:val="18"/>
                <w:szCs w:val="18"/>
              </w:rPr>
              <w:t>给予警告，并可以对生产经营单位处1万元以上2万元以下罚款，对其主要负责人、其他有关人员处1000元以上5000元以下的罚款。</w:t>
            </w:r>
          </w:p>
        </w:tc>
      </w:tr>
      <w:tr w14:paraId="29A177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B1912C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DE8728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E32D37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24C1C8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CF451A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5CC5DB3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故意提供虚假情况或者隐瞒存在的事故隐患以及其他安全问题的。</w:t>
            </w:r>
          </w:p>
        </w:tc>
        <w:tc>
          <w:tcPr>
            <w:tcW w:w="2655" w:type="dxa"/>
            <w:tcBorders>
              <w:tl2br w:val="nil"/>
              <w:tr2bl w:val="nil"/>
            </w:tcBorders>
            <w:shd w:val="clear" w:color="auto" w:fill="auto"/>
            <w:tcMar>
              <w:top w:w="15" w:type="dxa"/>
              <w:left w:w="15" w:type="dxa"/>
              <w:right w:w="15" w:type="dxa"/>
            </w:tcMar>
            <w:vAlign w:val="center"/>
          </w:tcPr>
          <w:p w14:paraId="0AD1A06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pacing w:val="-6"/>
                <w:sz w:val="18"/>
                <w:szCs w:val="18"/>
              </w:rPr>
            </w:pPr>
            <w:r>
              <w:rPr>
                <w:rFonts w:hint="eastAsia" w:ascii="仿宋_GB2312" w:hAnsi="宋体" w:eastAsia="仿宋_GB2312" w:cs="仿宋_GB2312"/>
                <w:spacing w:val="-6"/>
                <w:sz w:val="18"/>
                <w:szCs w:val="18"/>
              </w:rPr>
              <w:t>给予警告，并可以对生产经营单位处2万元以上4万元以下罚款，对其主要负责人、其他有关人员处5000元以上7000元以下的罚款。</w:t>
            </w:r>
          </w:p>
        </w:tc>
      </w:tr>
      <w:tr w14:paraId="501F35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667C9F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1B8DA0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66EEA6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BF8FC0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6E735A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48233AF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故意提供虚假情况或者隐瞒存在的事故隐患以及其他安全问题的，造成安全事故的。</w:t>
            </w:r>
          </w:p>
        </w:tc>
        <w:tc>
          <w:tcPr>
            <w:tcW w:w="2655" w:type="dxa"/>
            <w:tcBorders>
              <w:tl2br w:val="nil"/>
              <w:tr2bl w:val="nil"/>
            </w:tcBorders>
            <w:shd w:val="clear" w:color="auto" w:fill="auto"/>
            <w:tcMar>
              <w:top w:w="15" w:type="dxa"/>
              <w:left w:w="15" w:type="dxa"/>
              <w:right w:w="15" w:type="dxa"/>
            </w:tcMar>
            <w:vAlign w:val="center"/>
          </w:tcPr>
          <w:p w14:paraId="13EC8B1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pacing w:val="-6"/>
                <w:sz w:val="18"/>
                <w:szCs w:val="18"/>
              </w:rPr>
            </w:pPr>
            <w:r>
              <w:rPr>
                <w:rFonts w:hint="eastAsia" w:ascii="仿宋_GB2312" w:hAnsi="宋体" w:eastAsia="仿宋_GB2312" w:cs="仿宋_GB2312"/>
                <w:spacing w:val="-6"/>
                <w:sz w:val="18"/>
                <w:szCs w:val="18"/>
              </w:rPr>
              <w:t>给予警告，并可以对生产经营单位处4万元以上5万元以下罚款，对其主要负责人、其他有关人员处7000元以上1万元以下的罚款。</w:t>
            </w:r>
          </w:p>
        </w:tc>
      </w:tr>
      <w:tr w14:paraId="4D0317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19A4C65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hint="default" w:ascii="仿宋_GB2312" w:hAnsi="宋体" w:eastAsia="仿宋_GB2312" w:cs="仿宋_GB2312"/>
                <w:sz w:val="18"/>
                <w:szCs w:val="18"/>
                <w:lang w:val="en-US" w:eastAsia="zh-CN"/>
              </w:rPr>
            </w:pPr>
            <w:del w:id="1761" w:author="LV" w:date="2026-07-14T16:40:08Z">
              <w:r>
                <w:rPr>
                  <w:rFonts w:hint="default" w:ascii="仿宋_GB2312" w:hAnsi="宋体" w:eastAsia="仿宋_GB2312" w:cs="仿宋_GB2312"/>
                  <w:sz w:val="18"/>
                  <w:szCs w:val="18"/>
                  <w:lang w:val="en-US" w:eastAsia="zh-CN"/>
                </w:rPr>
                <w:delText>85</w:delText>
              </w:r>
            </w:del>
            <w:ins w:id="1762" w:author="LV" w:date="2026-07-14T16:40:08Z">
              <w:r>
                <w:rPr>
                  <w:rFonts w:hint="eastAsia" w:ascii="仿宋_GB2312" w:hAnsi="宋体" w:eastAsia="仿宋_GB2312" w:cs="仿宋_GB2312"/>
                  <w:sz w:val="18"/>
                  <w:szCs w:val="18"/>
                  <w:lang w:val="en-US" w:eastAsia="zh-CN"/>
                </w:rPr>
                <w:t>96</w:t>
              </w:r>
            </w:ins>
          </w:p>
        </w:tc>
        <w:tc>
          <w:tcPr>
            <w:tcW w:w="1005" w:type="dxa"/>
            <w:vMerge w:val="restart"/>
            <w:tcBorders>
              <w:tl2br w:val="nil"/>
              <w:tr2bl w:val="nil"/>
            </w:tcBorders>
            <w:shd w:val="clear" w:color="auto" w:fill="auto"/>
            <w:tcMar>
              <w:top w:w="15" w:type="dxa"/>
              <w:left w:w="15" w:type="dxa"/>
              <w:right w:w="15" w:type="dxa"/>
            </w:tcMar>
            <w:vAlign w:val="center"/>
          </w:tcPr>
          <w:p w14:paraId="21FA351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hint="eastAsia" w:ascii="仿宋_GB2312" w:hAnsi="宋体" w:eastAsia="仿宋_GB2312" w:cs="仿宋_GB2312"/>
                <w:sz w:val="18"/>
                <w:szCs w:val="18"/>
              </w:rPr>
              <w:t>煤矿及其主要负责人或者其他人员故意供虚假情况或者隐瞒存在的事故隐患以及其他安全问题，拒不改正的</w:t>
            </w:r>
          </w:p>
        </w:tc>
        <w:tc>
          <w:tcPr>
            <w:tcW w:w="3667" w:type="dxa"/>
            <w:vMerge w:val="restart"/>
            <w:tcBorders>
              <w:tl2br w:val="nil"/>
              <w:tr2bl w:val="nil"/>
            </w:tcBorders>
            <w:shd w:val="clear" w:color="auto" w:fill="auto"/>
            <w:tcMar>
              <w:top w:w="15" w:type="dxa"/>
              <w:left w:w="15" w:type="dxa"/>
              <w:right w:w="15" w:type="dxa"/>
            </w:tcMar>
            <w:vAlign w:val="center"/>
          </w:tcPr>
          <w:p w14:paraId="240CE7B8">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sz w:val="18"/>
                <w:szCs w:val="18"/>
              </w:rPr>
            </w:pPr>
            <w:r>
              <w:rPr>
                <w:rFonts w:hint="eastAsia" w:ascii="仿宋_GB2312" w:hAnsi="宋体" w:eastAsia="仿宋_GB2312" w:cs="仿宋_GB2312"/>
                <w:sz w:val="18"/>
                <w:szCs w:val="18"/>
              </w:rPr>
              <w:t xml:space="preserve">《安全生产法》第六十六条  生产经营单位对负有安全生产监督管理职责的部门的监督检查人员依法履行监督检查职责，应当予以配合，不得拒绝、阻挠。 </w:t>
            </w:r>
          </w:p>
          <w:p w14:paraId="3208171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hint="eastAsia" w:ascii="仿宋_GB2312" w:hAnsi="宋体" w:eastAsia="仿宋_GB2312" w:cs="仿宋_GB2312"/>
                <w:sz w:val="18"/>
                <w:szCs w:val="18"/>
              </w:rPr>
              <w:t xml:space="preserve">《煤矿安全生产条例》第三十七条  煤矿企业及其有关人员对县级以上人民政府负有煤矿安全生产监督管理职责的部门、国家矿山安全监察机构及其设在地方的矿山安全监察机构依法履行职责，应当予以配合，按照要求如实提供有关情况，不得隐瞒或者拒绝、阻挠。 </w:t>
            </w:r>
          </w:p>
        </w:tc>
        <w:tc>
          <w:tcPr>
            <w:tcW w:w="4082" w:type="dxa"/>
            <w:vMerge w:val="restart"/>
            <w:tcBorders>
              <w:tl2br w:val="nil"/>
              <w:tr2bl w:val="nil"/>
            </w:tcBorders>
            <w:shd w:val="clear" w:color="auto" w:fill="auto"/>
            <w:tcMar>
              <w:top w:w="15" w:type="dxa"/>
              <w:left w:w="15" w:type="dxa"/>
              <w:right w:w="15" w:type="dxa"/>
            </w:tcMar>
            <w:vAlign w:val="center"/>
          </w:tcPr>
          <w:p w14:paraId="3974F65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hint="eastAsia" w:ascii="仿宋_GB2312" w:hAnsi="宋体" w:eastAsia="仿宋_GB2312" w:cs="仿宋_GB2312"/>
                <w:sz w:val="18"/>
                <w:szCs w:val="18"/>
              </w:rPr>
              <w:t>《煤矿安全生产条例》第六十六条第一项  煤矿企业有下列行为之一的，责令改正；拒不改正的，处10万元以上20万元以下的罚款；对其直接负责的主管人员和其他直接责任人员处1万元以上2万元以下的罚款：（一）违反本条例第三十七条第一款规定，隐瞒存在的事故隐患以及其他安全问题的；</w:t>
            </w:r>
          </w:p>
        </w:tc>
        <w:tc>
          <w:tcPr>
            <w:tcW w:w="459" w:type="dxa"/>
            <w:tcBorders>
              <w:tl2br w:val="nil"/>
              <w:tr2bl w:val="nil"/>
            </w:tcBorders>
            <w:shd w:val="clear" w:color="auto" w:fill="auto"/>
            <w:noWrap/>
            <w:tcMar>
              <w:top w:w="15" w:type="dxa"/>
              <w:left w:w="15" w:type="dxa"/>
              <w:right w:w="15" w:type="dxa"/>
            </w:tcMar>
            <w:vAlign w:val="center"/>
          </w:tcPr>
          <w:p w14:paraId="2286F19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1E11C55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82A118E">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4AD839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DF5A04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9A3D48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388AC9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6199BB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F8C76A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6915D9B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68ABDBF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28BF4E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425E4E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716ED3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B1DC69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A0BCA3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A00DF0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4970ED6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BC1880E">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33E0C5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1"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DF29DC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BC1658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8EC1BE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6AC778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C5EC78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12D6EDB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超过责令改正期限5日以下的。</w:t>
            </w:r>
          </w:p>
        </w:tc>
        <w:tc>
          <w:tcPr>
            <w:tcW w:w="2655" w:type="dxa"/>
            <w:tcBorders>
              <w:tl2br w:val="nil"/>
              <w:tr2bl w:val="nil"/>
            </w:tcBorders>
            <w:shd w:val="clear" w:color="auto" w:fill="auto"/>
            <w:tcMar>
              <w:top w:w="15" w:type="dxa"/>
              <w:left w:w="15" w:type="dxa"/>
              <w:right w:w="15" w:type="dxa"/>
            </w:tcMar>
            <w:vAlign w:val="center"/>
          </w:tcPr>
          <w:p w14:paraId="62F1AF0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6"/>
                <w:sz w:val="18"/>
                <w:szCs w:val="18"/>
              </w:rPr>
            </w:pPr>
            <w:r>
              <w:rPr>
                <w:rFonts w:hint="eastAsia" w:ascii="仿宋_GB2312" w:hAnsi="宋体" w:eastAsia="仿宋_GB2312" w:cs="仿宋_GB2312"/>
                <w:spacing w:val="-6"/>
                <w:sz w:val="18"/>
                <w:szCs w:val="18"/>
              </w:rPr>
              <w:t>对煤矿企业处10万元以上13万元以下罚款；对其直接负责的主管人员和其他直接责任人员处1万元以上2万元以下的罚款。</w:t>
            </w:r>
          </w:p>
        </w:tc>
      </w:tr>
      <w:tr w14:paraId="52DD3C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1"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7E02D1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EDDA54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28FA48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F3DB8D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142934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7F83E19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超过责令改正期限5日以上10日以下的。</w:t>
            </w:r>
          </w:p>
        </w:tc>
        <w:tc>
          <w:tcPr>
            <w:tcW w:w="2655" w:type="dxa"/>
            <w:tcBorders>
              <w:tl2br w:val="nil"/>
              <w:tr2bl w:val="nil"/>
            </w:tcBorders>
            <w:shd w:val="clear" w:color="auto" w:fill="auto"/>
            <w:tcMar>
              <w:top w:w="15" w:type="dxa"/>
              <w:left w:w="15" w:type="dxa"/>
              <w:right w:w="15" w:type="dxa"/>
            </w:tcMar>
            <w:vAlign w:val="center"/>
          </w:tcPr>
          <w:p w14:paraId="136321A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6"/>
                <w:sz w:val="18"/>
                <w:szCs w:val="18"/>
              </w:rPr>
            </w:pPr>
            <w:r>
              <w:rPr>
                <w:rFonts w:hint="eastAsia" w:ascii="仿宋_GB2312" w:hAnsi="宋体" w:eastAsia="仿宋_GB2312" w:cs="仿宋_GB2312"/>
                <w:spacing w:val="-6"/>
                <w:sz w:val="18"/>
                <w:szCs w:val="18"/>
              </w:rPr>
              <w:t>对煤矿企业处13万元以上17万元以下罚款；对其直接负责的主管人员和其他直接责任人员处1万元以上2万元以下的罚款。</w:t>
            </w:r>
          </w:p>
        </w:tc>
      </w:tr>
      <w:tr w14:paraId="427F7E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1"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4402F3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BAFEFF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026D06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F93E30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B496EE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5B83BF6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超过责令改正期限10日以上的。</w:t>
            </w:r>
          </w:p>
        </w:tc>
        <w:tc>
          <w:tcPr>
            <w:tcW w:w="2655" w:type="dxa"/>
            <w:tcBorders>
              <w:tl2br w:val="nil"/>
              <w:tr2bl w:val="nil"/>
            </w:tcBorders>
            <w:shd w:val="clear" w:color="auto" w:fill="auto"/>
            <w:tcMar>
              <w:top w:w="15" w:type="dxa"/>
              <w:left w:w="15" w:type="dxa"/>
              <w:right w:w="15" w:type="dxa"/>
            </w:tcMar>
            <w:vAlign w:val="center"/>
          </w:tcPr>
          <w:p w14:paraId="7E9BD6C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6"/>
                <w:sz w:val="18"/>
                <w:szCs w:val="18"/>
              </w:rPr>
            </w:pPr>
            <w:r>
              <w:rPr>
                <w:rFonts w:hint="eastAsia" w:ascii="仿宋_GB2312" w:hAnsi="宋体" w:eastAsia="仿宋_GB2312" w:cs="仿宋_GB2312"/>
                <w:spacing w:val="-6"/>
                <w:sz w:val="18"/>
                <w:szCs w:val="18"/>
              </w:rPr>
              <w:t>对煤矿企业处17万元以上20万元以下罚款；对其直接负责的主管人员和其他直接责任人员处1万元以上2万元以下的罚款。</w:t>
            </w:r>
          </w:p>
        </w:tc>
      </w:tr>
      <w:tr w14:paraId="65CA84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1EBCBDD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del w:id="1763" w:author="LV" w:date="2026-07-14T16:40:14Z">
              <w:r>
                <w:rPr>
                  <w:rFonts w:hint="default" w:ascii="仿宋_GB2312" w:hAnsi="宋体" w:eastAsia="仿宋_GB2312" w:cs="仿宋_GB2312"/>
                  <w:kern w:val="0"/>
                  <w:sz w:val="18"/>
                  <w:szCs w:val="18"/>
                  <w:lang w:val="en-US" w:bidi="ar"/>
                </w:rPr>
                <w:delText>8</w:delText>
              </w:r>
            </w:del>
            <w:del w:id="1764" w:author="LV" w:date="2026-07-14T16:40:14Z">
              <w:r>
                <w:rPr>
                  <w:rFonts w:hint="default" w:ascii="仿宋_GB2312" w:hAnsi="宋体" w:eastAsia="仿宋_GB2312" w:cs="仿宋_GB2312"/>
                  <w:kern w:val="0"/>
                  <w:sz w:val="18"/>
                  <w:szCs w:val="18"/>
                  <w:lang w:val="en-US" w:eastAsia="zh-CN" w:bidi="ar"/>
                </w:rPr>
                <w:delText>6</w:delText>
              </w:r>
            </w:del>
            <w:ins w:id="1765" w:author="LV" w:date="2026-07-14T16:40:14Z">
              <w:r>
                <w:rPr>
                  <w:rFonts w:hint="eastAsia" w:ascii="仿宋_GB2312" w:hAnsi="宋体" w:eastAsia="仿宋_GB2312" w:cs="仿宋_GB2312"/>
                  <w:kern w:val="0"/>
                  <w:sz w:val="18"/>
                  <w:szCs w:val="18"/>
                  <w:lang w:val="en-US" w:eastAsia="zh-CN" w:bidi="ar"/>
                </w:rPr>
                <w:t>9</w:t>
              </w:r>
            </w:ins>
            <w:ins w:id="1766" w:author="LV" w:date="2026-07-14T16:40:15Z">
              <w:r>
                <w:rPr>
                  <w:rFonts w:hint="eastAsia" w:ascii="仿宋_GB2312" w:hAnsi="宋体" w:eastAsia="仿宋_GB2312" w:cs="仿宋_GB2312"/>
                  <w:kern w:val="0"/>
                  <w:sz w:val="18"/>
                  <w:szCs w:val="18"/>
                  <w:lang w:val="en-US" w:eastAsia="zh-CN" w:bidi="ar"/>
                </w:rPr>
                <w:t>7</w:t>
              </w:r>
            </w:ins>
          </w:p>
        </w:tc>
        <w:tc>
          <w:tcPr>
            <w:tcW w:w="1005" w:type="dxa"/>
            <w:vMerge w:val="restart"/>
            <w:tcBorders>
              <w:tl2br w:val="nil"/>
              <w:tr2bl w:val="nil"/>
            </w:tcBorders>
            <w:shd w:val="clear" w:color="auto" w:fill="auto"/>
            <w:tcMar>
              <w:top w:w="15" w:type="dxa"/>
              <w:left w:w="15" w:type="dxa"/>
              <w:right w:w="15" w:type="dxa"/>
            </w:tcMar>
            <w:vAlign w:val="center"/>
          </w:tcPr>
          <w:p w14:paraId="6FD9618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煤矿及其主要负责人或者其他人员拒不</w:t>
            </w:r>
            <w:r>
              <w:rPr>
                <w:rFonts w:hint="eastAsia" w:ascii="仿宋_GB2312" w:hAnsi="宋体" w:eastAsia="仿宋_GB2312" w:cs="仿宋_GB2312"/>
                <w:kern w:val="0"/>
                <w:sz w:val="18"/>
                <w:szCs w:val="18"/>
                <w:lang w:val="en-US" w:eastAsia="zh-CN" w:bidi="ar"/>
              </w:rPr>
              <w:t>执</w:t>
            </w:r>
            <w:r>
              <w:rPr>
                <w:rFonts w:hint="eastAsia" w:ascii="仿宋_GB2312" w:hAnsi="宋体" w:eastAsia="仿宋_GB2312" w:cs="仿宋_GB2312"/>
                <w:kern w:val="0"/>
                <w:sz w:val="18"/>
                <w:szCs w:val="18"/>
                <w:lang w:bidi="ar"/>
              </w:rPr>
              <w:t>行安全监管监察部门依法下达的安全监管监察指令的</w:t>
            </w:r>
          </w:p>
        </w:tc>
        <w:tc>
          <w:tcPr>
            <w:tcW w:w="3667" w:type="dxa"/>
            <w:vMerge w:val="restart"/>
            <w:tcBorders>
              <w:tl2br w:val="nil"/>
              <w:tr2bl w:val="nil"/>
            </w:tcBorders>
            <w:shd w:val="clear" w:color="auto" w:fill="auto"/>
            <w:tcMar>
              <w:top w:w="15" w:type="dxa"/>
              <w:left w:w="15" w:type="dxa"/>
              <w:right w:w="15" w:type="dxa"/>
            </w:tcMar>
            <w:vAlign w:val="center"/>
          </w:tcPr>
          <w:p w14:paraId="6158FD9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《安全生产法》第六十六条 生产经营单位对负有安全产监督管理职责的部门的监督检查人员依法履行监督检查职责，应当予以配合，不得拒绝、阻挠。</w:t>
            </w:r>
          </w:p>
        </w:tc>
        <w:tc>
          <w:tcPr>
            <w:tcW w:w="4082" w:type="dxa"/>
            <w:vMerge w:val="restart"/>
            <w:tcBorders>
              <w:tl2br w:val="nil"/>
              <w:tr2bl w:val="nil"/>
            </w:tcBorders>
            <w:shd w:val="clear" w:color="auto" w:fill="auto"/>
            <w:tcMar>
              <w:top w:w="15" w:type="dxa"/>
              <w:left w:w="15" w:type="dxa"/>
              <w:right w:w="15" w:type="dxa"/>
            </w:tcMar>
            <w:vAlign w:val="center"/>
          </w:tcPr>
          <w:p w14:paraId="10B8121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违法行为行政处罚办法》（应急部令第18号）第七十三条第三项：生产经营单位及其主要负责人或者其他人员有下列行为之一的，给予警告，并可以对生产经营单位处1万元以上5万元以下的罚款，对其主要负责人、其他有关人员处1000元以上2万元以下的罚款：（七）拒不执行依法下达的安全监管监察指令的。</w:t>
            </w:r>
          </w:p>
        </w:tc>
        <w:tc>
          <w:tcPr>
            <w:tcW w:w="459" w:type="dxa"/>
            <w:tcBorders>
              <w:tl2br w:val="nil"/>
              <w:tr2bl w:val="nil"/>
            </w:tcBorders>
            <w:shd w:val="clear" w:color="auto" w:fill="auto"/>
            <w:noWrap/>
            <w:tcMar>
              <w:top w:w="15" w:type="dxa"/>
              <w:left w:w="15" w:type="dxa"/>
              <w:right w:w="15" w:type="dxa"/>
            </w:tcMar>
            <w:vAlign w:val="center"/>
          </w:tcPr>
          <w:p w14:paraId="399A34E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0108B0C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F09EC5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9B1AE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469D75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D2A88C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ED37AE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275A26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2D19CC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0836F16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09C094C4">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A8A75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E05840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DCE2C8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BDA47D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943907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EB1C00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45CD955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637882F4">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61D51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E76C97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1E9129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728A10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27FBFF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49731F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16FDF92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拒不执行安全监管部门依法下达的安全监管指令1条的。</w:t>
            </w:r>
          </w:p>
        </w:tc>
        <w:tc>
          <w:tcPr>
            <w:tcW w:w="2655" w:type="dxa"/>
            <w:tcBorders>
              <w:tl2br w:val="nil"/>
              <w:tr2bl w:val="nil"/>
            </w:tcBorders>
            <w:shd w:val="clear" w:color="auto" w:fill="auto"/>
            <w:tcMar>
              <w:top w:w="15" w:type="dxa"/>
              <w:left w:w="15" w:type="dxa"/>
              <w:right w:w="15" w:type="dxa"/>
            </w:tcMar>
            <w:vAlign w:val="center"/>
          </w:tcPr>
          <w:p w14:paraId="2B54B4B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pacing w:val="-6"/>
                <w:sz w:val="18"/>
                <w:szCs w:val="18"/>
              </w:rPr>
            </w:pPr>
            <w:r>
              <w:rPr>
                <w:rFonts w:hint="eastAsia" w:ascii="仿宋_GB2312" w:hAnsi="宋体" w:eastAsia="仿宋_GB2312" w:cs="仿宋_GB2312"/>
                <w:spacing w:val="-6"/>
                <w:sz w:val="18"/>
                <w:szCs w:val="18"/>
              </w:rPr>
              <w:t>给予警告，并可以对生产经营单位处1万元以上2万元以下罚款，对其主要负责人、其他有关人员处1000元以上5000元以下的罚款。</w:t>
            </w:r>
          </w:p>
        </w:tc>
      </w:tr>
      <w:tr w14:paraId="73A9FC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3CDB2E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899984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A8FB54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42BED8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DB33D1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30247A5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拒不执行安全监管部门依法下达的安全监管指令2条的。</w:t>
            </w:r>
          </w:p>
        </w:tc>
        <w:tc>
          <w:tcPr>
            <w:tcW w:w="2655" w:type="dxa"/>
            <w:tcBorders>
              <w:tl2br w:val="nil"/>
              <w:tr2bl w:val="nil"/>
            </w:tcBorders>
            <w:shd w:val="clear" w:color="auto" w:fill="auto"/>
            <w:tcMar>
              <w:top w:w="15" w:type="dxa"/>
              <w:left w:w="15" w:type="dxa"/>
              <w:right w:w="15" w:type="dxa"/>
            </w:tcMar>
            <w:vAlign w:val="center"/>
          </w:tcPr>
          <w:p w14:paraId="347B24B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pacing w:val="-6"/>
                <w:sz w:val="18"/>
                <w:szCs w:val="18"/>
              </w:rPr>
            </w:pPr>
            <w:r>
              <w:rPr>
                <w:rFonts w:hint="eastAsia" w:ascii="仿宋_GB2312" w:hAnsi="宋体" w:eastAsia="仿宋_GB2312" w:cs="仿宋_GB2312"/>
                <w:spacing w:val="-6"/>
                <w:kern w:val="0"/>
                <w:sz w:val="18"/>
                <w:szCs w:val="18"/>
                <w:lang w:bidi="ar"/>
              </w:rPr>
              <w:t>给予警告，并可以对生产经营单位处2万元以上4万元以下罚款，对其主要负责人、其他有关人员处5000元以上7000元以下的罚款。</w:t>
            </w:r>
          </w:p>
        </w:tc>
      </w:tr>
      <w:tr w14:paraId="3BE7D7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5B6ACC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ACC654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A3AB53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DBC514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3C081A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31D696E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拒不执行安全监管部门依法下达的安全监管指令3条及以上的。</w:t>
            </w:r>
          </w:p>
        </w:tc>
        <w:tc>
          <w:tcPr>
            <w:tcW w:w="2655" w:type="dxa"/>
            <w:tcBorders>
              <w:tl2br w:val="nil"/>
              <w:tr2bl w:val="nil"/>
            </w:tcBorders>
            <w:shd w:val="clear" w:color="auto" w:fill="auto"/>
            <w:tcMar>
              <w:top w:w="15" w:type="dxa"/>
              <w:left w:w="15" w:type="dxa"/>
              <w:right w:w="15" w:type="dxa"/>
            </w:tcMar>
            <w:vAlign w:val="center"/>
          </w:tcPr>
          <w:p w14:paraId="4983D1F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pacing w:val="-6"/>
                <w:sz w:val="18"/>
                <w:szCs w:val="18"/>
              </w:rPr>
            </w:pPr>
            <w:r>
              <w:rPr>
                <w:rFonts w:hint="eastAsia" w:ascii="仿宋_GB2312" w:hAnsi="宋体" w:eastAsia="仿宋_GB2312" w:cs="仿宋_GB2312"/>
                <w:spacing w:val="-6"/>
                <w:kern w:val="0"/>
                <w:sz w:val="18"/>
                <w:szCs w:val="18"/>
                <w:lang w:bidi="ar"/>
              </w:rPr>
              <w:t>给予警告，并可以对生产经营单位处4万元以上5万元以下罚款，对其主要负责人、其他有关人员处7000元以上1万元以下的罚款。</w:t>
            </w:r>
          </w:p>
        </w:tc>
      </w:tr>
      <w:tr w14:paraId="625782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del w:id="1767" w:author="LV" w:date="2026-07-14T16:40:25Z"/>
        </w:trPr>
        <w:tc>
          <w:tcPr>
            <w:tcW w:w="418" w:type="dxa"/>
            <w:vMerge w:val="restart"/>
            <w:tcBorders>
              <w:tl2br w:val="nil"/>
              <w:tr2bl w:val="nil"/>
            </w:tcBorders>
            <w:shd w:val="clear" w:color="auto" w:fill="auto"/>
            <w:noWrap/>
            <w:tcMar>
              <w:top w:w="15" w:type="dxa"/>
              <w:left w:w="15" w:type="dxa"/>
              <w:right w:w="15" w:type="dxa"/>
            </w:tcMar>
            <w:vAlign w:val="center"/>
          </w:tcPr>
          <w:p w14:paraId="1E3D5CC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del w:id="1768" w:author="LV" w:date="2026-07-14T16:40:25Z"/>
                <w:rFonts w:ascii="仿宋_GB2312" w:hAnsi="宋体" w:eastAsia="仿宋_GB2312" w:cs="仿宋_GB2312"/>
                <w:sz w:val="18"/>
                <w:szCs w:val="18"/>
              </w:rPr>
            </w:pPr>
            <w:del w:id="1769" w:author="LV" w:date="2026-07-14T16:40:25Z">
              <w:r>
                <w:rPr>
                  <w:rFonts w:hint="eastAsia" w:ascii="仿宋_GB2312" w:hAnsi="宋体" w:eastAsia="仿宋_GB2312" w:cs="仿宋_GB2312"/>
                  <w:kern w:val="0"/>
                  <w:sz w:val="18"/>
                  <w:szCs w:val="18"/>
                  <w:lang w:bidi="ar"/>
                </w:rPr>
                <w:delText>87</w:delText>
              </w:r>
            </w:del>
          </w:p>
        </w:tc>
        <w:tc>
          <w:tcPr>
            <w:tcW w:w="1005" w:type="dxa"/>
            <w:vMerge w:val="restart"/>
            <w:tcBorders>
              <w:tl2br w:val="nil"/>
              <w:tr2bl w:val="nil"/>
            </w:tcBorders>
            <w:shd w:val="clear" w:color="auto" w:fill="auto"/>
            <w:tcMar>
              <w:top w:w="15" w:type="dxa"/>
              <w:left w:w="15" w:type="dxa"/>
              <w:right w:w="15" w:type="dxa"/>
            </w:tcMar>
            <w:vAlign w:val="center"/>
          </w:tcPr>
          <w:p w14:paraId="75FB6A22">
            <w:pPr>
              <w:keepNext w:val="0"/>
              <w:keepLines w:val="0"/>
              <w:pageBreakBefore w:val="0"/>
              <w:widowControl w:val="0"/>
              <w:kinsoku/>
              <w:wordWrap/>
              <w:overflowPunct w:val="0"/>
              <w:topLinePunct w:val="0"/>
              <w:autoSpaceDE/>
              <w:autoSpaceDN/>
              <w:bidi w:val="0"/>
              <w:adjustRightInd/>
              <w:snapToGrid/>
              <w:spacing w:line="280" w:lineRule="exact"/>
              <w:textAlignment w:val="center"/>
              <w:rPr>
                <w:del w:id="1770" w:author="LV" w:date="2026-07-14T16:40:25Z"/>
                <w:rFonts w:ascii="仿宋_GB2312" w:hAnsi="宋体" w:eastAsia="仿宋_GB2312" w:cs="仿宋_GB2312"/>
                <w:sz w:val="18"/>
                <w:szCs w:val="18"/>
              </w:rPr>
            </w:pPr>
            <w:del w:id="1771" w:author="LV" w:date="2026-07-14T16:40:25Z">
              <w:r>
                <w:rPr>
                  <w:rFonts w:hint="eastAsia" w:ascii="仿宋_GB2312" w:hAnsi="宋体" w:eastAsia="仿宋_GB2312" w:cs="仿宋_GB2312"/>
                  <w:sz w:val="18"/>
                  <w:szCs w:val="18"/>
                  <w:lang w:val="en-US" w:eastAsia="zh-CN"/>
                </w:rPr>
                <w:delText>删除与17条合并</w:delText>
              </w:r>
            </w:del>
          </w:p>
        </w:tc>
        <w:tc>
          <w:tcPr>
            <w:tcW w:w="3667" w:type="dxa"/>
            <w:vMerge w:val="restart"/>
            <w:tcBorders>
              <w:tl2br w:val="nil"/>
              <w:tr2bl w:val="nil"/>
            </w:tcBorders>
            <w:shd w:val="clear" w:color="auto" w:fill="auto"/>
            <w:tcMar>
              <w:top w:w="15" w:type="dxa"/>
              <w:left w:w="15" w:type="dxa"/>
              <w:right w:w="15" w:type="dxa"/>
            </w:tcMar>
            <w:vAlign w:val="center"/>
          </w:tcPr>
          <w:p w14:paraId="5D831BC5">
            <w:pPr>
              <w:keepNext w:val="0"/>
              <w:keepLines w:val="0"/>
              <w:pageBreakBefore w:val="0"/>
              <w:widowControl w:val="0"/>
              <w:kinsoku/>
              <w:wordWrap/>
              <w:overflowPunct w:val="0"/>
              <w:topLinePunct w:val="0"/>
              <w:autoSpaceDE/>
              <w:autoSpaceDN/>
              <w:bidi w:val="0"/>
              <w:adjustRightInd/>
              <w:snapToGrid/>
              <w:spacing w:line="280" w:lineRule="exact"/>
              <w:textAlignment w:val="center"/>
              <w:rPr>
                <w:del w:id="1772" w:author="LV" w:date="2026-07-14T16:40:25Z"/>
                <w:rFonts w:ascii="仿宋_GB2312" w:hAnsi="宋体" w:eastAsia="仿宋_GB2312" w:cs="仿宋_GB2312"/>
                <w:sz w:val="18"/>
                <w:szCs w:val="18"/>
              </w:rPr>
            </w:pPr>
          </w:p>
        </w:tc>
        <w:tc>
          <w:tcPr>
            <w:tcW w:w="4082" w:type="dxa"/>
            <w:vMerge w:val="restart"/>
            <w:tcBorders>
              <w:tl2br w:val="nil"/>
              <w:tr2bl w:val="nil"/>
            </w:tcBorders>
            <w:shd w:val="clear" w:color="auto" w:fill="auto"/>
            <w:tcMar>
              <w:top w:w="15" w:type="dxa"/>
              <w:left w:w="15" w:type="dxa"/>
              <w:right w:w="15" w:type="dxa"/>
            </w:tcMar>
            <w:vAlign w:val="center"/>
          </w:tcPr>
          <w:p w14:paraId="0EED9E13">
            <w:pPr>
              <w:keepNext w:val="0"/>
              <w:keepLines w:val="0"/>
              <w:pageBreakBefore w:val="0"/>
              <w:widowControl w:val="0"/>
              <w:kinsoku/>
              <w:wordWrap/>
              <w:overflowPunct w:val="0"/>
              <w:topLinePunct w:val="0"/>
              <w:autoSpaceDE/>
              <w:autoSpaceDN/>
              <w:bidi w:val="0"/>
              <w:adjustRightInd/>
              <w:snapToGrid/>
              <w:spacing w:line="280" w:lineRule="exact"/>
              <w:textAlignment w:val="center"/>
              <w:rPr>
                <w:del w:id="1773" w:author="LV" w:date="2026-07-14T16:40:25Z"/>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0A1CDC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del w:id="1774" w:author="LV" w:date="2026-07-14T16:40:25Z"/>
                <w:rFonts w:ascii="仿宋_GB2312" w:hAnsi="宋体" w:eastAsia="仿宋_GB2312" w:cs="仿宋_GB2312"/>
                <w:sz w:val="18"/>
                <w:szCs w:val="18"/>
              </w:rPr>
            </w:pPr>
          </w:p>
        </w:tc>
        <w:tc>
          <w:tcPr>
            <w:tcW w:w="1829" w:type="dxa"/>
            <w:tcBorders>
              <w:tl2br w:val="nil"/>
              <w:tr2bl w:val="nil"/>
            </w:tcBorders>
            <w:shd w:val="clear" w:color="auto" w:fill="auto"/>
            <w:tcMar>
              <w:top w:w="15" w:type="dxa"/>
              <w:left w:w="15" w:type="dxa"/>
              <w:right w:w="15" w:type="dxa"/>
            </w:tcMar>
            <w:vAlign w:val="center"/>
          </w:tcPr>
          <w:p w14:paraId="344A195C">
            <w:pPr>
              <w:keepNext w:val="0"/>
              <w:keepLines w:val="0"/>
              <w:pageBreakBefore w:val="0"/>
              <w:widowControl w:val="0"/>
              <w:kinsoku/>
              <w:wordWrap/>
              <w:overflowPunct w:val="0"/>
              <w:topLinePunct w:val="0"/>
              <w:autoSpaceDE/>
              <w:autoSpaceDN/>
              <w:bidi w:val="0"/>
              <w:adjustRightInd/>
              <w:snapToGrid/>
              <w:spacing w:line="280" w:lineRule="exact"/>
              <w:textAlignment w:val="center"/>
              <w:rPr>
                <w:del w:id="1775" w:author="LV" w:date="2026-07-14T16:40:25Z"/>
                <w:rFonts w:ascii="仿宋_GB2312" w:hAnsi="宋体" w:eastAsia="仿宋_GB2312" w:cs="仿宋_GB2312"/>
                <w:sz w:val="18"/>
                <w:szCs w:val="18"/>
              </w:rPr>
            </w:pPr>
          </w:p>
        </w:tc>
        <w:tc>
          <w:tcPr>
            <w:tcW w:w="2655" w:type="dxa"/>
            <w:tcBorders>
              <w:tl2br w:val="nil"/>
              <w:tr2bl w:val="nil"/>
            </w:tcBorders>
            <w:shd w:val="clear" w:color="auto" w:fill="auto"/>
            <w:tcMar>
              <w:top w:w="15" w:type="dxa"/>
              <w:left w:w="15" w:type="dxa"/>
              <w:right w:w="15" w:type="dxa"/>
            </w:tcMar>
            <w:vAlign w:val="center"/>
          </w:tcPr>
          <w:p w14:paraId="5D674733">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del w:id="1776" w:author="LV" w:date="2026-07-14T16:40:25Z"/>
                <w:rFonts w:ascii="仿宋_GB2312" w:hAnsi="宋体" w:eastAsia="仿宋_GB2312" w:cs="仿宋_GB2312"/>
                <w:sz w:val="18"/>
                <w:szCs w:val="18"/>
              </w:rPr>
            </w:pPr>
          </w:p>
        </w:tc>
      </w:tr>
      <w:tr w14:paraId="11DBFB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del w:id="1777" w:author="LV" w:date="2026-07-14T16:40:25Z"/>
        </w:trPr>
        <w:tc>
          <w:tcPr>
            <w:tcW w:w="418" w:type="dxa"/>
            <w:vMerge w:val="continue"/>
            <w:tcBorders>
              <w:tl2br w:val="nil"/>
              <w:tr2bl w:val="nil"/>
            </w:tcBorders>
            <w:shd w:val="clear" w:color="auto" w:fill="auto"/>
            <w:noWrap/>
            <w:tcMar>
              <w:top w:w="15" w:type="dxa"/>
              <w:left w:w="15" w:type="dxa"/>
              <w:right w:w="15" w:type="dxa"/>
            </w:tcMar>
            <w:vAlign w:val="center"/>
          </w:tcPr>
          <w:p w14:paraId="77CB7B1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del w:id="1778" w:author="LV" w:date="2026-07-14T16:40:25Z"/>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7852E8D">
            <w:pPr>
              <w:keepNext w:val="0"/>
              <w:keepLines w:val="0"/>
              <w:pageBreakBefore w:val="0"/>
              <w:widowControl w:val="0"/>
              <w:kinsoku/>
              <w:wordWrap/>
              <w:overflowPunct w:val="0"/>
              <w:topLinePunct w:val="0"/>
              <w:autoSpaceDE/>
              <w:autoSpaceDN/>
              <w:bidi w:val="0"/>
              <w:adjustRightInd/>
              <w:snapToGrid/>
              <w:spacing w:line="280" w:lineRule="exact"/>
              <w:rPr>
                <w:del w:id="1779" w:author="LV" w:date="2026-07-14T16:40:25Z"/>
                <w:rFonts w:ascii="仿宋_GB2312" w:hAnsi="宋体" w:eastAsia="仿宋_GB2312" w:cs="仿宋_GB2312"/>
                <w:sz w:val="18"/>
                <w:szCs w:val="18"/>
                <w:highlight w:val="none"/>
              </w:rPr>
            </w:pPr>
          </w:p>
        </w:tc>
        <w:tc>
          <w:tcPr>
            <w:tcW w:w="3667" w:type="dxa"/>
            <w:vMerge w:val="continue"/>
            <w:tcBorders>
              <w:tl2br w:val="nil"/>
              <w:tr2bl w:val="nil"/>
            </w:tcBorders>
            <w:shd w:val="clear" w:color="auto" w:fill="auto"/>
            <w:tcMar>
              <w:top w:w="15" w:type="dxa"/>
              <w:left w:w="15" w:type="dxa"/>
              <w:right w:w="15" w:type="dxa"/>
            </w:tcMar>
            <w:vAlign w:val="center"/>
          </w:tcPr>
          <w:p w14:paraId="1BC75637">
            <w:pPr>
              <w:keepNext w:val="0"/>
              <w:keepLines w:val="0"/>
              <w:pageBreakBefore w:val="0"/>
              <w:widowControl w:val="0"/>
              <w:kinsoku/>
              <w:wordWrap/>
              <w:overflowPunct w:val="0"/>
              <w:topLinePunct w:val="0"/>
              <w:autoSpaceDE/>
              <w:autoSpaceDN/>
              <w:bidi w:val="0"/>
              <w:adjustRightInd/>
              <w:snapToGrid/>
              <w:spacing w:line="280" w:lineRule="exact"/>
              <w:rPr>
                <w:del w:id="1780" w:author="LV" w:date="2026-07-14T16:40:25Z"/>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05FADB7">
            <w:pPr>
              <w:keepNext w:val="0"/>
              <w:keepLines w:val="0"/>
              <w:pageBreakBefore w:val="0"/>
              <w:widowControl w:val="0"/>
              <w:kinsoku/>
              <w:wordWrap/>
              <w:overflowPunct w:val="0"/>
              <w:topLinePunct w:val="0"/>
              <w:autoSpaceDE/>
              <w:autoSpaceDN/>
              <w:bidi w:val="0"/>
              <w:adjustRightInd/>
              <w:snapToGrid/>
              <w:spacing w:line="280" w:lineRule="exact"/>
              <w:rPr>
                <w:del w:id="1781" w:author="LV" w:date="2026-07-14T16:40:25Z"/>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BB4D31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del w:id="1782" w:author="LV" w:date="2026-07-14T16:40:25Z"/>
                <w:rFonts w:ascii="仿宋_GB2312" w:hAnsi="宋体" w:eastAsia="仿宋_GB2312" w:cs="仿宋_GB2312"/>
                <w:sz w:val="18"/>
                <w:szCs w:val="18"/>
              </w:rPr>
            </w:pPr>
          </w:p>
        </w:tc>
        <w:tc>
          <w:tcPr>
            <w:tcW w:w="1829" w:type="dxa"/>
            <w:tcBorders>
              <w:tl2br w:val="nil"/>
              <w:tr2bl w:val="nil"/>
            </w:tcBorders>
            <w:shd w:val="clear" w:color="auto" w:fill="auto"/>
            <w:tcMar>
              <w:top w:w="15" w:type="dxa"/>
              <w:left w:w="15" w:type="dxa"/>
              <w:right w:w="15" w:type="dxa"/>
            </w:tcMar>
            <w:vAlign w:val="center"/>
          </w:tcPr>
          <w:p w14:paraId="140CE1FB">
            <w:pPr>
              <w:keepNext w:val="0"/>
              <w:keepLines w:val="0"/>
              <w:pageBreakBefore w:val="0"/>
              <w:widowControl w:val="0"/>
              <w:kinsoku/>
              <w:wordWrap/>
              <w:overflowPunct w:val="0"/>
              <w:topLinePunct w:val="0"/>
              <w:autoSpaceDE/>
              <w:autoSpaceDN/>
              <w:bidi w:val="0"/>
              <w:adjustRightInd/>
              <w:snapToGrid/>
              <w:spacing w:line="280" w:lineRule="exact"/>
              <w:textAlignment w:val="center"/>
              <w:rPr>
                <w:del w:id="1783" w:author="LV" w:date="2026-07-14T16:40:25Z"/>
                <w:rFonts w:ascii="仿宋_GB2312" w:hAnsi="宋体" w:eastAsia="仿宋_GB2312" w:cs="仿宋_GB2312"/>
                <w:sz w:val="18"/>
                <w:szCs w:val="18"/>
              </w:rPr>
            </w:pPr>
          </w:p>
        </w:tc>
        <w:tc>
          <w:tcPr>
            <w:tcW w:w="2655" w:type="dxa"/>
            <w:tcBorders>
              <w:tl2br w:val="nil"/>
              <w:tr2bl w:val="nil"/>
            </w:tcBorders>
            <w:shd w:val="clear" w:color="auto" w:fill="auto"/>
            <w:tcMar>
              <w:top w:w="15" w:type="dxa"/>
              <w:left w:w="15" w:type="dxa"/>
              <w:right w:w="15" w:type="dxa"/>
            </w:tcMar>
            <w:vAlign w:val="center"/>
          </w:tcPr>
          <w:p w14:paraId="3115538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del w:id="1784" w:author="LV" w:date="2026-07-14T16:40:25Z"/>
                <w:rFonts w:ascii="仿宋_GB2312" w:hAnsi="宋体" w:eastAsia="仿宋_GB2312" w:cs="仿宋_GB2312"/>
                <w:sz w:val="18"/>
                <w:szCs w:val="18"/>
              </w:rPr>
            </w:pPr>
          </w:p>
        </w:tc>
      </w:tr>
      <w:tr w14:paraId="437736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del w:id="1785" w:author="LV" w:date="2026-07-14T16:40:25Z"/>
        </w:trPr>
        <w:tc>
          <w:tcPr>
            <w:tcW w:w="418" w:type="dxa"/>
            <w:vMerge w:val="continue"/>
            <w:tcBorders>
              <w:tl2br w:val="nil"/>
              <w:tr2bl w:val="nil"/>
            </w:tcBorders>
            <w:shd w:val="clear" w:color="auto" w:fill="auto"/>
            <w:noWrap/>
            <w:tcMar>
              <w:top w:w="15" w:type="dxa"/>
              <w:left w:w="15" w:type="dxa"/>
              <w:right w:w="15" w:type="dxa"/>
            </w:tcMar>
            <w:vAlign w:val="center"/>
          </w:tcPr>
          <w:p w14:paraId="2241802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del w:id="1786" w:author="LV" w:date="2026-07-14T16:40:25Z"/>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058C665">
            <w:pPr>
              <w:keepNext w:val="0"/>
              <w:keepLines w:val="0"/>
              <w:pageBreakBefore w:val="0"/>
              <w:widowControl w:val="0"/>
              <w:kinsoku/>
              <w:wordWrap/>
              <w:overflowPunct w:val="0"/>
              <w:topLinePunct w:val="0"/>
              <w:autoSpaceDE/>
              <w:autoSpaceDN/>
              <w:bidi w:val="0"/>
              <w:adjustRightInd/>
              <w:snapToGrid/>
              <w:spacing w:line="280" w:lineRule="exact"/>
              <w:rPr>
                <w:del w:id="1787" w:author="LV" w:date="2026-07-14T16:40:25Z"/>
                <w:rFonts w:ascii="仿宋_GB2312" w:hAnsi="宋体" w:eastAsia="仿宋_GB2312" w:cs="仿宋_GB2312"/>
                <w:sz w:val="18"/>
                <w:szCs w:val="18"/>
                <w:highlight w:val="none"/>
              </w:rPr>
            </w:pPr>
          </w:p>
        </w:tc>
        <w:tc>
          <w:tcPr>
            <w:tcW w:w="3667" w:type="dxa"/>
            <w:vMerge w:val="continue"/>
            <w:tcBorders>
              <w:tl2br w:val="nil"/>
              <w:tr2bl w:val="nil"/>
            </w:tcBorders>
            <w:shd w:val="clear" w:color="auto" w:fill="auto"/>
            <w:tcMar>
              <w:top w:w="15" w:type="dxa"/>
              <w:left w:w="15" w:type="dxa"/>
              <w:right w:w="15" w:type="dxa"/>
            </w:tcMar>
            <w:vAlign w:val="center"/>
          </w:tcPr>
          <w:p w14:paraId="34341A17">
            <w:pPr>
              <w:keepNext w:val="0"/>
              <w:keepLines w:val="0"/>
              <w:pageBreakBefore w:val="0"/>
              <w:widowControl w:val="0"/>
              <w:kinsoku/>
              <w:wordWrap/>
              <w:overflowPunct w:val="0"/>
              <w:topLinePunct w:val="0"/>
              <w:autoSpaceDE/>
              <w:autoSpaceDN/>
              <w:bidi w:val="0"/>
              <w:adjustRightInd/>
              <w:snapToGrid/>
              <w:spacing w:line="280" w:lineRule="exact"/>
              <w:rPr>
                <w:del w:id="1788" w:author="LV" w:date="2026-07-14T16:40:25Z"/>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887BA86">
            <w:pPr>
              <w:keepNext w:val="0"/>
              <w:keepLines w:val="0"/>
              <w:pageBreakBefore w:val="0"/>
              <w:widowControl w:val="0"/>
              <w:kinsoku/>
              <w:wordWrap/>
              <w:overflowPunct w:val="0"/>
              <w:topLinePunct w:val="0"/>
              <w:autoSpaceDE/>
              <w:autoSpaceDN/>
              <w:bidi w:val="0"/>
              <w:adjustRightInd/>
              <w:snapToGrid/>
              <w:spacing w:line="280" w:lineRule="exact"/>
              <w:rPr>
                <w:del w:id="1789" w:author="LV" w:date="2026-07-14T16:40:25Z"/>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7EF830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del w:id="1790" w:author="LV" w:date="2026-07-14T16:40:25Z"/>
                <w:rFonts w:ascii="仿宋_GB2312" w:hAnsi="宋体" w:eastAsia="仿宋_GB2312" w:cs="仿宋_GB2312"/>
                <w:sz w:val="18"/>
                <w:szCs w:val="18"/>
              </w:rPr>
            </w:pPr>
          </w:p>
        </w:tc>
        <w:tc>
          <w:tcPr>
            <w:tcW w:w="1829" w:type="dxa"/>
            <w:tcBorders>
              <w:tl2br w:val="nil"/>
              <w:tr2bl w:val="nil"/>
            </w:tcBorders>
            <w:shd w:val="clear" w:color="auto" w:fill="auto"/>
            <w:tcMar>
              <w:top w:w="15" w:type="dxa"/>
              <w:left w:w="15" w:type="dxa"/>
              <w:right w:w="15" w:type="dxa"/>
            </w:tcMar>
            <w:vAlign w:val="center"/>
          </w:tcPr>
          <w:p w14:paraId="375FF9BA">
            <w:pPr>
              <w:keepNext w:val="0"/>
              <w:keepLines w:val="0"/>
              <w:pageBreakBefore w:val="0"/>
              <w:widowControl w:val="0"/>
              <w:kinsoku/>
              <w:wordWrap/>
              <w:overflowPunct w:val="0"/>
              <w:topLinePunct w:val="0"/>
              <w:autoSpaceDE/>
              <w:autoSpaceDN/>
              <w:bidi w:val="0"/>
              <w:adjustRightInd/>
              <w:snapToGrid/>
              <w:spacing w:line="280" w:lineRule="exact"/>
              <w:textAlignment w:val="center"/>
              <w:rPr>
                <w:del w:id="1791" w:author="LV" w:date="2026-07-14T16:40:25Z"/>
                <w:rFonts w:ascii="仿宋_GB2312" w:hAnsi="宋体" w:eastAsia="仿宋_GB2312" w:cs="仿宋_GB2312"/>
                <w:sz w:val="18"/>
                <w:szCs w:val="18"/>
              </w:rPr>
            </w:pPr>
          </w:p>
        </w:tc>
        <w:tc>
          <w:tcPr>
            <w:tcW w:w="2655" w:type="dxa"/>
            <w:tcBorders>
              <w:tl2br w:val="nil"/>
              <w:tr2bl w:val="nil"/>
            </w:tcBorders>
            <w:shd w:val="clear" w:color="auto" w:fill="auto"/>
            <w:tcMar>
              <w:top w:w="15" w:type="dxa"/>
              <w:left w:w="15" w:type="dxa"/>
              <w:right w:w="15" w:type="dxa"/>
            </w:tcMar>
            <w:vAlign w:val="center"/>
          </w:tcPr>
          <w:p w14:paraId="165C068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del w:id="1792" w:author="LV" w:date="2026-07-14T16:40:25Z"/>
                <w:rFonts w:ascii="仿宋_GB2312" w:hAnsi="宋体" w:eastAsia="仿宋_GB2312" w:cs="仿宋_GB2312"/>
                <w:sz w:val="18"/>
                <w:szCs w:val="18"/>
              </w:rPr>
            </w:pPr>
          </w:p>
        </w:tc>
      </w:tr>
      <w:tr w14:paraId="4AE248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del w:id="1793" w:author="LV" w:date="2026-07-14T16:40:25Z"/>
        </w:trPr>
        <w:tc>
          <w:tcPr>
            <w:tcW w:w="418" w:type="dxa"/>
            <w:vMerge w:val="continue"/>
            <w:tcBorders>
              <w:tl2br w:val="nil"/>
              <w:tr2bl w:val="nil"/>
            </w:tcBorders>
            <w:shd w:val="clear" w:color="auto" w:fill="auto"/>
            <w:noWrap/>
            <w:tcMar>
              <w:top w:w="15" w:type="dxa"/>
              <w:left w:w="15" w:type="dxa"/>
              <w:right w:w="15" w:type="dxa"/>
            </w:tcMar>
            <w:vAlign w:val="center"/>
          </w:tcPr>
          <w:p w14:paraId="1E043BB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del w:id="1794" w:author="LV" w:date="2026-07-14T16:40:25Z"/>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272858B">
            <w:pPr>
              <w:keepNext w:val="0"/>
              <w:keepLines w:val="0"/>
              <w:pageBreakBefore w:val="0"/>
              <w:widowControl w:val="0"/>
              <w:kinsoku/>
              <w:wordWrap/>
              <w:overflowPunct w:val="0"/>
              <w:topLinePunct w:val="0"/>
              <w:autoSpaceDE/>
              <w:autoSpaceDN/>
              <w:bidi w:val="0"/>
              <w:adjustRightInd/>
              <w:snapToGrid/>
              <w:spacing w:line="280" w:lineRule="exact"/>
              <w:rPr>
                <w:del w:id="1795" w:author="LV" w:date="2026-07-14T16:40:25Z"/>
                <w:rFonts w:ascii="仿宋_GB2312" w:hAnsi="宋体" w:eastAsia="仿宋_GB2312" w:cs="仿宋_GB2312"/>
                <w:sz w:val="18"/>
                <w:szCs w:val="18"/>
                <w:highlight w:val="none"/>
              </w:rPr>
            </w:pPr>
          </w:p>
        </w:tc>
        <w:tc>
          <w:tcPr>
            <w:tcW w:w="3667" w:type="dxa"/>
            <w:vMerge w:val="continue"/>
            <w:tcBorders>
              <w:tl2br w:val="nil"/>
              <w:tr2bl w:val="nil"/>
            </w:tcBorders>
            <w:shd w:val="clear" w:color="auto" w:fill="auto"/>
            <w:tcMar>
              <w:top w:w="15" w:type="dxa"/>
              <w:left w:w="15" w:type="dxa"/>
              <w:right w:w="15" w:type="dxa"/>
            </w:tcMar>
            <w:vAlign w:val="center"/>
          </w:tcPr>
          <w:p w14:paraId="55D719B5">
            <w:pPr>
              <w:keepNext w:val="0"/>
              <w:keepLines w:val="0"/>
              <w:pageBreakBefore w:val="0"/>
              <w:widowControl w:val="0"/>
              <w:kinsoku/>
              <w:wordWrap/>
              <w:overflowPunct w:val="0"/>
              <w:topLinePunct w:val="0"/>
              <w:autoSpaceDE/>
              <w:autoSpaceDN/>
              <w:bidi w:val="0"/>
              <w:adjustRightInd/>
              <w:snapToGrid/>
              <w:spacing w:line="280" w:lineRule="exact"/>
              <w:rPr>
                <w:del w:id="1796" w:author="LV" w:date="2026-07-14T16:40:25Z"/>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16DEC59">
            <w:pPr>
              <w:keepNext w:val="0"/>
              <w:keepLines w:val="0"/>
              <w:pageBreakBefore w:val="0"/>
              <w:widowControl w:val="0"/>
              <w:kinsoku/>
              <w:wordWrap/>
              <w:overflowPunct w:val="0"/>
              <w:topLinePunct w:val="0"/>
              <w:autoSpaceDE/>
              <w:autoSpaceDN/>
              <w:bidi w:val="0"/>
              <w:adjustRightInd/>
              <w:snapToGrid/>
              <w:spacing w:line="280" w:lineRule="exact"/>
              <w:rPr>
                <w:del w:id="1797" w:author="LV" w:date="2026-07-14T16:40:25Z"/>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37BE3B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del w:id="1798" w:author="LV" w:date="2026-07-14T16:40:25Z"/>
                <w:rFonts w:ascii="仿宋_GB2312" w:hAnsi="宋体" w:eastAsia="仿宋_GB2312" w:cs="仿宋_GB2312"/>
                <w:sz w:val="18"/>
                <w:szCs w:val="18"/>
              </w:rPr>
            </w:pPr>
          </w:p>
        </w:tc>
        <w:tc>
          <w:tcPr>
            <w:tcW w:w="1829" w:type="dxa"/>
            <w:tcBorders>
              <w:tl2br w:val="nil"/>
              <w:tr2bl w:val="nil"/>
            </w:tcBorders>
            <w:shd w:val="clear" w:color="auto" w:fill="auto"/>
            <w:tcMar>
              <w:top w:w="15" w:type="dxa"/>
              <w:left w:w="15" w:type="dxa"/>
              <w:right w:w="15" w:type="dxa"/>
            </w:tcMar>
            <w:vAlign w:val="center"/>
          </w:tcPr>
          <w:p w14:paraId="63365034">
            <w:pPr>
              <w:keepNext w:val="0"/>
              <w:keepLines w:val="0"/>
              <w:pageBreakBefore w:val="0"/>
              <w:widowControl w:val="0"/>
              <w:kinsoku/>
              <w:wordWrap/>
              <w:overflowPunct w:val="0"/>
              <w:topLinePunct w:val="0"/>
              <w:autoSpaceDE/>
              <w:autoSpaceDN/>
              <w:bidi w:val="0"/>
              <w:adjustRightInd/>
              <w:snapToGrid/>
              <w:spacing w:line="280" w:lineRule="exact"/>
              <w:textAlignment w:val="center"/>
              <w:rPr>
                <w:del w:id="1799" w:author="LV" w:date="2026-07-14T16:40:25Z"/>
                <w:rFonts w:ascii="仿宋_GB2312" w:hAnsi="宋体" w:eastAsia="仿宋_GB2312" w:cs="仿宋_GB2312"/>
                <w:sz w:val="18"/>
                <w:szCs w:val="18"/>
              </w:rPr>
            </w:pPr>
          </w:p>
        </w:tc>
        <w:tc>
          <w:tcPr>
            <w:tcW w:w="2655" w:type="dxa"/>
            <w:tcBorders>
              <w:tl2br w:val="nil"/>
              <w:tr2bl w:val="nil"/>
            </w:tcBorders>
            <w:shd w:val="clear" w:color="auto" w:fill="auto"/>
            <w:tcMar>
              <w:top w:w="15" w:type="dxa"/>
              <w:left w:w="15" w:type="dxa"/>
              <w:right w:w="15" w:type="dxa"/>
            </w:tcMar>
            <w:vAlign w:val="center"/>
          </w:tcPr>
          <w:p w14:paraId="206D55AD">
            <w:pPr>
              <w:keepNext w:val="0"/>
              <w:keepLines w:val="0"/>
              <w:pageBreakBefore w:val="0"/>
              <w:widowControl w:val="0"/>
              <w:kinsoku/>
              <w:wordWrap/>
              <w:overflowPunct w:val="0"/>
              <w:topLinePunct w:val="0"/>
              <w:autoSpaceDE/>
              <w:autoSpaceDN/>
              <w:bidi w:val="0"/>
              <w:adjustRightInd/>
              <w:snapToGrid/>
              <w:spacing w:line="280" w:lineRule="exact"/>
              <w:textAlignment w:val="center"/>
              <w:rPr>
                <w:del w:id="1800" w:author="LV" w:date="2026-07-14T16:40:25Z"/>
                <w:rFonts w:ascii="仿宋_GB2312" w:hAnsi="宋体" w:eastAsia="仿宋_GB2312" w:cs="仿宋_GB2312"/>
                <w:sz w:val="18"/>
                <w:szCs w:val="18"/>
              </w:rPr>
            </w:pPr>
          </w:p>
        </w:tc>
      </w:tr>
      <w:tr w14:paraId="1AC038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del w:id="1801" w:author="LV" w:date="2026-07-14T16:40:25Z"/>
        </w:trPr>
        <w:tc>
          <w:tcPr>
            <w:tcW w:w="418" w:type="dxa"/>
            <w:vMerge w:val="continue"/>
            <w:tcBorders>
              <w:tl2br w:val="nil"/>
              <w:tr2bl w:val="nil"/>
            </w:tcBorders>
            <w:shd w:val="clear" w:color="auto" w:fill="auto"/>
            <w:noWrap/>
            <w:tcMar>
              <w:top w:w="15" w:type="dxa"/>
              <w:left w:w="15" w:type="dxa"/>
              <w:right w:w="15" w:type="dxa"/>
            </w:tcMar>
            <w:vAlign w:val="center"/>
          </w:tcPr>
          <w:p w14:paraId="60E4B09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del w:id="1802" w:author="LV" w:date="2026-07-14T16:40:25Z"/>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4315685">
            <w:pPr>
              <w:keepNext w:val="0"/>
              <w:keepLines w:val="0"/>
              <w:pageBreakBefore w:val="0"/>
              <w:widowControl w:val="0"/>
              <w:kinsoku/>
              <w:wordWrap/>
              <w:overflowPunct w:val="0"/>
              <w:topLinePunct w:val="0"/>
              <w:autoSpaceDE/>
              <w:autoSpaceDN/>
              <w:bidi w:val="0"/>
              <w:adjustRightInd/>
              <w:snapToGrid/>
              <w:spacing w:line="280" w:lineRule="exact"/>
              <w:rPr>
                <w:del w:id="1803" w:author="LV" w:date="2026-07-14T16:40:25Z"/>
                <w:rFonts w:ascii="仿宋_GB2312" w:hAnsi="宋体" w:eastAsia="仿宋_GB2312" w:cs="仿宋_GB2312"/>
                <w:sz w:val="18"/>
                <w:szCs w:val="18"/>
                <w:highlight w:val="none"/>
              </w:rPr>
            </w:pPr>
          </w:p>
        </w:tc>
        <w:tc>
          <w:tcPr>
            <w:tcW w:w="3667" w:type="dxa"/>
            <w:vMerge w:val="continue"/>
            <w:tcBorders>
              <w:tl2br w:val="nil"/>
              <w:tr2bl w:val="nil"/>
            </w:tcBorders>
            <w:shd w:val="clear" w:color="auto" w:fill="auto"/>
            <w:tcMar>
              <w:top w:w="15" w:type="dxa"/>
              <w:left w:w="15" w:type="dxa"/>
              <w:right w:w="15" w:type="dxa"/>
            </w:tcMar>
            <w:vAlign w:val="center"/>
          </w:tcPr>
          <w:p w14:paraId="4E4B3CC6">
            <w:pPr>
              <w:keepNext w:val="0"/>
              <w:keepLines w:val="0"/>
              <w:pageBreakBefore w:val="0"/>
              <w:widowControl w:val="0"/>
              <w:kinsoku/>
              <w:wordWrap/>
              <w:overflowPunct w:val="0"/>
              <w:topLinePunct w:val="0"/>
              <w:autoSpaceDE/>
              <w:autoSpaceDN/>
              <w:bidi w:val="0"/>
              <w:adjustRightInd/>
              <w:snapToGrid/>
              <w:spacing w:line="280" w:lineRule="exact"/>
              <w:rPr>
                <w:del w:id="1804" w:author="LV" w:date="2026-07-14T16:40:25Z"/>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8559F39">
            <w:pPr>
              <w:keepNext w:val="0"/>
              <w:keepLines w:val="0"/>
              <w:pageBreakBefore w:val="0"/>
              <w:widowControl w:val="0"/>
              <w:kinsoku/>
              <w:wordWrap/>
              <w:overflowPunct w:val="0"/>
              <w:topLinePunct w:val="0"/>
              <w:autoSpaceDE/>
              <w:autoSpaceDN/>
              <w:bidi w:val="0"/>
              <w:adjustRightInd/>
              <w:snapToGrid/>
              <w:spacing w:line="280" w:lineRule="exact"/>
              <w:rPr>
                <w:del w:id="1805" w:author="LV" w:date="2026-07-14T16:40:25Z"/>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0A63D2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del w:id="1806" w:author="LV" w:date="2026-07-14T16:40:25Z"/>
                <w:rFonts w:ascii="仿宋_GB2312" w:hAnsi="宋体" w:eastAsia="仿宋_GB2312" w:cs="仿宋_GB2312"/>
                <w:sz w:val="18"/>
                <w:szCs w:val="18"/>
              </w:rPr>
            </w:pPr>
          </w:p>
        </w:tc>
        <w:tc>
          <w:tcPr>
            <w:tcW w:w="1829" w:type="dxa"/>
            <w:tcBorders>
              <w:tl2br w:val="nil"/>
              <w:tr2bl w:val="nil"/>
            </w:tcBorders>
            <w:shd w:val="clear" w:color="auto" w:fill="auto"/>
            <w:tcMar>
              <w:top w:w="15" w:type="dxa"/>
              <w:left w:w="15" w:type="dxa"/>
              <w:right w:w="15" w:type="dxa"/>
            </w:tcMar>
            <w:vAlign w:val="center"/>
          </w:tcPr>
          <w:p w14:paraId="7ECD09C4">
            <w:pPr>
              <w:keepNext w:val="0"/>
              <w:keepLines w:val="0"/>
              <w:pageBreakBefore w:val="0"/>
              <w:widowControl w:val="0"/>
              <w:kinsoku/>
              <w:wordWrap/>
              <w:overflowPunct w:val="0"/>
              <w:topLinePunct w:val="0"/>
              <w:autoSpaceDE/>
              <w:autoSpaceDN/>
              <w:bidi w:val="0"/>
              <w:adjustRightInd/>
              <w:snapToGrid/>
              <w:spacing w:line="280" w:lineRule="exact"/>
              <w:textAlignment w:val="center"/>
              <w:rPr>
                <w:del w:id="1807" w:author="LV" w:date="2026-07-14T16:40:25Z"/>
                <w:rFonts w:ascii="仿宋_GB2312" w:hAnsi="宋体" w:eastAsia="仿宋_GB2312" w:cs="仿宋_GB2312"/>
                <w:sz w:val="18"/>
                <w:szCs w:val="18"/>
              </w:rPr>
            </w:pPr>
          </w:p>
        </w:tc>
        <w:tc>
          <w:tcPr>
            <w:tcW w:w="2655" w:type="dxa"/>
            <w:tcBorders>
              <w:tl2br w:val="nil"/>
              <w:tr2bl w:val="nil"/>
            </w:tcBorders>
            <w:shd w:val="clear" w:color="auto" w:fill="auto"/>
            <w:tcMar>
              <w:top w:w="15" w:type="dxa"/>
              <w:left w:w="15" w:type="dxa"/>
              <w:right w:w="15" w:type="dxa"/>
            </w:tcMar>
            <w:vAlign w:val="center"/>
          </w:tcPr>
          <w:p w14:paraId="2EFBE82A">
            <w:pPr>
              <w:keepNext w:val="0"/>
              <w:keepLines w:val="0"/>
              <w:pageBreakBefore w:val="0"/>
              <w:widowControl w:val="0"/>
              <w:kinsoku/>
              <w:wordWrap/>
              <w:overflowPunct w:val="0"/>
              <w:topLinePunct w:val="0"/>
              <w:autoSpaceDE/>
              <w:autoSpaceDN/>
              <w:bidi w:val="0"/>
              <w:adjustRightInd/>
              <w:snapToGrid/>
              <w:spacing w:line="280" w:lineRule="exact"/>
              <w:textAlignment w:val="center"/>
              <w:rPr>
                <w:del w:id="1808" w:author="LV" w:date="2026-07-14T16:40:25Z"/>
                <w:rFonts w:ascii="仿宋_GB2312" w:hAnsi="宋体" w:eastAsia="仿宋_GB2312" w:cs="仿宋_GB2312"/>
                <w:sz w:val="18"/>
                <w:szCs w:val="18"/>
              </w:rPr>
            </w:pPr>
          </w:p>
        </w:tc>
      </w:tr>
      <w:tr w14:paraId="6372CC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del w:id="1809" w:author="LV" w:date="2026-07-14T16:40:25Z"/>
        </w:trPr>
        <w:tc>
          <w:tcPr>
            <w:tcW w:w="418" w:type="dxa"/>
            <w:vMerge w:val="continue"/>
            <w:tcBorders>
              <w:tl2br w:val="nil"/>
              <w:tr2bl w:val="nil"/>
            </w:tcBorders>
            <w:shd w:val="clear" w:color="auto" w:fill="auto"/>
            <w:noWrap/>
            <w:tcMar>
              <w:top w:w="15" w:type="dxa"/>
              <w:left w:w="15" w:type="dxa"/>
              <w:right w:w="15" w:type="dxa"/>
            </w:tcMar>
            <w:vAlign w:val="center"/>
          </w:tcPr>
          <w:p w14:paraId="23D83EC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del w:id="1810" w:author="LV" w:date="2026-07-14T16:40:25Z"/>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24EB8A9">
            <w:pPr>
              <w:keepNext w:val="0"/>
              <w:keepLines w:val="0"/>
              <w:pageBreakBefore w:val="0"/>
              <w:widowControl w:val="0"/>
              <w:kinsoku/>
              <w:wordWrap/>
              <w:overflowPunct w:val="0"/>
              <w:topLinePunct w:val="0"/>
              <w:autoSpaceDE/>
              <w:autoSpaceDN/>
              <w:bidi w:val="0"/>
              <w:adjustRightInd/>
              <w:snapToGrid/>
              <w:spacing w:line="280" w:lineRule="exact"/>
              <w:rPr>
                <w:del w:id="1811" w:author="LV" w:date="2026-07-14T16:40:25Z"/>
                <w:rFonts w:ascii="仿宋_GB2312" w:hAnsi="宋体" w:eastAsia="仿宋_GB2312" w:cs="仿宋_GB2312"/>
                <w:sz w:val="18"/>
                <w:szCs w:val="18"/>
                <w:highlight w:val="none"/>
              </w:rPr>
            </w:pPr>
          </w:p>
        </w:tc>
        <w:tc>
          <w:tcPr>
            <w:tcW w:w="3667" w:type="dxa"/>
            <w:vMerge w:val="continue"/>
            <w:tcBorders>
              <w:tl2br w:val="nil"/>
              <w:tr2bl w:val="nil"/>
            </w:tcBorders>
            <w:shd w:val="clear" w:color="auto" w:fill="auto"/>
            <w:tcMar>
              <w:top w:w="15" w:type="dxa"/>
              <w:left w:w="15" w:type="dxa"/>
              <w:right w:w="15" w:type="dxa"/>
            </w:tcMar>
            <w:vAlign w:val="center"/>
          </w:tcPr>
          <w:p w14:paraId="3D1FB5E9">
            <w:pPr>
              <w:keepNext w:val="0"/>
              <w:keepLines w:val="0"/>
              <w:pageBreakBefore w:val="0"/>
              <w:widowControl w:val="0"/>
              <w:kinsoku/>
              <w:wordWrap/>
              <w:overflowPunct w:val="0"/>
              <w:topLinePunct w:val="0"/>
              <w:autoSpaceDE/>
              <w:autoSpaceDN/>
              <w:bidi w:val="0"/>
              <w:adjustRightInd/>
              <w:snapToGrid/>
              <w:spacing w:line="280" w:lineRule="exact"/>
              <w:rPr>
                <w:del w:id="1812" w:author="LV" w:date="2026-07-14T16:40:25Z"/>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6A2FD1D">
            <w:pPr>
              <w:keepNext w:val="0"/>
              <w:keepLines w:val="0"/>
              <w:pageBreakBefore w:val="0"/>
              <w:widowControl w:val="0"/>
              <w:kinsoku/>
              <w:wordWrap/>
              <w:overflowPunct w:val="0"/>
              <w:topLinePunct w:val="0"/>
              <w:autoSpaceDE/>
              <w:autoSpaceDN/>
              <w:bidi w:val="0"/>
              <w:adjustRightInd/>
              <w:snapToGrid/>
              <w:spacing w:line="280" w:lineRule="exact"/>
              <w:rPr>
                <w:del w:id="1813" w:author="LV" w:date="2026-07-14T16:40:25Z"/>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0F60C9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del w:id="1814" w:author="LV" w:date="2026-07-14T16:40:25Z"/>
                <w:rFonts w:ascii="仿宋_GB2312" w:hAnsi="宋体" w:eastAsia="仿宋_GB2312" w:cs="仿宋_GB2312"/>
                <w:sz w:val="18"/>
                <w:szCs w:val="18"/>
              </w:rPr>
            </w:pPr>
          </w:p>
        </w:tc>
        <w:tc>
          <w:tcPr>
            <w:tcW w:w="1829" w:type="dxa"/>
            <w:tcBorders>
              <w:tl2br w:val="nil"/>
              <w:tr2bl w:val="nil"/>
            </w:tcBorders>
            <w:shd w:val="clear" w:color="auto" w:fill="auto"/>
            <w:tcMar>
              <w:top w:w="15" w:type="dxa"/>
              <w:left w:w="15" w:type="dxa"/>
              <w:right w:w="15" w:type="dxa"/>
            </w:tcMar>
            <w:vAlign w:val="center"/>
          </w:tcPr>
          <w:p w14:paraId="56449F28">
            <w:pPr>
              <w:keepNext w:val="0"/>
              <w:keepLines w:val="0"/>
              <w:pageBreakBefore w:val="0"/>
              <w:widowControl w:val="0"/>
              <w:kinsoku/>
              <w:wordWrap/>
              <w:overflowPunct w:val="0"/>
              <w:topLinePunct w:val="0"/>
              <w:autoSpaceDE/>
              <w:autoSpaceDN/>
              <w:bidi w:val="0"/>
              <w:adjustRightInd/>
              <w:snapToGrid/>
              <w:spacing w:line="280" w:lineRule="exact"/>
              <w:textAlignment w:val="center"/>
              <w:rPr>
                <w:del w:id="1815" w:author="LV" w:date="2026-07-14T16:40:25Z"/>
                <w:rFonts w:ascii="仿宋_GB2312" w:hAnsi="宋体" w:eastAsia="仿宋_GB2312" w:cs="仿宋_GB2312"/>
                <w:sz w:val="18"/>
                <w:szCs w:val="18"/>
              </w:rPr>
            </w:pPr>
          </w:p>
        </w:tc>
        <w:tc>
          <w:tcPr>
            <w:tcW w:w="2655" w:type="dxa"/>
            <w:tcBorders>
              <w:tl2br w:val="nil"/>
              <w:tr2bl w:val="nil"/>
            </w:tcBorders>
            <w:shd w:val="clear" w:color="auto" w:fill="auto"/>
            <w:tcMar>
              <w:top w:w="15" w:type="dxa"/>
              <w:left w:w="15" w:type="dxa"/>
              <w:right w:w="15" w:type="dxa"/>
            </w:tcMar>
            <w:vAlign w:val="center"/>
          </w:tcPr>
          <w:p w14:paraId="6FB043FA">
            <w:pPr>
              <w:keepNext w:val="0"/>
              <w:keepLines w:val="0"/>
              <w:pageBreakBefore w:val="0"/>
              <w:widowControl w:val="0"/>
              <w:kinsoku/>
              <w:wordWrap/>
              <w:overflowPunct w:val="0"/>
              <w:topLinePunct w:val="0"/>
              <w:autoSpaceDE/>
              <w:autoSpaceDN/>
              <w:bidi w:val="0"/>
              <w:adjustRightInd/>
              <w:snapToGrid/>
              <w:spacing w:line="280" w:lineRule="exact"/>
              <w:textAlignment w:val="center"/>
              <w:rPr>
                <w:del w:id="1816" w:author="LV" w:date="2026-07-14T16:40:25Z"/>
                <w:rFonts w:ascii="仿宋_GB2312" w:hAnsi="宋体" w:eastAsia="仿宋_GB2312" w:cs="仿宋_GB2312"/>
                <w:sz w:val="18"/>
                <w:szCs w:val="18"/>
              </w:rPr>
            </w:pPr>
          </w:p>
        </w:tc>
      </w:tr>
      <w:tr w14:paraId="01D25F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664449A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del w:id="1817" w:author="LV" w:date="2026-07-14T16:40:35Z">
              <w:r>
                <w:rPr>
                  <w:rFonts w:hint="default" w:ascii="仿宋_GB2312" w:hAnsi="宋体" w:eastAsia="仿宋_GB2312" w:cs="仿宋_GB2312"/>
                  <w:kern w:val="0"/>
                  <w:sz w:val="18"/>
                  <w:szCs w:val="18"/>
                  <w:lang w:val="en-US" w:eastAsia="zh-CN" w:bidi="ar"/>
                </w:rPr>
                <w:delText>8</w:delText>
              </w:r>
            </w:del>
            <w:ins w:id="1818" w:author="LV" w:date="2026-07-14T16:40:35Z">
              <w:r>
                <w:rPr>
                  <w:rFonts w:hint="eastAsia" w:ascii="仿宋_GB2312" w:hAnsi="宋体" w:eastAsia="仿宋_GB2312" w:cs="仿宋_GB2312"/>
                  <w:kern w:val="0"/>
                  <w:sz w:val="18"/>
                  <w:szCs w:val="18"/>
                  <w:lang w:val="en-US" w:eastAsia="zh-CN" w:bidi="ar"/>
                </w:rPr>
                <w:t>9</w:t>
              </w:r>
            </w:ins>
            <w:r>
              <w:rPr>
                <w:rFonts w:hint="eastAsia" w:ascii="仿宋_GB2312" w:hAnsi="宋体" w:eastAsia="仿宋_GB2312" w:cs="仿宋_GB2312"/>
                <w:kern w:val="0"/>
                <w:sz w:val="18"/>
                <w:szCs w:val="18"/>
                <w:lang w:val="en-US" w:eastAsia="zh-CN" w:bidi="ar"/>
              </w:rPr>
              <w:t>8</w:t>
            </w:r>
          </w:p>
        </w:tc>
        <w:tc>
          <w:tcPr>
            <w:tcW w:w="1005" w:type="dxa"/>
            <w:vMerge w:val="restart"/>
            <w:tcBorders>
              <w:tl2br w:val="nil"/>
              <w:tr2bl w:val="nil"/>
            </w:tcBorders>
            <w:shd w:val="clear" w:color="auto" w:fill="auto"/>
            <w:tcMar>
              <w:top w:w="15" w:type="dxa"/>
              <w:left w:w="15" w:type="dxa"/>
              <w:right w:w="15" w:type="dxa"/>
            </w:tcMar>
            <w:vAlign w:val="center"/>
          </w:tcPr>
          <w:p w14:paraId="7CE3DA3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煤矿未依法设置安全警示标志的</w:t>
            </w:r>
          </w:p>
        </w:tc>
        <w:tc>
          <w:tcPr>
            <w:tcW w:w="3667" w:type="dxa"/>
            <w:vMerge w:val="restart"/>
            <w:tcBorders>
              <w:tl2br w:val="nil"/>
              <w:tr2bl w:val="nil"/>
            </w:tcBorders>
            <w:shd w:val="clear" w:color="auto" w:fill="auto"/>
            <w:tcMar>
              <w:top w:w="15" w:type="dxa"/>
              <w:left w:w="15" w:type="dxa"/>
              <w:right w:w="15" w:type="dxa"/>
            </w:tcMar>
            <w:vAlign w:val="center"/>
          </w:tcPr>
          <w:p w14:paraId="2981DFB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《安全生产法》第三十五条 生产经营单位应当在有较大危险因素的生产经营场所和有关设施、设备上，设置明显的安全警示标志。</w:t>
            </w:r>
          </w:p>
        </w:tc>
        <w:tc>
          <w:tcPr>
            <w:tcW w:w="4082" w:type="dxa"/>
            <w:vMerge w:val="restart"/>
            <w:tcBorders>
              <w:tl2br w:val="nil"/>
              <w:tr2bl w:val="nil"/>
            </w:tcBorders>
            <w:shd w:val="clear" w:color="auto" w:fill="auto"/>
            <w:tcMar>
              <w:top w:w="15" w:type="dxa"/>
              <w:left w:w="15" w:type="dxa"/>
              <w:right w:w="15" w:type="dxa"/>
            </w:tcMar>
            <w:vAlign w:val="center"/>
          </w:tcPr>
          <w:p w14:paraId="30B6E0F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《安全生产法》第九十九条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一）未在有较大危险因素的生产经营场所和有关设施、设备上设置明显的安全警示标志的。</w:t>
            </w:r>
          </w:p>
        </w:tc>
        <w:tc>
          <w:tcPr>
            <w:tcW w:w="459" w:type="dxa"/>
            <w:tcBorders>
              <w:tl2br w:val="nil"/>
              <w:tr2bl w:val="nil"/>
            </w:tcBorders>
            <w:shd w:val="clear" w:color="auto" w:fill="auto"/>
            <w:noWrap/>
            <w:tcMar>
              <w:top w:w="15" w:type="dxa"/>
              <w:left w:w="15" w:type="dxa"/>
              <w:right w:w="15" w:type="dxa"/>
            </w:tcMar>
            <w:vAlign w:val="center"/>
          </w:tcPr>
          <w:p w14:paraId="3631259D">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6CD77ADF">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197275B6">
            <w:pPr>
              <w:keepNext w:val="0"/>
              <w:keepLines w:val="0"/>
              <w:pageBreakBefore w:val="0"/>
              <w:widowControl w:val="0"/>
              <w:kinsoku/>
              <w:wordWrap/>
              <w:overflowPunct w:val="0"/>
              <w:topLinePunct w:val="0"/>
              <w:autoSpaceDE/>
              <w:autoSpaceDN/>
              <w:bidi w:val="0"/>
              <w:adjustRightInd/>
              <w:snapToGrid/>
              <w:spacing w:line="24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D49F2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033573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711A36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7E908D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F79C83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012CA8F">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37BCFC59">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544AB987">
            <w:pPr>
              <w:keepNext w:val="0"/>
              <w:keepLines w:val="0"/>
              <w:pageBreakBefore w:val="0"/>
              <w:widowControl w:val="0"/>
              <w:kinsoku/>
              <w:wordWrap/>
              <w:overflowPunct w:val="0"/>
              <w:topLinePunct w:val="0"/>
              <w:autoSpaceDE/>
              <w:autoSpaceDN/>
              <w:bidi w:val="0"/>
              <w:adjustRightInd/>
              <w:snapToGrid/>
              <w:spacing w:line="24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9B478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927F30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3E738D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8B37A4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0A5CF1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B2C567A">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3364F785">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8D05288">
            <w:pPr>
              <w:keepNext w:val="0"/>
              <w:keepLines w:val="0"/>
              <w:pageBreakBefore w:val="0"/>
              <w:widowControl w:val="0"/>
              <w:kinsoku/>
              <w:wordWrap/>
              <w:overflowPunct w:val="0"/>
              <w:topLinePunct w:val="0"/>
              <w:autoSpaceDE/>
              <w:autoSpaceDN/>
              <w:bidi w:val="0"/>
              <w:adjustRightInd/>
              <w:snapToGrid/>
              <w:spacing w:line="24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4BCE7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632CB2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DDF4DC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70A72F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602072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786FCCB">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55CFD455">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sz w:val="18"/>
                <w:szCs w:val="18"/>
              </w:rPr>
              <w:t>安全警示标志设置不明显或者1处未设置安全警示标志的</w:t>
            </w:r>
          </w:p>
        </w:tc>
        <w:tc>
          <w:tcPr>
            <w:tcW w:w="2655" w:type="dxa"/>
            <w:tcBorders>
              <w:tl2br w:val="nil"/>
              <w:tr2bl w:val="nil"/>
            </w:tcBorders>
            <w:shd w:val="clear" w:color="auto" w:fill="auto"/>
            <w:tcMar>
              <w:top w:w="15" w:type="dxa"/>
              <w:left w:w="15" w:type="dxa"/>
              <w:right w:w="15" w:type="dxa"/>
            </w:tcMar>
            <w:vAlign w:val="center"/>
          </w:tcPr>
          <w:p w14:paraId="5CF57A69">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处2万元以下的罚款。</w:t>
            </w:r>
          </w:p>
        </w:tc>
      </w:tr>
      <w:tr w14:paraId="5CAC93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4D4E11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749873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DF6314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4924FE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3D931F9">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41D4A29C">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sz w:val="18"/>
                <w:szCs w:val="18"/>
              </w:rPr>
              <w:t>2处未设置安全警示标志的</w:t>
            </w:r>
          </w:p>
        </w:tc>
        <w:tc>
          <w:tcPr>
            <w:tcW w:w="2655" w:type="dxa"/>
            <w:tcBorders>
              <w:tl2br w:val="nil"/>
              <w:tr2bl w:val="nil"/>
            </w:tcBorders>
            <w:shd w:val="clear" w:color="auto" w:fill="auto"/>
            <w:tcMar>
              <w:top w:w="15" w:type="dxa"/>
              <w:left w:w="15" w:type="dxa"/>
              <w:right w:w="15" w:type="dxa"/>
            </w:tcMar>
            <w:vAlign w:val="center"/>
          </w:tcPr>
          <w:p w14:paraId="2205D319">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处2万元以上4万元以下的罚款。</w:t>
            </w:r>
          </w:p>
        </w:tc>
      </w:tr>
      <w:tr w14:paraId="519CBF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9BBC53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016C80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69FE4F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88F280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2D773C9">
            <w:pPr>
              <w:keepNext w:val="0"/>
              <w:keepLines w:val="0"/>
              <w:pageBreakBefore w:val="0"/>
              <w:widowControl w:val="0"/>
              <w:kinsoku/>
              <w:wordWrap/>
              <w:overflowPunct w:val="0"/>
              <w:topLinePunct w:val="0"/>
              <w:autoSpaceDE/>
              <w:autoSpaceDN/>
              <w:bidi w:val="0"/>
              <w:adjustRightInd/>
              <w:snapToGrid/>
              <w:spacing w:line="21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19345147">
            <w:pPr>
              <w:keepNext w:val="0"/>
              <w:keepLines w:val="0"/>
              <w:pageBreakBefore w:val="0"/>
              <w:widowControl w:val="0"/>
              <w:kinsoku/>
              <w:wordWrap/>
              <w:overflowPunct w:val="0"/>
              <w:topLinePunct w:val="0"/>
              <w:autoSpaceDE/>
              <w:autoSpaceDN/>
              <w:bidi w:val="0"/>
              <w:adjustRightInd/>
              <w:snapToGrid/>
              <w:spacing w:line="210" w:lineRule="exact"/>
              <w:textAlignment w:val="center"/>
              <w:rPr>
                <w:rFonts w:hint="eastAsia" w:ascii="仿宋_GB2312" w:hAnsi="宋体" w:eastAsia="仿宋_GB2312" w:cs="仿宋_GB2312"/>
                <w:color w:val="auto"/>
                <w:sz w:val="18"/>
                <w:szCs w:val="18"/>
                <w:lang w:eastAsia="zh-CN"/>
              </w:rPr>
            </w:pPr>
            <w:r>
              <w:rPr>
                <w:rFonts w:hint="eastAsia" w:ascii="仿宋_GB2312" w:hAnsi="宋体" w:eastAsia="仿宋_GB2312" w:cs="仿宋_GB2312"/>
                <w:color w:val="auto"/>
                <w:sz w:val="18"/>
                <w:szCs w:val="18"/>
                <w:lang w:val="en-US" w:eastAsia="zh-CN"/>
              </w:rPr>
              <w:t>①</w:t>
            </w:r>
            <w:r>
              <w:rPr>
                <w:rFonts w:hint="eastAsia" w:ascii="仿宋_GB2312" w:hAnsi="宋体" w:eastAsia="仿宋_GB2312" w:cs="仿宋_GB2312"/>
                <w:color w:val="auto"/>
                <w:sz w:val="18"/>
                <w:szCs w:val="18"/>
              </w:rPr>
              <w:t>3处及以上未设置安全警示标志的</w:t>
            </w:r>
            <w:r>
              <w:rPr>
                <w:rFonts w:hint="eastAsia" w:ascii="仿宋_GB2312" w:hAnsi="宋体" w:eastAsia="仿宋_GB2312" w:cs="仿宋_GB2312"/>
                <w:color w:val="auto"/>
                <w:sz w:val="18"/>
                <w:szCs w:val="18"/>
                <w:lang w:eastAsia="zh-CN"/>
              </w:rPr>
              <w:t>。</w:t>
            </w:r>
          </w:p>
          <w:p w14:paraId="59915CC1">
            <w:pPr>
              <w:keepNext w:val="0"/>
              <w:keepLines w:val="0"/>
              <w:pageBreakBefore w:val="0"/>
              <w:widowControl w:val="0"/>
              <w:kinsoku/>
              <w:wordWrap/>
              <w:overflowPunct w:val="0"/>
              <w:topLinePunct w:val="0"/>
              <w:autoSpaceDE/>
              <w:autoSpaceDN/>
              <w:bidi w:val="0"/>
              <w:adjustRightInd/>
              <w:snapToGrid/>
              <w:spacing w:line="210" w:lineRule="exact"/>
              <w:textAlignment w:val="center"/>
              <w:rPr>
                <w:rFonts w:hint="default" w:ascii="仿宋_GB2312" w:hAnsi="宋体" w:eastAsia="仿宋_GB2312" w:cs="仿宋_GB2312"/>
                <w:color w:val="auto"/>
                <w:sz w:val="18"/>
                <w:szCs w:val="18"/>
                <w:lang w:val="en-US" w:eastAsia="zh-CN"/>
              </w:rPr>
            </w:pPr>
            <w:r>
              <w:rPr>
                <w:rFonts w:hint="eastAsia" w:ascii="仿宋_GB2312" w:hAnsi="宋体" w:eastAsia="仿宋_GB2312" w:cs="仿宋_GB2312"/>
                <w:color w:val="auto"/>
                <w:sz w:val="18"/>
                <w:szCs w:val="18"/>
                <w:lang w:val="en-US" w:eastAsia="zh-CN"/>
              </w:rPr>
              <w:t>②情节严重的。</w:t>
            </w:r>
          </w:p>
        </w:tc>
        <w:tc>
          <w:tcPr>
            <w:tcW w:w="2655" w:type="dxa"/>
            <w:tcBorders>
              <w:tl2br w:val="nil"/>
              <w:tr2bl w:val="nil"/>
            </w:tcBorders>
            <w:shd w:val="clear" w:color="auto" w:fill="auto"/>
            <w:tcMar>
              <w:top w:w="15" w:type="dxa"/>
              <w:left w:w="15" w:type="dxa"/>
              <w:right w:w="15" w:type="dxa"/>
            </w:tcMar>
            <w:vAlign w:val="center"/>
          </w:tcPr>
          <w:p w14:paraId="456A5AAE">
            <w:pPr>
              <w:keepNext w:val="0"/>
              <w:keepLines w:val="0"/>
              <w:pageBreakBefore w:val="0"/>
              <w:widowControl w:val="0"/>
              <w:kinsoku/>
              <w:wordWrap/>
              <w:overflowPunct w:val="0"/>
              <w:topLinePunct w:val="0"/>
              <w:autoSpaceDE/>
              <w:autoSpaceDN/>
              <w:bidi w:val="0"/>
              <w:adjustRightInd/>
              <w:snapToGrid/>
              <w:spacing w:line="21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val="en-US" w:eastAsia="zh-CN" w:bidi="ar"/>
              </w:rPr>
              <w:t>①</w:t>
            </w:r>
            <w:r>
              <w:rPr>
                <w:rFonts w:hint="eastAsia" w:ascii="仿宋_GB2312" w:hAnsi="宋体" w:eastAsia="仿宋_GB2312" w:cs="仿宋_GB2312"/>
                <w:color w:val="auto"/>
                <w:kern w:val="0"/>
                <w:sz w:val="18"/>
                <w:szCs w:val="18"/>
                <w:lang w:bidi="ar"/>
              </w:rPr>
              <w:t>处4万元以上5万元以下的罚款。</w:t>
            </w:r>
          </w:p>
          <w:p w14:paraId="505F0D6A">
            <w:pPr>
              <w:keepNext w:val="0"/>
              <w:keepLines w:val="0"/>
              <w:pageBreakBefore w:val="0"/>
              <w:widowControl w:val="0"/>
              <w:kinsoku/>
              <w:wordWrap/>
              <w:overflowPunct w:val="0"/>
              <w:topLinePunct w:val="0"/>
              <w:autoSpaceDE/>
              <w:autoSpaceDN/>
              <w:bidi w:val="0"/>
              <w:adjustRightInd/>
              <w:snapToGrid/>
              <w:spacing w:line="21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val="en-US" w:eastAsia="zh-CN" w:bidi="ar"/>
              </w:rPr>
              <w:t>②</w:t>
            </w:r>
            <w:r>
              <w:rPr>
                <w:rFonts w:hint="eastAsia" w:ascii="仿宋_GB2312" w:hAnsi="宋体" w:eastAsia="仿宋_GB2312" w:cs="仿宋_GB2312"/>
                <w:color w:val="auto"/>
                <w:kern w:val="0"/>
                <w:sz w:val="18"/>
                <w:szCs w:val="18"/>
                <w:lang w:bidi="ar"/>
                <w:rPrChange w:id="1819" w:author="LV" w:date="2026-07-14T15:52:25Z">
                  <w:rPr>
                    <w:rFonts w:hint="eastAsia" w:ascii="仿宋_GB2312" w:hAnsi="宋体" w:eastAsia="仿宋_GB2312" w:cs="仿宋_GB2312"/>
                    <w:color w:val="FF0000"/>
                    <w:kern w:val="0"/>
                    <w:sz w:val="18"/>
                    <w:szCs w:val="18"/>
                    <w:lang w:bidi="ar"/>
                  </w:rPr>
                </w:rPrChange>
              </w:rPr>
              <w:t>情节严重的</w:t>
            </w:r>
            <w:r>
              <w:rPr>
                <w:rFonts w:hint="eastAsia" w:ascii="仿宋_GB2312" w:hAnsi="宋体" w:eastAsia="仿宋_GB2312" w:cs="仿宋_GB2312"/>
                <w:color w:val="auto"/>
                <w:kern w:val="0"/>
                <w:sz w:val="18"/>
                <w:szCs w:val="18"/>
                <w:lang w:eastAsia="zh-CN" w:bidi="ar"/>
                <w:rPrChange w:id="1820" w:author="LV" w:date="2026-07-14T15:52:25Z">
                  <w:rPr>
                    <w:rFonts w:hint="eastAsia" w:ascii="仿宋_GB2312" w:hAnsi="宋体" w:eastAsia="仿宋_GB2312" w:cs="仿宋_GB2312"/>
                    <w:color w:val="FF0000"/>
                    <w:kern w:val="0"/>
                    <w:sz w:val="18"/>
                    <w:szCs w:val="18"/>
                    <w:lang w:eastAsia="zh-CN" w:bidi="ar"/>
                  </w:rPr>
                </w:rPrChange>
              </w:rPr>
              <w:t>，</w:t>
            </w:r>
            <w:r>
              <w:rPr>
                <w:rFonts w:hint="eastAsia" w:ascii="仿宋_GB2312" w:hAnsi="宋体" w:eastAsia="仿宋_GB2312" w:cs="仿宋_GB2312"/>
                <w:color w:val="auto"/>
                <w:kern w:val="0"/>
                <w:sz w:val="18"/>
                <w:szCs w:val="18"/>
                <w:lang w:bidi="ar"/>
                <w:rPrChange w:id="1821" w:author="LV" w:date="2026-07-14T15:52:25Z">
                  <w:rPr>
                    <w:rFonts w:hint="eastAsia" w:ascii="仿宋_GB2312" w:hAnsi="宋体" w:eastAsia="仿宋_GB2312" w:cs="仿宋_GB2312"/>
                    <w:kern w:val="0"/>
                    <w:sz w:val="18"/>
                    <w:szCs w:val="18"/>
                    <w:lang w:bidi="ar"/>
                  </w:rPr>
                </w:rPrChange>
              </w:rPr>
              <w:t>责令停产停业整顿</w:t>
            </w:r>
            <w:r>
              <w:rPr>
                <w:rFonts w:hint="eastAsia" w:ascii="仿宋_GB2312" w:hAnsi="宋体" w:eastAsia="仿宋_GB2312" w:cs="仿宋_GB2312"/>
                <w:color w:val="auto"/>
                <w:kern w:val="0"/>
                <w:sz w:val="18"/>
                <w:szCs w:val="18"/>
                <w:lang w:eastAsia="zh-CN" w:bidi="ar"/>
                <w:rPrChange w:id="1822" w:author="LV" w:date="2026-07-14T15:52:25Z">
                  <w:rPr>
                    <w:rFonts w:hint="eastAsia" w:ascii="仿宋_GB2312" w:hAnsi="宋体" w:eastAsia="仿宋_GB2312" w:cs="仿宋_GB2312"/>
                    <w:kern w:val="0"/>
                    <w:sz w:val="18"/>
                    <w:szCs w:val="18"/>
                    <w:lang w:eastAsia="zh-CN" w:bidi="ar"/>
                  </w:rPr>
                </w:rPrChange>
              </w:rPr>
              <w:t>，</w:t>
            </w:r>
            <w:r>
              <w:rPr>
                <w:rFonts w:hint="eastAsia" w:ascii="仿宋_GB2312" w:hAnsi="宋体" w:eastAsia="仿宋_GB2312" w:cs="仿宋_GB2312"/>
                <w:color w:val="auto"/>
                <w:kern w:val="0"/>
                <w:sz w:val="18"/>
                <w:szCs w:val="18"/>
                <w:lang w:bidi="ar"/>
              </w:rPr>
              <w:t>处4万元以上5万元以下的罚款。</w:t>
            </w:r>
          </w:p>
        </w:tc>
      </w:tr>
      <w:tr w14:paraId="7345D7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17E11E9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del w:id="1823" w:author="LV" w:date="2026-07-14T16:40:38Z">
              <w:r>
                <w:rPr>
                  <w:rFonts w:hint="default" w:ascii="仿宋_GB2312" w:hAnsi="宋体" w:eastAsia="仿宋_GB2312" w:cs="仿宋_GB2312"/>
                  <w:kern w:val="0"/>
                  <w:sz w:val="18"/>
                  <w:szCs w:val="18"/>
                  <w:lang w:val="en-US" w:eastAsia="zh-CN" w:bidi="ar"/>
                </w:rPr>
                <w:delText>8</w:delText>
              </w:r>
            </w:del>
            <w:ins w:id="1824" w:author="LV" w:date="2026-07-14T16:40:38Z">
              <w:r>
                <w:rPr>
                  <w:rFonts w:hint="eastAsia" w:ascii="仿宋_GB2312" w:hAnsi="宋体" w:eastAsia="仿宋_GB2312" w:cs="仿宋_GB2312"/>
                  <w:kern w:val="0"/>
                  <w:sz w:val="18"/>
                  <w:szCs w:val="18"/>
                  <w:lang w:val="en-US" w:eastAsia="zh-CN" w:bidi="ar"/>
                </w:rPr>
                <w:t>9</w:t>
              </w:r>
            </w:ins>
            <w:r>
              <w:rPr>
                <w:rFonts w:hint="eastAsia" w:ascii="仿宋_GB2312" w:hAnsi="宋体" w:eastAsia="仿宋_GB2312" w:cs="仿宋_GB2312"/>
                <w:kern w:val="0"/>
                <w:sz w:val="18"/>
                <w:szCs w:val="18"/>
                <w:lang w:val="en-US" w:eastAsia="zh-CN" w:bidi="ar"/>
              </w:rPr>
              <w:t>9</w:t>
            </w:r>
          </w:p>
        </w:tc>
        <w:tc>
          <w:tcPr>
            <w:tcW w:w="1005" w:type="dxa"/>
            <w:vMerge w:val="restart"/>
            <w:tcBorders>
              <w:tl2br w:val="nil"/>
              <w:tr2bl w:val="nil"/>
            </w:tcBorders>
            <w:shd w:val="clear" w:color="auto" w:fill="auto"/>
            <w:tcMar>
              <w:top w:w="15" w:type="dxa"/>
              <w:left w:w="15" w:type="dxa"/>
              <w:right w:w="15" w:type="dxa"/>
            </w:tcMar>
            <w:vAlign w:val="center"/>
          </w:tcPr>
          <w:p w14:paraId="643F9E4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煤矿未依法设置安全警示标志，逾期未改正的</w:t>
            </w:r>
          </w:p>
        </w:tc>
        <w:tc>
          <w:tcPr>
            <w:tcW w:w="3667" w:type="dxa"/>
            <w:vMerge w:val="restart"/>
            <w:tcBorders>
              <w:tl2br w:val="nil"/>
              <w:tr2bl w:val="nil"/>
            </w:tcBorders>
            <w:shd w:val="clear" w:color="auto" w:fill="auto"/>
            <w:tcMar>
              <w:top w:w="15" w:type="dxa"/>
              <w:left w:w="15" w:type="dxa"/>
              <w:right w:w="15" w:type="dxa"/>
            </w:tcMar>
            <w:vAlign w:val="center"/>
          </w:tcPr>
          <w:p w14:paraId="57DF2B8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《安全生产法》第三十五条 生产经营单位应当在有较大危险因素的生产经营场所和有关设施、设备上，设置明显的安全警示标志。</w:t>
            </w:r>
          </w:p>
        </w:tc>
        <w:tc>
          <w:tcPr>
            <w:tcW w:w="4082" w:type="dxa"/>
            <w:vMerge w:val="restart"/>
            <w:tcBorders>
              <w:tl2br w:val="nil"/>
              <w:tr2bl w:val="nil"/>
            </w:tcBorders>
            <w:shd w:val="clear" w:color="auto" w:fill="auto"/>
            <w:tcMar>
              <w:top w:w="15" w:type="dxa"/>
              <w:left w:w="15" w:type="dxa"/>
              <w:right w:w="15" w:type="dxa"/>
            </w:tcMar>
            <w:vAlign w:val="center"/>
          </w:tcPr>
          <w:p w14:paraId="27BD43F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《安全生产法》第九十九条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一）未在有较大危险因素的生产经营场所和有关设施、设备上设置明显的安全警示标志的。</w:t>
            </w:r>
          </w:p>
        </w:tc>
        <w:tc>
          <w:tcPr>
            <w:tcW w:w="459" w:type="dxa"/>
            <w:tcBorders>
              <w:tl2br w:val="nil"/>
              <w:tr2bl w:val="nil"/>
            </w:tcBorders>
            <w:shd w:val="clear" w:color="auto" w:fill="auto"/>
            <w:noWrap/>
            <w:tcMar>
              <w:top w:w="15" w:type="dxa"/>
              <w:left w:w="15" w:type="dxa"/>
              <w:right w:w="15" w:type="dxa"/>
            </w:tcMar>
            <w:vAlign w:val="center"/>
          </w:tcPr>
          <w:p w14:paraId="653EA9F3">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74278EAC">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7757C26">
            <w:pPr>
              <w:keepNext w:val="0"/>
              <w:keepLines w:val="0"/>
              <w:pageBreakBefore w:val="0"/>
              <w:widowControl w:val="0"/>
              <w:kinsoku/>
              <w:wordWrap/>
              <w:overflowPunct w:val="0"/>
              <w:topLinePunct w:val="0"/>
              <w:autoSpaceDE/>
              <w:autoSpaceDN/>
              <w:bidi w:val="0"/>
              <w:adjustRightInd/>
              <w:snapToGrid/>
              <w:spacing w:line="24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1D9E62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2CD6CD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A535A4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D30631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D5EFA6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BDE30E5">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4171F8FE">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4C1D9519">
            <w:pPr>
              <w:keepNext w:val="0"/>
              <w:keepLines w:val="0"/>
              <w:pageBreakBefore w:val="0"/>
              <w:widowControl w:val="0"/>
              <w:kinsoku/>
              <w:wordWrap/>
              <w:overflowPunct w:val="0"/>
              <w:topLinePunct w:val="0"/>
              <w:autoSpaceDE/>
              <w:autoSpaceDN/>
              <w:bidi w:val="0"/>
              <w:adjustRightInd/>
              <w:snapToGrid/>
              <w:spacing w:line="24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52C526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0A0B31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4EEDCA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C681BB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172606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5C09133">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3E98B798">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E384CA4">
            <w:pPr>
              <w:keepNext w:val="0"/>
              <w:keepLines w:val="0"/>
              <w:pageBreakBefore w:val="0"/>
              <w:widowControl w:val="0"/>
              <w:kinsoku/>
              <w:wordWrap/>
              <w:overflowPunct w:val="0"/>
              <w:topLinePunct w:val="0"/>
              <w:autoSpaceDE/>
              <w:autoSpaceDN/>
              <w:bidi w:val="0"/>
              <w:adjustRightInd/>
              <w:snapToGrid/>
              <w:spacing w:line="24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40C4EA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AF361C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54AEA6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493273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18E728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E693984">
            <w:pPr>
              <w:keepNext w:val="0"/>
              <w:keepLines w:val="0"/>
              <w:pageBreakBefore w:val="0"/>
              <w:widowControl w:val="0"/>
              <w:kinsoku/>
              <w:wordWrap/>
              <w:overflowPunct w:val="0"/>
              <w:topLinePunct w:val="0"/>
              <w:autoSpaceDE/>
              <w:autoSpaceDN/>
              <w:bidi w:val="0"/>
              <w:adjustRightInd/>
              <w:snapToGrid/>
              <w:spacing w:line="21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7C364F60">
            <w:pPr>
              <w:keepNext w:val="0"/>
              <w:keepLines w:val="0"/>
              <w:pageBreakBefore w:val="0"/>
              <w:widowControl w:val="0"/>
              <w:kinsoku/>
              <w:wordWrap/>
              <w:overflowPunct w:val="0"/>
              <w:topLinePunct w:val="0"/>
              <w:autoSpaceDE/>
              <w:autoSpaceDN/>
              <w:bidi w:val="0"/>
              <w:adjustRightInd/>
              <w:snapToGrid/>
              <w:spacing w:line="21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sz w:val="18"/>
                <w:szCs w:val="18"/>
              </w:rPr>
              <w:t>有1处安全警示标志设置不明显逾期未改正的或者超过责令改正期限10日以下的。</w:t>
            </w:r>
          </w:p>
        </w:tc>
        <w:tc>
          <w:tcPr>
            <w:tcW w:w="2655" w:type="dxa"/>
            <w:tcBorders>
              <w:tl2br w:val="nil"/>
              <w:tr2bl w:val="nil"/>
            </w:tcBorders>
            <w:shd w:val="clear" w:color="auto" w:fill="auto"/>
            <w:tcMar>
              <w:top w:w="15" w:type="dxa"/>
              <w:left w:w="15" w:type="dxa"/>
              <w:right w:w="15" w:type="dxa"/>
            </w:tcMar>
            <w:vAlign w:val="center"/>
          </w:tcPr>
          <w:p w14:paraId="4F9CDC9E">
            <w:pPr>
              <w:keepNext w:val="0"/>
              <w:keepLines w:val="0"/>
              <w:pageBreakBefore w:val="0"/>
              <w:widowControl w:val="0"/>
              <w:kinsoku/>
              <w:wordWrap/>
              <w:overflowPunct w:val="0"/>
              <w:topLinePunct w:val="0"/>
              <w:autoSpaceDE/>
              <w:autoSpaceDN/>
              <w:bidi w:val="0"/>
              <w:adjustRightInd/>
              <w:snapToGrid/>
              <w:spacing w:line="21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对煤矿处5万元以上10万元以下的罚款，对其直接负责的主管人员处1万元以上1.3万元以下的罚款。</w:t>
            </w:r>
          </w:p>
        </w:tc>
      </w:tr>
      <w:tr w14:paraId="3E8660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BA5F14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B4128F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D7AD8B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FF8111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4B4DA35">
            <w:pPr>
              <w:keepNext w:val="0"/>
              <w:keepLines w:val="0"/>
              <w:pageBreakBefore w:val="0"/>
              <w:widowControl w:val="0"/>
              <w:kinsoku/>
              <w:wordWrap/>
              <w:overflowPunct w:val="0"/>
              <w:topLinePunct w:val="0"/>
              <w:autoSpaceDE/>
              <w:autoSpaceDN/>
              <w:bidi w:val="0"/>
              <w:adjustRightInd/>
              <w:snapToGrid/>
              <w:spacing w:line="21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4C2E2710">
            <w:pPr>
              <w:keepNext w:val="0"/>
              <w:keepLines w:val="0"/>
              <w:pageBreakBefore w:val="0"/>
              <w:widowControl w:val="0"/>
              <w:kinsoku/>
              <w:wordWrap/>
              <w:overflowPunct w:val="0"/>
              <w:topLinePunct w:val="0"/>
              <w:autoSpaceDE/>
              <w:autoSpaceDN/>
              <w:bidi w:val="0"/>
              <w:adjustRightInd/>
              <w:snapToGrid/>
              <w:spacing w:line="21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sz w:val="18"/>
                <w:szCs w:val="18"/>
              </w:rPr>
              <w:t>有2处安全警示标志设置不明显逾期未改正的或者超过责令改正期限10日以上20日以下的。</w:t>
            </w:r>
          </w:p>
        </w:tc>
        <w:tc>
          <w:tcPr>
            <w:tcW w:w="2655" w:type="dxa"/>
            <w:tcBorders>
              <w:tl2br w:val="nil"/>
              <w:tr2bl w:val="nil"/>
            </w:tcBorders>
            <w:shd w:val="clear" w:color="auto" w:fill="auto"/>
            <w:tcMar>
              <w:top w:w="15" w:type="dxa"/>
              <w:left w:w="15" w:type="dxa"/>
              <w:right w:w="15" w:type="dxa"/>
            </w:tcMar>
            <w:vAlign w:val="center"/>
          </w:tcPr>
          <w:p w14:paraId="19C150E6">
            <w:pPr>
              <w:keepNext w:val="0"/>
              <w:keepLines w:val="0"/>
              <w:pageBreakBefore w:val="0"/>
              <w:widowControl w:val="0"/>
              <w:kinsoku/>
              <w:wordWrap/>
              <w:overflowPunct w:val="0"/>
              <w:topLinePunct w:val="0"/>
              <w:autoSpaceDE/>
              <w:autoSpaceDN/>
              <w:bidi w:val="0"/>
              <w:adjustRightInd/>
              <w:snapToGrid/>
              <w:spacing w:line="21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对煤矿处10万元以上15万元以下的罚款，对其直接负责的主管人员处1</w:t>
            </w:r>
            <w:r>
              <w:rPr>
                <w:rFonts w:ascii="仿宋_GB2312" w:hAnsi="宋体" w:eastAsia="仿宋_GB2312" w:cs="仿宋_GB2312"/>
                <w:color w:val="auto"/>
                <w:kern w:val="0"/>
                <w:sz w:val="18"/>
                <w:szCs w:val="18"/>
                <w:lang w:val="is-IS" w:bidi="ar"/>
              </w:rPr>
              <w:t>.</w:t>
            </w:r>
            <w:r>
              <w:rPr>
                <w:rFonts w:hint="eastAsia" w:ascii="仿宋_GB2312" w:hAnsi="宋体" w:eastAsia="仿宋_GB2312" w:cs="仿宋_GB2312"/>
                <w:color w:val="auto"/>
                <w:kern w:val="0"/>
                <w:sz w:val="18"/>
                <w:szCs w:val="18"/>
                <w:lang w:bidi="ar"/>
              </w:rPr>
              <w:t>3万元以上1.8万元以下的罚款。</w:t>
            </w:r>
          </w:p>
        </w:tc>
      </w:tr>
      <w:tr w14:paraId="45AE3A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D83509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034661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1E6ADF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6250BD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E546BF1">
            <w:pPr>
              <w:keepNext w:val="0"/>
              <w:keepLines w:val="0"/>
              <w:pageBreakBefore w:val="0"/>
              <w:widowControl w:val="0"/>
              <w:kinsoku/>
              <w:wordWrap/>
              <w:overflowPunct w:val="0"/>
              <w:topLinePunct w:val="0"/>
              <w:autoSpaceDE/>
              <w:autoSpaceDN/>
              <w:bidi w:val="0"/>
              <w:adjustRightInd/>
              <w:snapToGrid/>
              <w:spacing w:line="21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51B90848">
            <w:pPr>
              <w:keepNext w:val="0"/>
              <w:keepLines w:val="0"/>
              <w:pageBreakBefore w:val="0"/>
              <w:widowControl w:val="0"/>
              <w:kinsoku/>
              <w:wordWrap/>
              <w:overflowPunct w:val="0"/>
              <w:topLinePunct w:val="0"/>
              <w:autoSpaceDE/>
              <w:autoSpaceDN/>
              <w:bidi w:val="0"/>
              <w:adjustRightInd/>
              <w:snapToGrid/>
              <w:spacing w:line="210" w:lineRule="exact"/>
              <w:textAlignment w:val="center"/>
              <w:rPr>
                <w:rFonts w:hint="eastAsia" w:ascii="仿宋_GB2312" w:hAnsi="宋体" w:eastAsia="仿宋_GB2312" w:cs="仿宋_GB2312"/>
                <w:color w:val="auto"/>
                <w:sz w:val="18"/>
                <w:szCs w:val="18"/>
                <w:rPrChange w:id="1825" w:author="LV" w:date="2026-07-14T15:52:25Z">
                  <w:rPr>
                    <w:rFonts w:hint="eastAsia" w:ascii="仿宋_GB2312" w:hAnsi="宋体" w:eastAsia="仿宋_GB2312" w:cs="仿宋_GB2312"/>
                    <w:color w:val="FF0000"/>
                    <w:sz w:val="18"/>
                    <w:szCs w:val="18"/>
                  </w:rPr>
                </w:rPrChange>
              </w:rPr>
            </w:pPr>
            <w:r>
              <w:rPr>
                <w:rFonts w:hint="eastAsia" w:ascii="仿宋_GB2312" w:hAnsi="宋体" w:eastAsia="仿宋_GB2312" w:cs="仿宋_GB2312"/>
                <w:color w:val="auto"/>
                <w:sz w:val="18"/>
                <w:szCs w:val="18"/>
                <w:lang w:val="en-US" w:eastAsia="zh-CN"/>
                <w:rPrChange w:id="1826" w:author="LV" w:date="2026-07-14T15:52:25Z">
                  <w:rPr>
                    <w:rFonts w:hint="eastAsia" w:ascii="仿宋_GB2312" w:hAnsi="宋体" w:eastAsia="仿宋_GB2312" w:cs="仿宋_GB2312"/>
                    <w:color w:val="FF0000"/>
                    <w:sz w:val="18"/>
                    <w:szCs w:val="18"/>
                    <w:lang w:val="en-US" w:eastAsia="zh-CN"/>
                  </w:rPr>
                </w:rPrChange>
              </w:rPr>
              <w:t>①</w:t>
            </w:r>
            <w:r>
              <w:rPr>
                <w:rFonts w:hint="eastAsia" w:ascii="仿宋_GB2312" w:hAnsi="宋体" w:eastAsia="仿宋_GB2312" w:cs="仿宋_GB2312"/>
                <w:color w:val="auto"/>
                <w:sz w:val="18"/>
                <w:szCs w:val="18"/>
                <w:rPrChange w:id="1827" w:author="LV" w:date="2026-07-14T15:52:25Z">
                  <w:rPr>
                    <w:rFonts w:hint="eastAsia" w:ascii="仿宋_GB2312" w:hAnsi="宋体" w:eastAsia="仿宋_GB2312" w:cs="仿宋_GB2312"/>
                    <w:color w:val="FF0000"/>
                    <w:sz w:val="18"/>
                    <w:szCs w:val="18"/>
                  </w:rPr>
                </w:rPrChange>
              </w:rPr>
              <w:t>有3处以上安全警示标志设置不明显逾期未改正或者1处以上未设置警示标志逾期未改正或者超过责令改正期限20日以上的。</w:t>
            </w:r>
          </w:p>
          <w:p w14:paraId="79247668">
            <w:pPr>
              <w:keepNext w:val="0"/>
              <w:keepLines w:val="0"/>
              <w:pageBreakBefore w:val="0"/>
              <w:widowControl w:val="0"/>
              <w:kinsoku/>
              <w:wordWrap/>
              <w:overflowPunct w:val="0"/>
              <w:topLinePunct w:val="0"/>
              <w:autoSpaceDE/>
              <w:autoSpaceDN/>
              <w:bidi w:val="0"/>
              <w:adjustRightInd/>
              <w:snapToGrid/>
              <w:spacing w:line="210" w:lineRule="exact"/>
              <w:textAlignment w:val="center"/>
              <w:rPr>
                <w:rFonts w:hint="eastAsia" w:ascii="仿宋_GB2312" w:hAnsi="宋体" w:eastAsia="仿宋_GB2312" w:cs="仿宋_GB2312"/>
                <w:color w:val="auto"/>
                <w:sz w:val="18"/>
                <w:szCs w:val="18"/>
                <w:lang w:val="en-US" w:eastAsia="zh-CN"/>
                <w:rPrChange w:id="1828" w:author="LV" w:date="2026-07-14T15:52:25Z">
                  <w:rPr>
                    <w:rFonts w:hint="eastAsia" w:ascii="仿宋_GB2312" w:hAnsi="宋体" w:eastAsia="仿宋_GB2312" w:cs="仿宋_GB2312"/>
                    <w:color w:val="FF0000"/>
                    <w:sz w:val="18"/>
                    <w:szCs w:val="18"/>
                    <w:lang w:val="en-US" w:eastAsia="zh-CN"/>
                  </w:rPr>
                </w:rPrChange>
              </w:rPr>
            </w:pPr>
            <w:r>
              <w:rPr>
                <w:rFonts w:hint="eastAsia" w:ascii="仿宋_GB2312" w:hAnsi="宋体" w:eastAsia="仿宋_GB2312" w:cs="仿宋_GB2312"/>
                <w:color w:val="auto"/>
                <w:sz w:val="18"/>
                <w:szCs w:val="18"/>
                <w:lang w:val="en-US" w:eastAsia="zh-CN"/>
                <w:rPrChange w:id="1829" w:author="LV" w:date="2026-07-14T15:52:25Z">
                  <w:rPr>
                    <w:rFonts w:hint="eastAsia" w:ascii="仿宋_GB2312" w:hAnsi="宋体" w:eastAsia="仿宋_GB2312" w:cs="仿宋_GB2312"/>
                    <w:color w:val="FF0000"/>
                    <w:sz w:val="18"/>
                    <w:szCs w:val="18"/>
                    <w:lang w:val="en-US" w:eastAsia="zh-CN"/>
                  </w:rPr>
                </w:rPrChange>
              </w:rPr>
              <w:t>②</w:t>
            </w:r>
            <w:r>
              <w:rPr>
                <w:rFonts w:hint="eastAsia" w:ascii="仿宋_GB2312" w:hAnsi="宋体" w:eastAsia="仿宋_GB2312" w:cs="仿宋_GB2312"/>
                <w:color w:val="auto"/>
                <w:sz w:val="18"/>
                <w:szCs w:val="18"/>
                <w:rPrChange w:id="1830" w:author="LV" w:date="2026-07-14T15:52:25Z">
                  <w:rPr>
                    <w:rFonts w:hint="eastAsia" w:ascii="仿宋_GB2312" w:hAnsi="宋体" w:eastAsia="仿宋_GB2312" w:cs="仿宋_GB2312"/>
                    <w:color w:val="FF0000"/>
                    <w:sz w:val="18"/>
                    <w:szCs w:val="18"/>
                  </w:rPr>
                </w:rPrChange>
              </w:rPr>
              <w:t>情节严重的</w:t>
            </w:r>
            <w:r>
              <w:rPr>
                <w:rFonts w:hint="eastAsia" w:ascii="仿宋_GB2312" w:hAnsi="宋体" w:eastAsia="仿宋_GB2312" w:cs="仿宋_GB2312"/>
                <w:color w:val="auto"/>
                <w:sz w:val="18"/>
                <w:szCs w:val="18"/>
                <w:lang w:eastAsia="zh-CN"/>
                <w:rPrChange w:id="1831" w:author="LV" w:date="2026-07-14T15:52:25Z">
                  <w:rPr>
                    <w:rFonts w:hint="eastAsia" w:ascii="仿宋_GB2312" w:hAnsi="宋体" w:eastAsia="仿宋_GB2312" w:cs="仿宋_GB2312"/>
                    <w:color w:val="FF0000"/>
                    <w:sz w:val="18"/>
                    <w:szCs w:val="18"/>
                    <w:lang w:eastAsia="zh-CN"/>
                  </w:rPr>
                </w:rPrChange>
              </w:rPr>
              <w:t>。</w:t>
            </w:r>
          </w:p>
        </w:tc>
        <w:tc>
          <w:tcPr>
            <w:tcW w:w="2655" w:type="dxa"/>
            <w:tcBorders>
              <w:tl2br w:val="nil"/>
              <w:tr2bl w:val="nil"/>
            </w:tcBorders>
            <w:shd w:val="clear" w:color="auto" w:fill="auto"/>
            <w:tcMar>
              <w:top w:w="15" w:type="dxa"/>
              <w:left w:w="15" w:type="dxa"/>
              <w:right w:w="15" w:type="dxa"/>
            </w:tcMar>
            <w:vAlign w:val="center"/>
          </w:tcPr>
          <w:p w14:paraId="58123F44">
            <w:pPr>
              <w:keepNext w:val="0"/>
              <w:keepLines w:val="0"/>
              <w:pageBreakBefore w:val="0"/>
              <w:widowControl w:val="0"/>
              <w:kinsoku/>
              <w:wordWrap/>
              <w:overflowPunct w:val="0"/>
              <w:topLinePunct w:val="0"/>
              <w:autoSpaceDE/>
              <w:autoSpaceDN/>
              <w:bidi w:val="0"/>
              <w:adjustRightInd/>
              <w:snapToGrid/>
              <w:spacing w:line="210" w:lineRule="exact"/>
              <w:textAlignment w:val="center"/>
              <w:rPr>
                <w:rFonts w:hint="eastAsia" w:ascii="仿宋_GB2312" w:hAnsi="宋体" w:eastAsia="仿宋_GB2312" w:cs="仿宋_GB2312"/>
                <w:color w:val="auto"/>
                <w:kern w:val="0"/>
                <w:sz w:val="18"/>
                <w:szCs w:val="18"/>
                <w:lang w:bidi="ar"/>
                <w:rPrChange w:id="1832" w:author="LV" w:date="2026-07-14T15:52:25Z">
                  <w:rPr>
                    <w:rFonts w:hint="eastAsia" w:ascii="仿宋_GB2312" w:hAnsi="宋体" w:eastAsia="仿宋_GB2312" w:cs="仿宋_GB2312"/>
                    <w:color w:val="FF0000"/>
                    <w:kern w:val="0"/>
                    <w:sz w:val="18"/>
                    <w:szCs w:val="18"/>
                    <w:lang w:bidi="ar"/>
                  </w:rPr>
                </w:rPrChange>
              </w:rPr>
            </w:pPr>
            <w:r>
              <w:rPr>
                <w:rFonts w:hint="eastAsia" w:ascii="仿宋_GB2312" w:hAnsi="宋体" w:eastAsia="仿宋_GB2312" w:cs="仿宋_GB2312"/>
                <w:color w:val="auto"/>
                <w:kern w:val="0"/>
                <w:sz w:val="18"/>
                <w:szCs w:val="18"/>
                <w:lang w:val="en-US" w:eastAsia="zh-CN" w:bidi="ar"/>
                <w:rPrChange w:id="1833" w:author="LV" w:date="2026-07-14T15:52:25Z">
                  <w:rPr>
                    <w:rFonts w:hint="eastAsia" w:ascii="仿宋_GB2312" w:hAnsi="宋体" w:eastAsia="仿宋_GB2312" w:cs="仿宋_GB2312"/>
                    <w:color w:val="FF0000"/>
                    <w:kern w:val="0"/>
                    <w:sz w:val="18"/>
                    <w:szCs w:val="18"/>
                    <w:lang w:val="en-US" w:eastAsia="zh-CN" w:bidi="ar"/>
                  </w:rPr>
                </w:rPrChange>
              </w:rPr>
              <w:t>①</w:t>
            </w:r>
            <w:r>
              <w:rPr>
                <w:rFonts w:hint="eastAsia" w:ascii="仿宋_GB2312" w:hAnsi="宋体" w:eastAsia="仿宋_GB2312" w:cs="仿宋_GB2312"/>
                <w:color w:val="auto"/>
                <w:kern w:val="0"/>
                <w:sz w:val="18"/>
                <w:szCs w:val="18"/>
                <w:lang w:bidi="ar"/>
                <w:rPrChange w:id="1834" w:author="LV" w:date="2026-07-14T15:52:25Z">
                  <w:rPr>
                    <w:rFonts w:hint="eastAsia" w:ascii="仿宋_GB2312" w:hAnsi="宋体" w:eastAsia="仿宋_GB2312" w:cs="仿宋_GB2312"/>
                    <w:color w:val="FF0000"/>
                    <w:kern w:val="0"/>
                    <w:sz w:val="18"/>
                    <w:szCs w:val="18"/>
                    <w:lang w:bidi="ar"/>
                  </w:rPr>
                </w:rPrChange>
              </w:rPr>
              <w:t>对煤矿处15万元以上20万元以下的罚款，对其直接负责的主管人员和其他直接责任人员处1.8万元以上2万元以下的罚款。</w:t>
            </w:r>
          </w:p>
          <w:p w14:paraId="6FA7E88B">
            <w:pPr>
              <w:keepNext w:val="0"/>
              <w:keepLines w:val="0"/>
              <w:pageBreakBefore w:val="0"/>
              <w:widowControl w:val="0"/>
              <w:kinsoku/>
              <w:wordWrap/>
              <w:overflowPunct w:val="0"/>
              <w:topLinePunct w:val="0"/>
              <w:autoSpaceDE/>
              <w:autoSpaceDN/>
              <w:bidi w:val="0"/>
              <w:adjustRightInd/>
              <w:snapToGrid/>
              <w:spacing w:line="210" w:lineRule="exact"/>
              <w:textAlignment w:val="center"/>
              <w:rPr>
                <w:rFonts w:ascii="仿宋_GB2312" w:hAnsi="宋体" w:eastAsia="仿宋_GB2312" w:cs="仿宋_GB2312"/>
                <w:color w:val="auto"/>
                <w:sz w:val="18"/>
                <w:szCs w:val="18"/>
                <w:rPrChange w:id="1835" w:author="LV" w:date="2026-07-14T15:52:25Z">
                  <w:rPr>
                    <w:rFonts w:ascii="仿宋_GB2312" w:hAnsi="宋体" w:eastAsia="仿宋_GB2312" w:cs="仿宋_GB2312"/>
                    <w:color w:val="FF0000"/>
                    <w:sz w:val="18"/>
                    <w:szCs w:val="18"/>
                  </w:rPr>
                </w:rPrChange>
              </w:rPr>
            </w:pPr>
            <w:r>
              <w:rPr>
                <w:rFonts w:hint="eastAsia" w:ascii="仿宋_GB2312" w:hAnsi="宋体" w:eastAsia="仿宋_GB2312" w:cs="仿宋_GB2312"/>
                <w:color w:val="auto"/>
                <w:kern w:val="0"/>
                <w:sz w:val="18"/>
                <w:szCs w:val="18"/>
                <w:lang w:val="en-US" w:eastAsia="zh-CN" w:bidi="ar"/>
                <w:rPrChange w:id="1836" w:author="LV" w:date="2026-07-14T15:52:25Z">
                  <w:rPr>
                    <w:rFonts w:hint="eastAsia" w:ascii="仿宋_GB2312" w:hAnsi="宋体" w:eastAsia="仿宋_GB2312" w:cs="仿宋_GB2312"/>
                    <w:color w:val="FF0000"/>
                    <w:kern w:val="0"/>
                    <w:sz w:val="18"/>
                    <w:szCs w:val="18"/>
                    <w:lang w:val="en-US" w:eastAsia="zh-CN" w:bidi="ar"/>
                  </w:rPr>
                </w:rPrChange>
              </w:rPr>
              <w:t>②</w:t>
            </w:r>
            <w:r>
              <w:rPr>
                <w:rFonts w:hint="eastAsia" w:ascii="仿宋_GB2312" w:hAnsi="宋体" w:eastAsia="仿宋_GB2312" w:cs="仿宋_GB2312"/>
                <w:color w:val="auto"/>
                <w:kern w:val="0"/>
                <w:sz w:val="18"/>
                <w:szCs w:val="18"/>
                <w:lang w:bidi="ar"/>
                <w:rPrChange w:id="1837" w:author="LV" w:date="2026-07-14T15:52:25Z">
                  <w:rPr>
                    <w:rFonts w:hint="eastAsia" w:ascii="仿宋_GB2312" w:hAnsi="宋体" w:eastAsia="仿宋_GB2312" w:cs="仿宋_GB2312"/>
                    <w:color w:val="FF0000"/>
                    <w:kern w:val="0"/>
                    <w:sz w:val="18"/>
                    <w:szCs w:val="18"/>
                    <w:lang w:bidi="ar"/>
                  </w:rPr>
                </w:rPrChange>
              </w:rPr>
              <w:t>情节严重的</w:t>
            </w:r>
            <w:r>
              <w:rPr>
                <w:rFonts w:hint="eastAsia" w:ascii="仿宋_GB2312" w:hAnsi="宋体" w:eastAsia="仿宋_GB2312" w:cs="仿宋_GB2312"/>
                <w:color w:val="auto"/>
                <w:kern w:val="0"/>
                <w:sz w:val="18"/>
                <w:szCs w:val="18"/>
                <w:lang w:eastAsia="zh-CN" w:bidi="ar"/>
                <w:rPrChange w:id="1838" w:author="LV" w:date="2026-07-14T15:52:25Z">
                  <w:rPr>
                    <w:rFonts w:hint="eastAsia" w:ascii="仿宋_GB2312" w:hAnsi="宋体" w:eastAsia="仿宋_GB2312" w:cs="仿宋_GB2312"/>
                    <w:color w:val="FF0000"/>
                    <w:kern w:val="0"/>
                    <w:sz w:val="18"/>
                    <w:szCs w:val="18"/>
                    <w:lang w:eastAsia="zh-CN" w:bidi="ar"/>
                  </w:rPr>
                </w:rPrChange>
              </w:rPr>
              <w:t>，</w:t>
            </w:r>
            <w:r>
              <w:rPr>
                <w:rFonts w:hint="eastAsia" w:ascii="仿宋_GB2312" w:hAnsi="宋体" w:eastAsia="仿宋_GB2312" w:cs="仿宋_GB2312"/>
                <w:color w:val="auto"/>
                <w:kern w:val="0"/>
                <w:sz w:val="18"/>
                <w:szCs w:val="18"/>
                <w:lang w:bidi="ar"/>
                <w:rPrChange w:id="1839" w:author="LV" w:date="2026-07-14T15:52:25Z">
                  <w:rPr>
                    <w:rFonts w:hint="eastAsia" w:ascii="仿宋_GB2312" w:hAnsi="宋体" w:eastAsia="仿宋_GB2312" w:cs="仿宋_GB2312"/>
                    <w:color w:val="FF0000"/>
                    <w:kern w:val="0"/>
                    <w:sz w:val="18"/>
                    <w:szCs w:val="18"/>
                    <w:lang w:bidi="ar"/>
                  </w:rPr>
                </w:rPrChange>
              </w:rPr>
              <w:t>责令煤矿停产整顿，对煤矿企业处十五万元以上二十万元以下的罚款，对直接负责的主管人员和其他直接责任人员处</w:t>
            </w:r>
            <w:r>
              <w:rPr>
                <w:rFonts w:hint="eastAsia" w:ascii="仿宋_GB2312" w:hAnsi="宋体" w:eastAsia="仿宋_GB2312" w:cs="仿宋_GB2312"/>
                <w:color w:val="auto"/>
                <w:kern w:val="0"/>
                <w:sz w:val="18"/>
                <w:szCs w:val="18"/>
                <w:lang w:val="en-US" w:eastAsia="zh-CN" w:bidi="ar"/>
                <w:rPrChange w:id="1840" w:author="LV" w:date="2026-07-14T15:52:25Z">
                  <w:rPr>
                    <w:rFonts w:hint="eastAsia" w:ascii="仿宋_GB2312" w:hAnsi="宋体" w:eastAsia="仿宋_GB2312" w:cs="仿宋_GB2312"/>
                    <w:color w:val="FF0000"/>
                    <w:kern w:val="0"/>
                    <w:sz w:val="18"/>
                    <w:szCs w:val="18"/>
                    <w:lang w:val="en-US" w:eastAsia="zh-CN" w:bidi="ar"/>
                  </w:rPr>
                </w:rPrChange>
              </w:rPr>
              <w:t>1.8</w:t>
            </w:r>
            <w:r>
              <w:rPr>
                <w:rFonts w:hint="eastAsia" w:ascii="仿宋_GB2312" w:hAnsi="宋体" w:eastAsia="仿宋_GB2312" w:cs="仿宋_GB2312"/>
                <w:color w:val="auto"/>
                <w:kern w:val="0"/>
                <w:sz w:val="18"/>
                <w:szCs w:val="18"/>
                <w:lang w:bidi="ar"/>
                <w:rPrChange w:id="1841" w:author="LV" w:date="2026-07-14T15:52:25Z">
                  <w:rPr>
                    <w:rFonts w:hint="eastAsia" w:ascii="仿宋_GB2312" w:hAnsi="宋体" w:eastAsia="仿宋_GB2312" w:cs="仿宋_GB2312"/>
                    <w:color w:val="FF0000"/>
                    <w:kern w:val="0"/>
                    <w:sz w:val="18"/>
                    <w:szCs w:val="18"/>
                    <w:lang w:bidi="ar"/>
                  </w:rPr>
                </w:rPrChange>
              </w:rPr>
              <w:t>元以上</w:t>
            </w:r>
            <w:r>
              <w:rPr>
                <w:rFonts w:hint="eastAsia" w:ascii="仿宋_GB2312" w:hAnsi="宋体" w:eastAsia="仿宋_GB2312" w:cs="仿宋_GB2312"/>
                <w:color w:val="auto"/>
                <w:kern w:val="0"/>
                <w:sz w:val="18"/>
                <w:szCs w:val="18"/>
                <w:lang w:val="en-US" w:eastAsia="zh-CN" w:bidi="ar"/>
                <w:rPrChange w:id="1842" w:author="LV" w:date="2026-07-14T15:52:25Z">
                  <w:rPr>
                    <w:rFonts w:hint="eastAsia" w:ascii="仿宋_GB2312" w:hAnsi="宋体" w:eastAsia="仿宋_GB2312" w:cs="仿宋_GB2312"/>
                    <w:color w:val="FF0000"/>
                    <w:kern w:val="0"/>
                    <w:sz w:val="18"/>
                    <w:szCs w:val="18"/>
                    <w:lang w:val="en-US" w:eastAsia="zh-CN" w:bidi="ar"/>
                  </w:rPr>
                </w:rPrChange>
              </w:rPr>
              <w:t>2</w:t>
            </w:r>
            <w:r>
              <w:rPr>
                <w:rFonts w:hint="eastAsia" w:ascii="仿宋_GB2312" w:hAnsi="宋体" w:eastAsia="仿宋_GB2312" w:cs="仿宋_GB2312"/>
                <w:color w:val="auto"/>
                <w:kern w:val="0"/>
                <w:sz w:val="18"/>
                <w:szCs w:val="18"/>
                <w:lang w:bidi="ar"/>
                <w:rPrChange w:id="1843" w:author="LV" w:date="2026-07-14T15:52:25Z">
                  <w:rPr>
                    <w:rFonts w:hint="eastAsia" w:ascii="仿宋_GB2312" w:hAnsi="宋体" w:eastAsia="仿宋_GB2312" w:cs="仿宋_GB2312"/>
                    <w:color w:val="FF0000"/>
                    <w:kern w:val="0"/>
                    <w:sz w:val="18"/>
                    <w:szCs w:val="18"/>
                    <w:lang w:bidi="ar"/>
                  </w:rPr>
                </w:rPrChange>
              </w:rPr>
              <w:t>万元以下的罚款。</w:t>
            </w:r>
          </w:p>
        </w:tc>
      </w:tr>
      <w:tr w14:paraId="0042C5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54" w:hRule="atLeast"/>
          <w:jc w:val="center"/>
          <w:del w:id="1844" w:author="LV" w:date="2026-07-14T16:40:46Z"/>
        </w:trPr>
        <w:tc>
          <w:tcPr>
            <w:tcW w:w="418" w:type="dxa"/>
            <w:tcBorders>
              <w:tl2br w:val="nil"/>
              <w:tr2bl w:val="nil"/>
            </w:tcBorders>
            <w:shd w:val="clear" w:color="auto" w:fill="auto"/>
            <w:noWrap/>
            <w:tcMar>
              <w:top w:w="15" w:type="dxa"/>
              <w:left w:w="15" w:type="dxa"/>
              <w:right w:w="15" w:type="dxa"/>
            </w:tcMar>
            <w:vAlign w:val="center"/>
          </w:tcPr>
          <w:p w14:paraId="05A8C8A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del w:id="1845" w:author="LV" w:date="2026-07-14T16:40:46Z"/>
                <w:rFonts w:ascii="仿宋_GB2312" w:hAnsi="宋体" w:eastAsia="仿宋_GB2312" w:cs="仿宋_GB2312"/>
                <w:sz w:val="18"/>
                <w:szCs w:val="18"/>
              </w:rPr>
            </w:pPr>
            <w:del w:id="1846" w:author="LV" w:date="2026-07-14T16:40:46Z">
              <w:r>
                <w:rPr>
                  <w:rFonts w:hint="eastAsia" w:ascii="仿宋_GB2312" w:hAnsi="宋体" w:eastAsia="仿宋_GB2312" w:cs="仿宋_GB2312"/>
                  <w:color w:val="auto"/>
                  <w:kern w:val="0"/>
                  <w:sz w:val="18"/>
                  <w:szCs w:val="18"/>
                  <w:lang w:val="en-US" w:eastAsia="zh-CN" w:bidi="ar"/>
                </w:rPr>
                <w:delText>90</w:delText>
              </w:r>
            </w:del>
          </w:p>
        </w:tc>
        <w:tc>
          <w:tcPr>
            <w:tcW w:w="1005" w:type="dxa"/>
            <w:tcBorders>
              <w:tl2br w:val="nil"/>
              <w:tr2bl w:val="nil"/>
            </w:tcBorders>
            <w:shd w:val="clear" w:color="auto" w:fill="auto"/>
            <w:tcMar>
              <w:top w:w="15" w:type="dxa"/>
              <w:left w:w="15" w:type="dxa"/>
              <w:right w:w="15" w:type="dxa"/>
            </w:tcMar>
            <w:vAlign w:val="center"/>
          </w:tcPr>
          <w:p w14:paraId="479650C2">
            <w:pPr>
              <w:keepNext w:val="0"/>
              <w:keepLines w:val="0"/>
              <w:pageBreakBefore w:val="0"/>
              <w:widowControl w:val="0"/>
              <w:kinsoku/>
              <w:wordWrap/>
              <w:overflowPunct w:val="0"/>
              <w:topLinePunct w:val="0"/>
              <w:autoSpaceDE/>
              <w:autoSpaceDN/>
              <w:bidi w:val="0"/>
              <w:adjustRightInd/>
              <w:snapToGrid/>
              <w:spacing w:line="280" w:lineRule="exact"/>
              <w:rPr>
                <w:del w:id="1847" w:author="LV" w:date="2026-07-14T16:40:46Z"/>
                <w:rFonts w:ascii="仿宋_GB2312" w:hAnsi="宋体" w:eastAsia="仿宋_GB2312" w:cs="仿宋_GB2312"/>
                <w:sz w:val="18"/>
                <w:szCs w:val="18"/>
              </w:rPr>
            </w:pPr>
            <w:del w:id="1848" w:author="LV" w:date="2026-07-14T16:40:46Z">
              <w:r>
                <w:rPr>
                  <w:rFonts w:hint="eastAsia" w:ascii="仿宋_GB2312" w:hAnsi="宋体" w:eastAsia="仿宋_GB2312" w:cs="仿宋_GB2312"/>
                  <w:sz w:val="18"/>
                  <w:szCs w:val="18"/>
                  <w:lang w:val="en-US" w:eastAsia="zh-CN"/>
                </w:rPr>
                <w:delText>删除与89合并</w:delText>
              </w:r>
            </w:del>
          </w:p>
        </w:tc>
        <w:tc>
          <w:tcPr>
            <w:tcW w:w="3667" w:type="dxa"/>
            <w:tcBorders>
              <w:tl2br w:val="nil"/>
              <w:tr2bl w:val="nil"/>
            </w:tcBorders>
            <w:shd w:val="clear" w:color="auto" w:fill="auto"/>
            <w:tcMar>
              <w:top w:w="15" w:type="dxa"/>
              <w:left w:w="15" w:type="dxa"/>
              <w:right w:w="15" w:type="dxa"/>
            </w:tcMar>
            <w:vAlign w:val="center"/>
          </w:tcPr>
          <w:p w14:paraId="7478C03B">
            <w:pPr>
              <w:keepNext w:val="0"/>
              <w:keepLines w:val="0"/>
              <w:pageBreakBefore w:val="0"/>
              <w:widowControl w:val="0"/>
              <w:kinsoku/>
              <w:wordWrap/>
              <w:overflowPunct w:val="0"/>
              <w:topLinePunct w:val="0"/>
              <w:autoSpaceDE/>
              <w:autoSpaceDN/>
              <w:bidi w:val="0"/>
              <w:adjustRightInd/>
              <w:snapToGrid/>
              <w:spacing w:line="280" w:lineRule="exact"/>
              <w:rPr>
                <w:del w:id="1849" w:author="LV" w:date="2026-07-14T16:40:46Z"/>
                <w:rFonts w:ascii="仿宋_GB2312" w:hAnsi="宋体" w:eastAsia="仿宋_GB2312" w:cs="仿宋_GB2312"/>
                <w:sz w:val="18"/>
                <w:szCs w:val="18"/>
              </w:rPr>
            </w:pPr>
          </w:p>
        </w:tc>
        <w:tc>
          <w:tcPr>
            <w:tcW w:w="4082" w:type="dxa"/>
            <w:tcBorders>
              <w:tl2br w:val="nil"/>
              <w:tr2bl w:val="nil"/>
            </w:tcBorders>
            <w:shd w:val="clear" w:color="auto" w:fill="auto"/>
            <w:tcMar>
              <w:top w:w="15" w:type="dxa"/>
              <w:left w:w="15" w:type="dxa"/>
              <w:right w:w="15" w:type="dxa"/>
            </w:tcMar>
            <w:vAlign w:val="center"/>
          </w:tcPr>
          <w:p w14:paraId="049F7D7B">
            <w:pPr>
              <w:keepNext w:val="0"/>
              <w:keepLines w:val="0"/>
              <w:pageBreakBefore w:val="0"/>
              <w:widowControl w:val="0"/>
              <w:kinsoku/>
              <w:wordWrap/>
              <w:overflowPunct w:val="0"/>
              <w:topLinePunct w:val="0"/>
              <w:autoSpaceDE/>
              <w:autoSpaceDN/>
              <w:bidi w:val="0"/>
              <w:adjustRightInd/>
              <w:snapToGrid/>
              <w:spacing w:line="280" w:lineRule="exact"/>
              <w:rPr>
                <w:del w:id="1850" w:author="LV" w:date="2026-07-14T16:40:46Z"/>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834D9B3">
            <w:pPr>
              <w:keepNext w:val="0"/>
              <w:keepLines w:val="0"/>
              <w:pageBreakBefore w:val="0"/>
              <w:widowControl w:val="0"/>
              <w:kinsoku/>
              <w:wordWrap/>
              <w:overflowPunct w:val="0"/>
              <w:topLinePunct w:val="0"/>
              <w:autoSpaceDE/>
              <w:autoSpaceDN/>
              <w:bidi w:val="0"/>
              <w:adjustRightInd/>
              <w:snapToGrid/>
              <w:spacing w:line="210" w:lineRule="exact"/>
              <w:ind w:left="0" w:leftChars="0" w:right="0" w:rightChars="0" w:firstLine="0" w:firstLineChars="0"/>
              <w:jc w:val="center"/>
              <w:textAlignment w:val="center"/>
              <w:rPr>
                <w:del w:id="1851" w:author="LV" w:date="2026-07-14T16:40:46Z"/>
                <w:rFonts w:hint="eastAsia" w:ascii="仿宋_GB2312" w:hAnsi="宋体" w:eastAsia="仿宋_GB2312" w:cs="仿宋_GB2312"/>
                <w:color w:val="auto"/>
                <w:kern w:val="0"/>
                <w:sz w:val="18"/>
                <w:szCs w:val="18"/>
                <w:lang w:val="en-US" w:eastAsia="zh-CN" w:bidi="ar"/>
              </w:rPr>
            </w:pPr>
          </w:p>
        </w:tc>
        <w:tc>
          <w:tcPr>
            <w:tcW w:w="1829" w:type="dxa"/>
            <w:tcBorders>
              <w:tl2br w:val="nil"/>
              <w:tr2bl w:val="nil"/>
            </w:tcBorders>
            <w:shd w:val="clear" w:color="auto" w:fill="auto"/>
            <w:tcMar>
              <w:top w:w="15" w:type="dxa"/>
              <w:left w:w="15" w:type="dxa"/>
              <w:right w:w="15" w:type="dxa"/>
            </w:tcMar>
            <w:vAlign w:val="center"/>
          </w:tcPr>
          <w:p w14:paraId="7C74D89E">
            <w:pPr>
              <w:keepNext w:val="0"/>
              <w:keepLines w:val="0"/>
              <w:pageBreakBefore w:val="0"/>
              <w:widowControl w:val="0"/>
              <w:kinsoku/>
              <w:wordWrap/>
              <w:overflowPunct w:val="0"/>
              <w:topLinePunct w:val="0"/>
              <w:autoSpaceDE/>
              <w:autoSpaceDN/>
              <w:bidi w:val="0"/>
              <w:adjustRightInd/>
              <w:snapToGrid/>
              <w:spacing w:line="210" w:lineRule="exact"/>
              <w:textAlignment w:val="center"/>
              <w:rPr>
                <w:del w:id="1852" w:author="LV" w:date="2026-07-14T16:40:46Z"/>
                <w:rFonts w:hint="eastAsia" w:ascii="仿宋_GB2312" w:hAnsi="宋体" w:eastAsia="仿宋_GB2312" w:cs="仿宋_GB2312"/>
                <w:color w:val="auto"/>
                <w:sz w:val="18"/>
                <w:szCs w:val="18"/>
              </w:rPr>
            </w:pPr>
          </w:p>
        </w:tc>
        <w:tc>
          <w:tcPr>
            <w:tcW w:w="2655" w:type="dxa"/>
            <w:tcBorders>
              <w:tl2br w:val="nil"/>
              <w:tr2bl w:val="nil"/>
            </w:tcBorders>
            <w:shd w:val="clear" w:color="auto" w:fill="auto"/>
            <w:tcMar>
              <w:top w:w="15" w:type="dxa"/>
              <w:left w:w="15" w:type="dxa"/>
              <w:right w:w="15" w:type="dxa"/>
            </w:tcMar>
            <w:vAlign w:val="center"/>
          </w:tcPr>
          <w:p w14:paraId="45B3E386">
            <w:pPr>
              <w:keepNext w:val="0"/>
              <w:keepLines w:val="0"/>
              <w:pageBreakBefore w:val="0"/>
              <w:widowControl w:val="0"/>
              <w:kinsoku/>
              <w:wordWrap/>
              <w:overflowPunct w:val="0"/>
              <w:topLinePunct w:val="0"/>
              <w:autoSpaceDE/>
              <w:autoSpaceDN/>
              <w:bidi w:val="0"/>
              <w:adjustRightInd/>
              <w:snapToGrid/>
              <w:spacing w:line="210" w:lineRule="exact"/>
              <w:textAlignment w:val="center"/>
              <w:rPr>
                <w:del w:id="1853" w:author="LV" w:date="2026-07-14T16:40:46Z"/>
                <w:rFonts w:hint="eastAsia" w:ascii="仿宋_GB2312" w:hAnsi="宋体" w:eastAsia="仿宋_GB2312" w:cs="仿宋_GB2312"/>
                <w:color w:val="auto"/>
                <w:kern w:val="0"/>
                <w:sz w:val="18"/>
                <w:szCs w:val="18"/>
                <w:lang w:bidi="ar"/>
              </w:rPr>
            </w:pPr>
          </w:p>
        </w:tc>
      </w:tr>
      <w:tr w14:paraId="37922F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10EC15E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del w:id="1854" w:author="LV" w:date="2026-07-14T16:40:52Z">
              <w:r>
                <w:rPr>
                  <w:rFonts w:hint="default" w:ascii="仿宋_GB2312" w:hAnsi="宋体" w:eastAsia="仿宋_GB2312" w:cs="仿宋_GB2312"/>
                  <w:kern w:val="0"/>
                  <w:sz w:val="18"/>
                  <w:szCs w:val="18"/>
                  <w:lang w:val="en-US" w:bidi="ar"/>
                </w:rPr>
                <w:delText>9</w:delText>
              </w:r>
            </w:del>
            <w:del w:id="1855" w:author="LV" w:date="2026-07-14T16:40:52Z">
              <w:r>
                <w:rPr>
                  <w:rFonts w:hint="default" w:ascii="仿宋_GB2312" w:hAnsi="宋体" w:eastAsia="仿宋_GB2312" w:cs="仿宋_GB2312"/>
                  <w:kern w:val="0"/>
                  <w:sz w:val="18"/>
                  <w:szCs w:val="18"/>
                  <w:lang w:val="en-US" w:eastAsia="zh-CN" w:bidi="ar"/>
                </w:rPr>
                <w:delText>1</w:delText>
              </w:r>
            </w:del>
            <w:ins w:id="1856" w:author="LV" w:date="2026-07-14T16:40:52Z">
              <w:r>
                <w:rPr>
                  <w:rFonts w:hint="eastAsia" w:ascii="仿宋_GB2312" w:hAnsi="宋体" w:eastAsia="仿宋_GB2312" w:cs="仿宋_GB2312"/>
                  <w:kern w:val="0"/>
                  <w:sz w:val="18"/>
                  <w:szCs w:val="18"/>
                  <w:lang w:val="en-US" w:eastAsia="zh-CN" w:bidi="ar"/>
                </w:rPr>
                <w:t>1</w:t>
              </w:r>
            </w:ins>
            <w:ins w:id="1857" w:author="LV" w:date="2026-07-14T16:40:53Z">
              <w:r>
                <w:rPr>
                  <w:rFonts w:hint="eastAsia" w:ascii="仿宋_GB2312" w:hAnsi="宋体" w:eastAsia="仿宋_GB2312" w:cs="仿宋_GB2312"/>
                  <w:kern w:val="0"/>
                  <w:sz w:val="18"/>
                  <w:szCs w:val="18"/>
                  <w:lang w:val="en-US" w:eastAsia="zh-CN" w:bidi="ar"/>
                </w:rPr>
                <w:t>0</w:t>
              </w:r>
            </w:ins>
            <w:ins w:id="1858" w:author="LV" w:date="2026-07-14T16:40:54Z">
              <w:r>
                <w:rPr>
                  <w:rFonts w:hint="eastAsia" w:ascii="仿宋_GB2312" w:hAnsi="宋体" w:eastAsia="仿宋_GB2312" w:cs="仿宋_GB2312"/>
                  <w:kern w:val="0"/>
                  <w:sz w:val="18"/>
                  <w:szCs w:val="18"/>
                  <w:lang w:val="en-US" w:eastAsia="zh-CN" w:bidi="ar"/>
                </w:rPr>
                <w:t>0</w:t>
              </w:r>
            </w:ins>
          </w:p>
        </w:tc>
        <w:tc>
          <w:tcPr>
            <w:tcW w:w="1005" w:type="dxa"/>
            <w:vMerge w:val="restart"/>
            <w:tcBorders>
              <w:tl2br w:val="nil"/>
              <w:tr2bl w:val="nil"/>
            </w:tcBorders>
            <w:shd w:val="clear" w:color="auto" w:fill="auto"/>
            <w:tcMar>
              <w:top w:w="15" w:type="dxa"/>
              <w:left w:w="15" w:type="dxa"/>
              <w:right w:w="15" w:type="dxa"/>
            </w:tcMar>
            <w:vAlign w:val="center"/>
          </w:tcPr>
          <w:p w14:paraId="7DB964C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煤矿安全设备的安装、使用、检测、改造和报废不符合国家标准或者行业标准的</w:t>
            </w:r>
          </w:p>
        </w:tc>
        <w:tc>
          <w:tcPr>
            <w:tcW w:w="3667" w:type="dxa"/>
            <w:vMerge w:val="restart"/>
            <w:tcBorders>
              <w:tl2br w:val="nil"/>
              <w:tr2bl w:val="nil"/>
            </w:tcBorders>
            <w:shd w:val="clear" w:color="auto" w:fill="auto"/>
            <w:tcMar>
              <w:top w:w="15" w:type="dxa"/>
              <w:left w:w="15" w:type="dxa"/>
              <w:right w:w="15" w:type="dxa"/>
            </w:tcMar>
            <w:vAlign w:val="center"/>
          </w:tcPr>
          <w:p w14:paraId="59FB21F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《安全生产法》第三十六条第一款</w:t>
            </w:r>
            <w:r>
              <w:rPr>
                <w:rFonts w:ascii="仿宋_GB2312" w:hAnsi="宋体" w:eastAsia="仿宋_GB2312" w:cs="仿宋_GB2312"/>
                <w:kern w:val="0"/>
                <w:sz w:val="18"/>
                <w:szCs w:val="18"/>
                <w:lang w:bidi="ar"/>
              </w:rPr>
              <w:t xml:space="preserve"> </w:t>
            </w:r>
            <w:r>
              <w:rPr>
                <w:rFonts w:hint="eastAsia" w:ascii="仿宋_GB2312" w:hAnsi="宋体" w:eastAsia="仿宋_GB2312" w:cs="仿宋_GB2312"/>
                <w:kern w:val="0"/>
                <w:sz w:val="18"/>
                <w:szCs w:val="18"/>
                <w:lang w:bidi="ar"/>
              </w:rPr>
              <w:t>安全设备的设计、制造、安装、使用、检测、维修、改造和报废，应当符合国家标准或者行业标准。</w:t>
            </w:r>
          </w:p>
          <w:p w14:paraId="431FD5F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《煤矿安全生产条例》第二十五条第一款  煤矿企业使用的安全设备的设计、制造、安装、使用、检测、维修、改造和报废，应当符合国家标准或者行业标准。</w:t>
            </w:r>
          </w:p>
        </w:tc>
        <w:tc>
          <w:tcPr>
            <w:tcW w:w="4082" w:type="dxa"/>
            <w:vMerge w:val="restart"/>
            <w:tcBorders>
              <w:tl2br w:val="nil"/>
              <w:tr2bl w:val="nil"/>
            </w:tcBorders>
            <w:shd w:val="clear" w:color="auto" w:fill="auto"/>
            <w:tcMar>
              <w:top w:w="15" w:type="dxa"/>
              <w:left w:w="15" w:type="dxa"/>
              <w:right w:w="15" w:type="dxa"/>
            </w:tcMar>
            <w:vAlign w:val="center"/>
          </w:tcPr>
          <w:p w14:paraId="3D32ADF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二）安全设备的安装、使用、检测、改造和报废不符合国家标准或者行业标准的。</w:t>
            </w:r>
          </w:p>
          <w:p w14:paraId="66EA911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《煤矿安全生产条例》第七十一条第四项  有下列情形之一的，依照《中华人民共和国安全生产法》有关规定予以处罚：（四）煤矿企业违反本条例第二十四条第一款、第二十五条第一款和第二款、第二十六条第二款规定的。</w:t>
            </w:r>
          </w:p>
        </w:tc>
        <w:tc>
          <w:tcPr>
            <w:tcW w:w="459" w:type="dxa"/>
            <w:tcBorders>
              <w:tl2br w:val="nil"/>
              <w:tr2bl w:val="nil"/>
            </w:tcBorders>
            <w:shd w:val="clear" w:color="auto" w:fill="auto"/>
            <w:noWrap/>
            <w:tcMar>
              <w:top w:w="15" w:type="dxa"/>
              <w:left w:w="15" w:type="dxa"/>
              <w:right w:w="15" w:type="dxa"/>
            </w:tcMar>
            <w:vAlign w:val="center"/>
          </w:tcPr>
          <w:p w14:paraId="4591B02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4AE965C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115CE803">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8E32F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54D903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B6CDED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5E7D0E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020DFD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ABA151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63B8606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32490D43">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42BE1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EF3781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F44772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905AFC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ACEDCE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46ED4A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7DF0041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E4071E6">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C362D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8CA6FC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D95632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6553F0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9885A6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F211F2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0601829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1台（套）安全设备安装、使用、检测、改造和报废不符合国家标准或者行业标准的。</w:t>
            </w:r>
          </w:p>
        </w:tc>
        <w:tc>
          <w:tcPr>
            <w:tcW w:w="2655" w:type="dxa"/>
            <w:tcBorders>
              <w:tl2br w:val="nil"/>
              <w:tr2bl w:val="nil"/>
            </w:tcBorders>
            <w:shd w:val="clear" w:color="auto" w:fill="auto"/>
            <w:tcMar>
              <w:top w:w="15" w:type="dxa"/>
              <w:left w:w="15" w:type="dxa"/>
              <w:right w:w="15" w:type="dxa"/>
            </w:tcMar>
            <w:vAlign w:val="center"/>
          </w:tcPr>
          <w:p w14:paraId="07FDEE0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处2万元以下的罚款。</w:t>
            </w:r>
          </w:p>
        </w:tc>
      </w:tr>
      <w:tr w14:paraId="2F6E21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781243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683D1B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138E9B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E70134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E23778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5E62D46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2台（套）安全设备安装、使用、检测、改造和报废不符合国家标准或者行业标准的。</w:t>
            </w:r>
          </w:p>
        </w:tc>
        <w:tc>
          <w:tcPr>
            <w:tcW w:w="2655" w:type="dxa"/>
            <w:tcBorders>
              <w:tl2br w:val="nil"/>
              <w:tr2bl w:val="nil"/>
            </w:tcBorders>
            <w:shd w:val="clear" w:color="auto" w:fill="auto"/>
            <w:tcMar>
              <w:top w:w="15" w:type="dxa"/>
              <w:left w:w="15" w:type="dxa"/>
              <w:right w:w="15" w:type="dxa"/>
            </w:tcMar>
            <w:vAlign w:val="center"/>
          </w:tcPr>
          <w:p w14:paraId="497D624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处2万元以上4万元以下的罚款。</w:t>
            </w:r>
          </w:p>
        </w:tc>
      </w:tr>
      <w:tr w14:paraId="0EA411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22D3A4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E211C7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679762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A240DC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7A8481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679D9FC8">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1859" w:author="LV" w:date="2026-07-14T16:41:04Z"/>
                <w:rFonts w:hint="eastAsia" w:ascii="仿宋_GB2312" w:hAnsi="宋体" w:eastAsia="仿宋_GB2312" w:cs="仿宋_GB2312"/>
                <w:color w:val="auto"/>
                <w:kern w:val="0"/>
                <w:sz w:val="18"/>
                <w:szCs w:val="18"/>
                <w:lang w:val="en-US" w:eastAsia="zh-CN" w:bidi="ar"/>
              </w:rPr>
            </w:pPr>
          </w:p>
          <w:p w14:paraId="408183B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eastAsia="zh-CN" w:bidi="ar"/>
              </w:rPr>
            </w:pPr>
            <w:r>
              <w:rPr>
                <w:rFonts w:hint="eastAsia" w:ascii="仿宋_GB2312" w:hAnsi="宋体" w:eastAsia="仿宋_GB2312" w:cs="仿宋_GB2312"/>
                <w:color w:val="auto"/>
                <w:kern w:val="0"/>
                <w:sz w:val="18"/>
                <w:szCs w:val="18"/>
                <w:lang w:val="en-US" w:eastAsia="zh-CN" w:bidi="ar"/>
              </w:rPr>
              <w:t>①</w:t>
            </w:r>
            <w:r>
              <w:rPr>
                <w:rFonts w:hint="eastAsia" w:ascii="仿宋_GB2312" w:hAnsi="宋体" w:eastAsia="仿宋_GB2312" w:cs="仿宋_GB2312"/>
                <w:color w:val="auto"/>
                <w:kern w:val="0"/>
                <w:sz w:val="18"/>
                <w:szCs w:val="18"/>
                <w:lang w:bidi="ar"/>
              </w:rPr>
              <w:t>3台（套）以上安全设备安装、使用、检测、改造和报废不符合国家标准或者行业标准的</w:t>
            </w:r>
            <w:r>
              <w:rPr>
                <w:rFonts w:hint="eastAsia" w:ascii="仿宋_GB2312" w:hAnsi="宋体" w:eastAsia="仿宋_GB2312" w:cs="仿宋_GB2312"/>
                <w:color w:val="auto"/>
                <w:kern w:val="0"/>
                <w:sz w:val="18"/>
                <w:szCs w:val="18"/>
                <w:lang w:eastAsia="zh-CN" w:bidi="ar"/>
              </w:rPr>
              <w:t>。</w:t>
            </w:r>
          </w:p>
          <w:p w14:paraId="6B486019">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1860" w:author="LV" w:date="2026-07-14T16:41:02Z"/>
                <w:rFonts w:hint="eastAsia" w:ascii="仿宋_GB2312" w:hAnsi="宋体" w:eastAsia="仿宋_GB2312" w:cs="仿宋_GB2312"/>
                <w:color w:val="auto"/>
                <w:kern w:val="0"/>
                <w:sz w:val="18"/>
                <w:szCs w:val="18"/>
                <w:lang w:val="en-US" w:eastAsia="zh-CN" w:bidi="ar"/>
              </w:rPr>
            </w:pPr>
            <w:r>
              <w:rPr>
                <w:rFonts w:hint="eastAsia" w:ascii="仿宋_GB2312" w:hAnsi="宋体" w:eastAsia="仿宋_GB2312" w:cs="仿宋_GB2312"/>
                <w:color w:val="auto"/>
                <w:kern w:val="0"/>
                <w:sz w:val="18"/>
                <w:szCs w:val="18"/>
                <w:lang w:val="en-US" w:eastAsia="zh-CN" w:bidi="ar"/>
              </w:rPr>
              <w:t>②情节严重的。</w:t>
            </w:r>
          </w:p>
          <w:p w14:paraId="2F8EA7C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val="en-US" w:eastAsia="zh-CN" w:bidi="ar"/>
              </w:rPr>
            </w:pPr>
          </w:p>
        </w:tc>
        <w:tc>
          <w:tcPr>
            <w:tcW w:w="2655" w:type="dxa"/>
            <w:tcBorders>
              <w:tl2br w:val="nil"/>
              <w:tr2bl w:val="nil"/>
            </w:tcBorders>
            <w:shd w:val="clear" w:color="auto" w:fill="auto"/>
            <w:tcMar>
              <w:top w:w="15" w:type="dxa"/>
              <w:left w:w="15" w:type="dxa"/>
              <w:right w:w="15" w:type="dxa"/>
            </w:tcMar>
            <w:vAlign w:val="center"/>
          </w:tcPr>
          <w:p w14:paraId="4DDCB20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val="en-US" w:eastAsia="zh-CN" w:bidi="ar"/>
              </w:rPr>
              <w:t>①</w:t>
            </w:r>
            <w:r>
              <w:rPr>
                <w:rFonts w:hint="eastAsia" w:ascii="仿宋_GB2312" w:hAnsi="宋体" w:eastAsia="仿宋_GB2312" w:cs="仿宋_GB2312"/>
                <w:kern w:val="0"/>
                <w:sz w:val="18"/>
                <w:szCs w:val="18"/>
                <w:lang w:bidi="ar"/>
              </w:rPr>
              <w:t>处4万元以上5万元以下的罚款。</w:t>
            </w:r>
          </w:p>
          <w:p w14:paraId="79AE038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val="en-US" w:eastAsia="zh-CN" w:bidi="ar"/>
              </w:rPr>
              <w:t>②</w:t>
            </w:r>
            <w:r>
              <w:rPr>
                <w:rFonts w:hint="eastAsia" w:ascii="仿宋_GB2312" w:hAnsi="宋体" w:eastAsia="仿宋_GB2312" w:cs="仿宋_GB2312"/>
                <w:kern w:val="0"/>
                <w:sz w:val="18"/>
                <w:szCs w:val="18"/>
                <w:lang w:bidi="ar"/>
              </w:rPr>
              <w:t>责令停产停业整顿</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处4万元以上5万元以下的罚款。</w:t>
            </w:r>
          </w:p>
        </w:tc>
      </w:tr>
      <w:tr w14:paraId="3CBAFA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1861" w:author="LV" w:date="2026-07-14T16:42:20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wBefore w:w="0" w:type="auto"/>
          <w:trHeight w:val="515" w:hRule="atLeast"/>
          <w:jc w:val="center"/>
          <w:trPrChange w:id="1861" w:author="LV" w:date="2026-07-14T16:42:20Z">
            <w:trPr>
              <w:gridBefore w:val="2"/>
              <w:wBefore w:w="15" w:type="dxa"/>
              <w:trHeight w:val="737" w:hRule="atLeast"/>
              <w:jc w:val="center"/>
            </w:trPr>
          </w:trPrChange>
        </w:trPr>
        <w:tc>
          <w:tcPr>
            <w:tcW w:w="418" w:type="dxa"/>
            <w:vMerge w:val="restart"/>
            <w:tcBorders>
              <w:tl2br w:val="nil"/>
              <w:tr2bl w:val="nil"/>
            </w:tcBorders>
            <w:shd w:val="clear" w:color="auto" w:fill="auto"/>
            <w:noWrap/>
            <w:tcMar>
              <w:top w:w="15" w:type="dxa"/>
              <w:left w:w="15" w:type="dxa"/>
              <w:right w:w="15" w:type="dxa"/>
            </w:tcMar>
            <w:vAlign w:val="center"/>
            <w:tcPrChange w:id="1862" w:author="LV" w:date="2026-07-14T16:42:20Z">
              <w:tcPr>
                <w:tcW w:w="418" w:type="dxa"/>
                <w:gridSpan w:val="3"/>
                <w:vMerge w:val="restart"/>
                <w:tcBorders>
                  <w:tl2br w:val="nil"/>
                  <w:tr2bl w:val="nil"/>
                </w:tcBorders>
                <w:shd w:val="clear" w:color="auto" w:fill="auto"/>
                <w:noWrap/>
                <w:tcMar>
                  <w:top w:w="15" w:type="dxa"/>
                  <w:left w:w="15" w:type="dxa"/>
                  <w:right w:w="15" w:type="dxa"/>
                </w:tcMar>
                <w:vAlign w:val="center"/>
              </w:tcPr>
            </w:tcPrChange>
          </w:tcPr>
          <w:p w14:paraId="3DD65EF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del w:id="1863" w:author="LV" w:date="2026-07-14T16:41:10Z">
              <w:r>
                <w:rPr>
                  <w:rFonts w:hint="default" w:ascii="仿宋_GB2312" w:hAnsi="宋体" w:eastAsia="仿宋_GB2312" w:cs="仿宋_GB2312"/>
                  <w:kern w:val="0"/>
                  <w:sz w:val="18"/>
                  <w:szCs w:val="18"/>
                  <w:lang w:val="en-US" w:bidi="ar"/>
                </w:rPr>
                <w:delText>9</w:delText>
              </w:r>
            </w:del>
            <w:del w:id="1864" w:author="LV" w:date="2026-07-14T16:41:10Z">
              <w:r>
                <w:rPr>
                  <w:rFonts w:hint="default" w:ascii="仿宋_GB2312" w:hAnsi="宋体" w:eastAsia="仿宋_GB2312" w:cs="仿宋_GB2312"/>
                  <w:kern w:val="0"/>
                  <w:sz w:val="18"/>
                  <w:szCs w:val="18"/>
                  <w:lang w:val="en-US" w:eastAsia="zh-CN" w:bidi="ar"/>
                </w:rPr>
                <w:delText>2</w:delText>
              </w:r>
            </w:del>
            <w:ins w:id="1865" w:author="LV" w:date="2026-07-14T16:41:10Z">
              <w:r>
                <w:rPr>
                  <w:rFonts w:hint="eastAsia" w:ascii="仿宋_GB2312" w:hAnsi="宋体" w:eastAsia="仿宋_GB2312" w:cs="仿宋_GB2312"/>
                  <w:kern w:val="0"/>
                  <w:sz w:val="18"/>
                  <w:szCs w:val="18"/>
                  <w:lang w:val="en-US" w:eastAsia="zh-CN" w:bidi="ar"/>
                </w:rPr>
                <w:t>1</w:t>
              </w:r>
            </w:ins>
            <w:ins w:id="1866" w:author="LV" w:date="2026-07-14T16:41:11Z">
              <w:r>
                <w:rPr>
                  <w:rFonts w:hint="eastAsia" w:ascii="仿宋_GB2312" w:hAnsi="宋体" w:eastAsia="仿宋_GB2312" w:cs="仿宋_GB2312"/>
                  <w:kern w:val="0"/>
                  <w:sz w:val="18"/>
                  <w:szCs w:val="18"/>
                  <w:lang w:val="en-US" w:eastAsia="zh-CN" w:bidi="ar"/>
                </w:rPr>
                <w:t>01</w:t>
              </w:r>
            </w:ins>
          </w:p>
        </w:tc>
        <w:tc>
          <w:tcPr>
            <w:tcW w:w="1005" w:type="dxa"/>
            <w:vMerge w:val="restart"/>
            <w:tcBorders>
              <w:tl2br w:val="nil"/>
              <w:tr2bl w:val="nil"/>
            </w:tcBorders>
            <w:shd w:val="clear" w:color="auto" w:fill="auto"/>
            <w:tcMar>
              <w:top w:w="15" w:type="dxa"/>
              <w:left w:w="15" w:type="dxa"/>
              <w:right w:w="15" w:type="dxa"/>
            </w:tcMar>
            <w:vAlign w:val="center"/>
            <w:tcPrChange w:id="1867" w:author="LV" w:date="2026-07-14T16:42:20Z">
              <w:tcPr>
                <w:tcW w:w="1005" w:type="dxa"/>
                <w:gridSpan w:val="3"/>
                <w:vMerge w:val="restart"/>
                <w:tcBorders>
                  <w:tl2br w:val="nil"/>
                  <w:tr2bl w:val="nil"/>
                </w:tcBorders>
                <w:shd w:val="clear" w:color="auto" w:fill="auto"/>
                <w:tcMar>
                  <w:top w:w="15" w:type="dxa"/>
                  <w:left w:w="15" w:type="dxa"/>
                  <w:right w:w="15" w:type="dxa"/>
                </w:tcMar>
                <w:vAlign w:val="center"/>
              </w:tcPr>
            </w:tcPrChange>
          </w:tcPr>
          <w:p w14:paraId="5F13E69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煤矿安全设备的安装、使用、检测、改造和报废不符合国家标准或者行业标准，逾期未改正的</w:t>
            </w:r>
          </w:p>
        </w:tc>
        <w:tc>
          <w:tcPr>
            <w:tcW w:w="3667" w:type="dxa"/>
            <w:vMerge w:val="restart"/>
            <w:tcBorders>
              <w:tl2br w:val="nil"/>
              <w:tr2bl w:val="nil"/>
            </w:tcBorders>
            <w:shd w:val="clear" w:color="auto" w:fill="auto"/>
            <w:tcMar>
              <w:top w:w="15" w:type="dxa"/>
              <w:left w:w="15" w:type="dxa"/>
              <w:right w:w="15" w:type="dxa"/>
            </w:tcMar>
            <w:vAlign w:val="center"/>
            <w:tcPrChange w:id="1868" w:author="LV" w:date="2026-07-14T16:42:20Z">
              <w:tcPr>
                <w:tcW w:w="3667" w:type="dxa"/>
                <w:gridSpan w:val="3"/>
                <w:vMerge w:val="restart"/>
                <w:tcBorders>
                  <w:tl2br w:val="nil"/>
                  <w:tr2bl w:val="nil"/>
                </w:tcBorders>
                <w:shd w:val="clear" w:color="auto" w:fill="auto"/>
                <w:tcMar>
                  <w:top w:w="15" w:type="dxa"/>
                  <w:left w:w="15" w:type="dxa"/>
                  <w:right w:w="15" w:type="dxa"/>
                </w:tcMar>
                <w:vAlign w:val="center"/>
              </w:tcPr>
            </w:tcPrChange>
          </w:tcPr>
          <w:p w14:paraId="6A65B53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《安全生产法》第三十六条第一款</w:t>
            </w:r>
            <w:r>
              <w:rPr>
                <w:rFonts w:ascii="仿宋_GB2312" w:hAnsi="宋体" w:eastAsia="仿宋_GB2312" w:cs="仿宋_GB2312"/>
                <w:color w:val="auto"/>
                <w:kern w:val="0"/>
                <w:sz w:val="18"/>
                <w:szCs w:val="18"/>
                <w:lang w:bidi="ar"/>
              </w:rPr>
              <w:t xml:space="preserve"> </w:t>
            </w:r>
            <w:r>
              <w:rPr>
                <w:rFonts w:hint="eastAsia" w:ascii="仿宋_GB2312" w:hAnsi="宋体" w:eastAsia="仿宋_GB2312" w:cs="仿宋_GB2312"/>
                <w:color w:val="auto"/>
                <w:kern w:val="0"/>
                <w:sz w:val="18"/>
                <w:szCs w:val="18"/>
                <w:lang w:bidi="ar"/>
              </w:rPr>
              <w:t>安全设备的设计、制造、安装、使用、检测、维修、改造和报废，应当符合国家标准或者行业标准。</w:t>
            </w:r>
          </w:p>
        </w:tc>
        <w:tc>
          <w:tcPr>
            <w:tcW w:w="4082" w:type="dxa"/>
            <w:vMerge w:val="restart"/>
            <w:tcBorders>
              <w:tl2br w:val="nil"/>
              <w:tr2bl w:val="nil"/>
            </w:tcBorders>
            <w:shd w:val="clear" w:color="auto" w:fill="auto"/>
            <w:tcMar>
              <w:top w:w="15" w:type="dxa"/>
              <w:left w:w="15" w:type="dxa"/>
              <w:right w:w="15" w:type="dxa"/>
            </w:tcMar>
            <w:vAlign w:val="center"/>
            <w:tcPrChange w:id="1869" w:author="LV" w:date="2026-07-14T16:42:20Z">
              <w:tcPr>
                <w:tcW w:w="4082" w:type="dxa"/>
                <w:gridSpan w:val="3"/>
                <w:vMerge w:val="restart"/>
                <w:tcBorders>
                  <w:tl2br w:val="nil"/>
                  <w:tr2bl w:val="nil"/>
                </w:tcBorders>
                <w:shd w:val="clear" w:color="auto" w:fill="auto"/>
                <w:tcMar>
                  <w:top w:w="15" w:type="dxa"/>
                  <w:left w:w="15" w:type="dxa"/>
                  <w:right w:w="15" w:type="dxa"/>
                </w:tcMar>
                <w:vAlign w:val="center"/>
              </w:tcPr>
            </w:tcPrChange>
          </w:tcPr>
          <w:p w14:paraId="5A48DB9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《安全生产法》第九十九条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二）安全设备的安装、使用、检测、改造和报废不符合国家标准或者行业标准的。</w:t>
            </w:r>
          </w:p>
        </w:tc>
        <w:tc>
          <w:tcPr>
            <w:tcW w:w="459" w:type="dxa"/>
            <w:tcBorders>
              <w:tl2br w:val="nil"/>
              <w:tr2bl w:val="nil"/>
            </w:tcBorders>
            <w:shd w:val="clear" w:color="auto" w:fill="auto"/>
            <w:noWrap/>
            <w:tcMar>
              <w:top w:w="15" w:type="dxa"/>
              <w:left w:w="15" w:type="dxa"/>
              <w:right w:w="15" w:type="dxa"/>
            </w:tcMar>
            <w:vAlign w:val="center"/>
            <w:tcPrChange w:id="1870" w:author="LV" w:date="2026-07-14T16:42:20Z">
              <w:tcPr>
                <w:tcW w:w="459" w:type="dxa"/>
                <w:gridSpan w:val="3"/>
                <w:tcBorders>
                  <w:tl2br w:val="nil"/>
                  <w:tr2bl w:val="nil"/>
                </w:tcBorders>
                <w:shd w:val="clear" w:color="auto" w:fill="auto"/>
                <w:noWrap/>
                <w:tcMar>
                  <w:top w:w="15" w:type="dxa"/>
                  <w:left w:w="15" w:type="dxa"/>
                  <w:right w:w="15" w:type="dxa"/>
                </w:tcMar>
                <w:vAlign w:val="center"/>
              </w:tcPr>
            </w:tcPrChange>
          </w:tcPr>
          <w:p w14:paraId="5392C02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Change w:id="1871" w:author="LV" w:date="2026-07-14T16:42:20Z">
              <w:tcPr>
                <w:tcW w:w="1829" w:type="dxa"/>
                <w:gridSpan w:val="3"/>
                <w:tcBorders>
                  <w:tl2br w:val="nil"/>
                  <w:tr2bl w:val="nil"/>
                </w:tcBorders>
                <w:shd w:val="clear" w:color="auto" w:fill="auto"/>
                <w:tcMar>
                  <w:top w:w="15" w:type="dxa"/>
                  <w:left w:w="15" w:type="dxa"/>
                  <w:right w:w="15" w:type="dxa"/>
                </w:tcMar>
                <w:vAlign w:val="center"/>
              </w:tcPr>
            </w:tcPrChange>
          </w:tcPr>
          <w:p w14:paraId="79B8BF5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Change w:id="1872" w:author="LV" w:date="2026-07-14T16:42:20Z">
              <w:tcPr>
                <w:tcW w:w="2655" w:type="dxa"/>
                <w:gridSpan w:val="3"/>
                <w:tcBorders>
                  <w:tl2br w:val="nil"/>
                  <w:tr2bl w:val="nil"/>
                </w:tcBorders>
                <w:shd w:val="clear" w:color="auto" w:fill="auto"/>
                <w:tcMar>
                  <w:top w:w="15" w:type="dxa"/>
                  <w:left w:w="15" w:type="dxa"/>
                  <w:right w:w="15" w:type="dxa"/>
                </w:tcMar>
                <w:vAlign w:val="center"/>
              </w:tcPr>
            </w:tcPrChange>
          </w:tcPr>
          <w:p w14:paraId="4F77BAC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213C2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1873" w:author="LV" w:date="2026-07-14T16:42:15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wBefore w:w="0" w:type="auto"/>
          <w:trHeight w:val="485" w:hRule="atLeast"/>
          <w:jc w:val="center"/>
          <w:trPrChange w:id="1873" w:author="LV" w:date="2026-07-14T16:42:15Z">
            <w:trPr>
              <w:gridBefore w:val="2"/>
              <w:wBefore w:w="15" w:type="dxa"/>
              <w:trHeight w:val="737" w:hRule="atLeast"/>
              <w:jc w:val="center"/>
            </w:trPr>
          </w:trPrChange>
        </w:trPr>
        <w:tc>
          <w:tcPr>
            <w:tcW w:w="418" w:type="dxa"/>
            <w:vMerge w:val="continue"/>
            <w:tcBorders>
              <w:tl2br w:val="nil"/>
              <w:tr2bl w:val="nil"/>
            </w:tcBorders>
            <w:shd w:val="clear" w:color="auto" w:fill="auto"/>
            <w:noWrap/>
            <w:tcMar>
              <w:top w:w="15" w:type="dxa"/>
              <w:left w:w="15" w:type="dxa"/>
              <w:right w:w="15" w:type="dxa"/>
            </w:tcMar>
            <w:vAlign w:val="center"/>
            <w:tcPrChange w:id="1874" w:author="LV" w:date="2026-07-14T16:42:15Z">
              <w:tcPr>
                <w:tcW w:w="418" w:type="dxa"/>
                <w:gridSpan w:val="3"/>
                <w:vMerge w:val="continue"/>
                <w:tcBorders>
                  <w:tl2br w:val="nil"/>
                  <w:tr2bl w:val="nil"/>
                </w:tcBorders>
                <w:shd w:val="clear" w:color="auto" w:fill="auto"/>
                <w:noWrap/>
                <w:tcMar>
                  <w:top w:w="15" w:type="dxa"/>
                  <w:left w:w="15" w:type="dxa"/>
                  <w:right w:w="15" w:type="dxa"/>
                </w:tcMar>
                <w:vAlign w:val="center"/>
              </w:tcPr>
            </w:tcPrChange>
          </w:tcPr>
          <w:p w14:paraId="2501420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Change w:id="1875" w:author="LV" w:date="2026-07-14T16:42:15Z">
              <w:tcPr>
                <w:tcW w:w="1005" w:type="dxa"/>
                <w:gridSpan w:val="3"/>
                <w:vMerge w:val="continue"/>
                <w:tcBorders>
                  <w:tl2br w:val="nil"/>
                  <w:tr2bl w:val="nil"/>
                </w:tcBorders>
                <w:shd w:val="clear" w:color="auto" w:fill="auto"/>
                <w:tcMar>
                  <w:top w:w="15" w:type="dxa"/>
                  <w:left w:w="15" w:type="dxa"/>
                  <w:right w:w="15" w:type="dxa"/>
                </w:tcMar>
                <w:vAlign w:val="center"/>
              </w:tcPr>
            </w:tcPrChange>
          </w:tcPr>
          <w:p w14:paraId="2FA2BE7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Change w:id="1876" w:author="LV" w:date="2026-07-14T16:42:15Z">
              <w:tcPr>
                <w:tcW w:w="3667" w:type="dxa"/>
                <w:gridSpan w:val="3"/>
                <w:vMerge w:val="continue"/>
                <w:tcBorders>
                  <w:tl2br w:val="nil"/>
                  <w:tr2bl w:val="nil"/>
                </w:tcBorders>
                <w:shd w:val="clear" w:color="auto" w:fill="auto"/>
                <w:tcMar>
                  <w:top w:w="15" w:type="dxa"/>
                  <w:left w:w="15" w:type="dxa"/>
                  <w:right w:w="15" w:type="dxa"/>
                </w:tcMar>
                <w:vAlign w:val="center"/>
              </w:tcPr>
            </w:tcPrChange>
          </w:tcPr>
          <w:p w14:paraId="01B93C8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Change w:id="1877" w:author="LV" w:date="2026-07-14T16:42:15Z">
              <w:tcPr>
                <w:tcW w:w="4082" w:type="dxa"/>
                <w:gridSpan w:val="3"/>
                <w:vMerge w:val="continue"/>
                <w:tcBorders>
                  <w:tl2br w:val="nil"/>
                  <w:tr2bl w:val="nil"/>
                </w:tcBorders>
                <w:shd w:val="clear" w:color="auto" w:fill="auto"/>
                <w:tcMar>
                  <w:top w:w="15" w:type="dxa"/>
                  <w:left w:w="15" w:type="dxa"/>
                  <w:right w:w="15" w:type="dxa"/>
                </w:tcMar>
                <w:vAlign w:val="center"/>
              </w:tcPr>
            </w:tcPrChange>
          </w:tcPr>
          <w:p w14:paraId="64C3D78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Change w:id="1878" w:author="LV" w:date="2026-07-14T16:42:15Z">
              <w:tcPr>
                <w:tcW w:w="459" w:type="dxa"/>
                <w:gridSpan w:val="3"/>
                <w:tcBorders>
                  <w:tl2br w:val="nil"/>
                  <w:tr2bl w:val="nil"/>
                </w:tcBorders>
                <w:shd w:val="clear" w:color="auto" w:fill="auto"/>
                <w:noWrap/>
                <w:tcMar>
                  <w:top w:w="15" w:type="dxa"/>
                  <w:left w:w="15" w:type="dxa"/>
                  <w:right w:w="15" w:type="dxa"/>
                </w:tcMar>
                <w:vAlign w:val="center"/>
              </w:tcPr>
            </w:tcPrChange>
          </w:tcPr>
          <w:p w14:paraId="2592D4E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Change w:id="1879" w:author="LV" w:date="2026-07-14T16:42:15Z">
              <w:tcPr>
                <w:tcW w:w="1829" w:type="dxa"/>
                <w:gridSpan w:val="3"/>
                <w:tcBorders>
                  <w:tl2br w:val="nil"/>
                  <w:tr2bl w:val="nil"/>
                </w:tcBorders>
                <w:shd w:val="clear" w:color="auto" w:fill="auto"/>
                <w:tcMar>
                  <w:top w:w="15" w:type="dxa"/>
                  <w:left w:w="15" w:type="dxa"/>
                  <w:right w:w="15" w:type="dxa"/>
                </w:tcMar>
                <w:vAlign w:val="center"/>
              </w:tcPr>
            </w:tcPrChange>
          </w:tcPr>
          <w:p w14:paraId="2D3A822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Change w:id="1880" w:author="LV" w:date="2026-07-14T16:42:15Z">
              <w:tcPr>
                <w:tcW w:w="2655" w:type="dxa"/>
                <w:gridSpan w:val="3"/>
                <w:tcBorders>
                  <w:tl2br w:val="nil"/>
                  <w:tr2bl w:val="nil"/>
                </w:tcBorders>
                <w:shd w:val="clear" w:color="auto" w:fill="auto"/>
                <w:tcMar>
                  <w:top w:w="15" w:type="dxa"/>
                  <w:left w:w="15" w:type="dxa"/>
                  <w:right w:w="15" w:type="dxa"/>
                </w:tcMar>
                <w:vAlign w:val="center"/>
              </w:tcPr>
            </w:tcPrChange>
          </w:tcPr>
          <w:p w14:paraId="35005CE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2E654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1881" w:author="LV" w:date="2026-07-14T16:41:56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wBefore w:w="0" w:type="auto"/>
          <w:trHeight w:val="477" w:hRule="atLeast"/>
          <w:jc w:val="center"/>
          <w:trPrChange w:id="1881" w:author="LV" w:date="2026-07-14T16:41:56Z">
            <w:trPr>
              <w:gridBefore w:val="2"/>
              <w:wBefore w:w="15" w:type="dxa"/>
              <w:trHeight w:val="737" w:hRule="atLeast"/>
              <w:jc w:val="center"/>
            </w:trPr>
          </w:trPrChange>
        </w:trPr>
        <w:tc>
          <w:tcPr>
            <w:tcW w:w="418" w:type="dxa"/>
            <w:vMerge w:val="continue"/>
            <w:tcBorders>
              <w:tl2br w:val="nil"/>
              <w:tr2bl w:val="nil"/>
            </w:tcBorders>
            <w:shd w:val="clear" w:color="auto" w:fill="auto"/>
            <w:noWrap/>
            <w:tcMar>
              <w:top w:w="15" w:type="dxa"/>
              <w:left w:w="15" w:type="dxa"/>
              <w:right w:w="15" w:type="dxa"/>
            </w:tcMar>
            <w:vAlign w:val="center"/>
            <w:tcPrChange w:id="1882" w:author="LV" w:date="2026-07-14T16:41:56Z">
              <w:tcPr>
                <w:tcW w:w="418" w:type="dxa"/>
                <w:gridSpan w:val="3"/>
                <w:vMerge w:val="continue"/>
                <w:tcBorders>
                  <w:tl2br w:val="nil"/>
                  <w:tr2bl w:val="nil"/>
                </w:tcBorders>
                <w:shd w:val="clear" w:color="auto" w:fill="auto"/>
                <w:noWrap/>
                <w:tcMar>
                  <w:top w:w="15" w:type="dxa"/>
                  <w:left w:w="15" w:type="dxa"/>
                  <w:right w:w="15" w:type="dxa"/>
                </w:tcMar>
                <w:vAlign w:val="center"/>
              </w:tcPr>
            </w:tcPrChange>
          </w:tcPr>
          <w:p w14:paraId="2B31D0C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Change w:id="1883" w:author="LV" w:date="2026-07-14T16:41:56Z">
              <w:tcPr>
                <w:tcW w:w="1005" w:type="dxa"/>
                <w:gridSpan w:val="3"/>
                <w:vMerge w:val="continue"/>
                <w:tcBorders>
                  <w:tl2br w:val="nil"/>
                  <w:tr2bl w:val="nil"/>
                </w:tcBorders>
                <w:shd w:val="clear" w:color="auto" w:fill="auto"/>
                <w:tcMar>
                  <w:top w:w="15" w:type="dxa"/>
                  <w:left w:w="15" w:type="dxa"/>
                  <w:right w:w="15" w:type="dxa"/>
                </w:tcMar>
                <w:vAlign w:val="center"/>
              </w:tcPr>
            </w:tcPrChange>
          </w:tcPr>
          <w:p w14:paraId="4146E24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Change w:id="1884" w:author="LV" w:date="2026-07-14T16:41:56Z">
              <w:tcPr>
                <w:tcW w:w="3667" w:type="dxa"/>
                <w:gridSpan w:val="3"/>
                <w:vMerge w:val="continue"/>
                <w:tcBorders>
                  <w:tl2br w:val="nil"/>
                  <w:tr2bl w:val="nil"/>
                </w:tcBorders>
                <w:shd w:val="clear" w:color="auto" w:fill="auto"/>
                <w:tcMar>
                  <w:top w:w="15" w:type="dxa"/>
                  <w:left w:w="15" w:type="dxa"/>
                  <w:right w:w="15" w:type="dxa"/>
                </w:tcMar>
                <w:vAlign w:val="center"/>
              </w:tcPr>
            </w:tcPrChange>
          </w:tcPr>
          <w:p w14:paraId="0DD0B2B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Change w:id="1885" w:author="LV" w:date="2026-07-14T16:41:56Z">
              <w:tcPr>
                <w:tcW w:w="4082" w:type="dxa"/>
                <w:gridSpan w:val="3"/>
                <w:vMerge w:val="continue"/>
                <w:tcBorders>
                  <w:tl2br w:val="nil"/>
                  <w:tr2bl w:val="nil"/>
                </w:tcBorders>
                <w:shd w:val="clear" w:color="auto" w:fill="auto"/>
                <w:tcMar>
                  <w:top w:w="15" w:type="dxa"/>
                  <w:left w:w="15" w:type="dxa"/>
                  <w:right w:w="15" w:type="dxa"/>
                </w:tcMar>
                <w:vAlign w:val="center"/>
              </w:tcPr>
            </w:tcPrChange>
          </w:tcPr>
          <w:p w14:paraId="701204F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Change w:id="1886" w:author="LV" w:date="2026-07-14T16:41:56Z">
              <w:tcPr>
                <w:tcW w:w="459" w:type="dxa"/>
                <w:gridSpan w:val="3"/>
                <w:tcBorders>
                  <w:tl2br w:val="nil"/>
                  <w:tr2bl w:val="nil"/>
                </w:tcBorders>
                <w:shd w:val="clear" w:color="auto" w:fill="auto"/>
                <w:noWrap/>
                <w:tcMar>
                  <w:top w:w="15" w:type="dxa"/>
                  <w:left w:w="15" w:type="dxa"/>
                  <w:right w:w="15" w:type="dxa"/>
                </w:tcMar>
                <w:vAlign w:val="center"/>
              </w:tcPr>
            </w:tcPrChange>
          </w:tcPr>
          <w:p w14:paraId="6AABCA3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Change w:id="1887" w:author="LV" w:date="2026-07-14T16:41:56Z">
              <w:tcPr>
                <w:tcW w:w="1829" w:type="dxa"/>
                <w:gridSpan w:val="3"/>
                <w:tcBorders>
                  <w:tl2br w:val="nil"/>
                  <w:tr2bl w:val="nil"/>
                </w:tcBorders>
                <w:shd w:val="clear" w:color="auto" w:fill="auto"/>
                <w:tcMar>
                  <w:top w:w="15" w:type="dxa"/>
                  <w:left w:w="15" w:type="dxa"/>
                  <w:right w:w="15" w:type="dxa"/>
                </w:tcMar>
                <w:vAlign w:val="center"/>
              </w:tcPr>
            </w:tcPrChange>
          </w:tcPr>
          <w:p w14:paraId="385BE2E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Change w:id="1888" w:author="LV" w:date="2026-07-14T16:41:56Z">
              <w:tcPr>
                <w:tcW w:w="2655" w:type="dxa"/>
                <w:gridSpan w:val="3"/>
                <w:tcBorders>
                  <w:tl2br w:val="nil"/>
                  <w:tr2bl w:val="nil"/>
                </w:tcBorders>
                <w:shd w:val="clear" w:color="auto" w:fill="auto"/>
                <w:tcMar>
                  <w:top w:w="15" w:type="dxa"/>
                  <w:left w:w="15" w:type="dxa"/>
                  <w:right w:w="15" w:type="dxa"/>
                </w:tcMar>
                <w:vAlign w:val="center"/>
              </w:tcPr>
            </w:tcPrChange>
          </w:tcPr>
          <w:p w14:paraId="3DF2955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ECB05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1889" w:author="LV" w:date="2026-07-14T16:42:24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wBefore w:w="0" w:type="auto"/>
          <w:trHeight w:val="1616" w:hRule="atLeast"/>
          <w:jc w:val="center"/>
          <w:trPrChange w:id="1889" w:author="LV" w:date="2026-07-14T16:42:24Z">
            <w:trPr>
              <w:gridBefore w:val="2"/>
              <w:wBefore w:w="15" w:type="dxa"/>
              <w:trHeight w:val="1956" w:hRule="atLeast"/>
              <w:jc w:val="center"/>
            </w:trPr>
          </w:trPrChange>
        </w:trPr>
        <w:tc>
          <w:tcPr>
            <w:tcW w:w="418" w:type="dxa"/>
            <w:vMerge w:val="continue"/>
            <w:tcBorders>
              <w:tl2br w:val="nil"/>
              <w:tr2bl w:val="nil"/>
            </w:tcBorders>
            <w:shd w:val="clear" w:color="auto" w:fill="auto"/>
            <w:noWrap/>
            <w:tcMar>
              <w:top w:w="15" w:type="dxa"/>
              <w:left w:w="15" w:type="dxa"/>
              <w:right w:w="15" w:type="dxa"/>
            </w:tcMar>
            <w:vAlign w:val="center"/>
            <w:tcPrChange w:id="1890" w:author="LV" w:date="2026-07-14T16:42:24Z">
              <w:tcPr>
                <w:tcW w:w="418" w:type="dxa"/>
                <w:gridSpan w:val="3"/>
                <w:vMerge w:val="continue"/>
                <w:tcBorders>
                  <w:tl2br w:val="nil"/>
                  <w:tr2bl w:val="nil"/>
                </w:tcBorders>
                <w:shd w:val="clear" w:color="auto" w:fill="auto"/>
                <w:noWrap/>
                <w:tcMar>
                  <w:top w:w="15" w:type="dxa"/>
                  <w:left w:w="15" w:type="dxa"/>
                  <w:right w:w="15" w:type="dxa"/>
                </w:tcMar>
                <w:vAlign w:val="center"/>
              </w:tcPr>
            </w:tcPrChange>
          </w:tcPr>
          <w:p w14:paraId="26DD2B4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Change w:id="1891" w:author="LV" w:date="2026-07-14T16:42:24Z">
              <w:tcPr>
                <w:tcW w:w="1005" w:type="dxa"/>
                <w:gridSpan w:val="3"/>
                <w:vMerge w:val="continue"/>
                <w:tcBorders>
                  <w:tl2br w:val="nil"/>
                  <w:tr2bl w:val="nil"/>
                </w:tcBorders>
                <w:shd w:val="clear" w:color="auto" w:fill="auto"/>
                <w:tcMar>
                  <w:top w:w="15" w:type="dxa"/>
                  <w:left w:w="15" w:type="dxa"/>
                  <w:right w:w="15" w:type="dxa"/>
                </w:tcMar>
                <w:vAlign w:val="center"/>
              </w:tcPr>
            </w:tcPrChange>
          </w:tcPr>
          <w:p w14:paraId="59C888F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Change w:id="1892" w:author="LV" w:date="2026-07-14T16:42:24Z">
              <w:tcPr>
                <w:tcW w:w="3667" w:type="dxa"/>
                <w:gridSpan w:val="3"/>
                <w:vMerge w:val="continue"/>
                <w:tcBorders>
                  <w:tl2br w:val="nil"/>
                  <w:tr2bl w:val="nil"/>
                </w:tcBorders>
                <w:shd w:val="clear" w:color="auto" w:fill="auto"/>
                <w:tcMar>
                  <w:top w:w="15" w:type="dxa"/>
                  <w:left w:w="15" w:type="dxa"/>
                  <w:right w:w="15" w:type="dxa"/>
                </w:tcMar>
                <w:vAlign w:val="center"/>
              </w:tcPr>
            </w:tcPrChange>
          </w:tcPr>
          <w:p w14:paraId="469F6A1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Change w:id="1893" w:author="LV" w:date="2026-07-14T16:42:24Z">
              <w:tcPr>
                <w:tcW w:w="4082" w:type="dxa"/>
                <w:gridSpan w:val="3"/>
                <w:vMerge w:val="continue"/>
                <w:tcBorders>
                  <w:tl2br w:val="nil"/>
                  <w:tr2bl w:val="nil"/>
                </w:tcBorders>
                <w:shd w:val="clear" w:color="auto" w:fill="auto"/>
                <w:tcMar>
                  <w:top w:w="15" w:type="dxa"/>
                  <w:left w:w="15" w:type="dxa"/>
                  <w:right w:w="15" w:type="dxa"/>
                </w:tcMar>
                <w:vAlign w:val="center"/>
              </w:tcPr>
            </w:tcPrChange>
          </w:tcPr>
          <w:p w14:paraId="1E3452E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Change w:id="1894" w:author="LV" w:date="2026-07-14T16:42:24Z">
              <w:tcPr>
                <w:tcW w:w="459" w:type="dxa"/>
                <w:gridSpan w:val="3"/>
                <w:tcBorders>
                  <w:tl2br w:val="nil"/>
                  <w:tr2bl w:val="nil"/>
                </w:tcBorders>
                <w:shd w:val="clear" w:color="auto" w:fill="auto"/>
                <w:noWrap/>
                <w:tcMar>
                  <w:top w:w="15" w:type="dxa"/>
                  <w:left w:w="15" w:type="dxa"/>
                  <w:right w:w="15" w:type="dxa"/>
                </w:tcMar>
                <w:vAlign w:val="center"/>
              </w:tcPr>
            </w:tcPrChange>
          </w:tcPr>
          <w:p w14:paraId="7D94BBD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Change w:id="1895" w:author="LV" w:date="2026-07-14T16:42:24Z">
              <w:tcPr>
                <w:tcW w:w="1829" w:type="dxa"/>
                <w:gridSpan w:val="3"/>
                <w:tcBorders>
                  <w:tl2br w:val="nil"/>
                  <w:tr2bl w:val="nil"/>
                </w:tcBorders>
                <w:shd w:val="clear" w:color="auto" w:fill="auto"/>
                <w:tcMar>
                  <w:top w:w="15" w:type="dxa"/>
                  <w:left w:w="15" w:type="dxa"/>
                  <w:right w:w="15" w:type="dxa"/>
                </w:tcMar>
                <w:vAlign w:val="center"/>
              </w:tcPr>
            </w:tcPrChange>
          </w:tcPr>
          <w:p w14:paraId="3A75CE3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sz w:val="18"/>
                <w:szCs w:val="18"/>
              </w:rPr>
              <w:t>逾期未改正1台（套）安全设备安装、使用、检测、改造和报废不符合国家标准或者行业标准的，或者超过责令改正期限10日以下的。</w:t>
            </w:r>
          </w:p>
        </w:tc>
        <w:tc>
          <w:tcPr>
            <w:tcW w:w="2655" w:type="dxa"/>
            <w:tcBorders>
              <w:tl2br w:val="nil"/>
              <w:tr2bl w:val="nil"/>
            </w:tcBorders>
            <w:shd w:val="clear" w:color="auto" w:fill="auto"/>
            <w:tcMar>
              <w:top w:w="15" w:type="dxa"/>
              <w:left w:w="15" w:type="dxa"/>
              <w:right w:w="15" w:type="dxa"/>
            </w:tcMar>
            <w:vAlign w:val="center"/>
            <w:tcPrChange w:id="1896" w:author="LV" w:date="2026-07-14T16:42:24Z">
              <w:tcPr>
                <w:tcW w:w="2655" w:type="dxa"/>
                <w:gridSpan w:val="3"/>
                <w:tcBorders>
                  <w:tl2br w:val="nil"/>
                  <w:tr2bl w:val="nil"/>
                </w:tcBorders>
                <w:shd w:val="clear" w:color="auto" w:fill="auto"/>
                <w:tcMar>
                  <w:top w:w="15" w:type="dxa"/>
                  <w:left w:w="15" w:type="dxa"/>
                  <w:right w:w="15" w:type="dxa"/>
                </w:tcMar>
                <w:vAlign w:val="center"/>
              </w:tcPr>
            </w:tcPrChange>
          </w:tcPr>
          <w:p w14:paraId="6BE28BB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对煤矿处5万元以上10万元以下的罚款，对其直接负责的主管人员处1万元以上1.3万元以下的罚款。</w:t>
            </w:r>
          </w:p>
        </w:tc>
      </w:tr>
      <w:tr w14:paraId="33D171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1897" w:author="LV" w:date="2026-07-14T16:42:27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wBefore w:w="0" w:type="auto"/>
          <w:trHeight w:val="1865" w:hRule="atLeast"/>
          <w:jc w:val="center"/>
          <w:trPrChange w:id="1897" w:author="LV" w:date="2026-07-14T16:42:27Z">
            <w:trPr>
              <w:gridBefore w:val="2"/>
              <w:wBefore w:w="15" w:type="dxa"/>
              <w:trHeight w:val="1956" w:hRule="atLeast"/>
              <w:jc w:val="center"/>
            </w:trPr>
          </w:trPrChange>
        </w:trPr>
        <w:tc>
          <w:tcPr>
            <w:tcW w:w="418" w:type="dxa"/>
            <w:vMerge w:val="continue"/>
            <w:tcBorders>
              <w:tl2br w:val="nil"/>
              <w:tr2bl w:val="nil"/>
            </w:tcBorders>
            <w:shd w:val="clear" w:color="auto" w:fill="auto"/>
            <w:noWrap/>
            <w:tcMar>
              <w:top w:w="15" w:type="dxa"/>
              <w:left w:w="15" w:type="dxa"/>
              <w:right w:w="15" w:type="dxa"/>
            </w:tcMar>
            <w:vAlign w:val="center"/>
            <w:tcPrChange w:id="1898" w:author="LV" w:date="2026-07-14T16:42:27Z">
              <w:tcPr>
                <w:tcW w:w="418" w:type="dxa"/>
                <w:gridSpan w:val="3"/>
                <w:vMerge w:val="continue"/>
                <w:tcBorders>
                  <w:tl2br w:val="nil"/>
                  <w:tr2bl w:val="nil"/>
                </w:tcBorders>
                <w:shd w:val="clear" w:color="auto" w:fill="auto"/>
                <w:noWrap/>
                <w:tcMar>
                  <w:top w:w="15" w:type="dxa"/>
                  <w:left w:w="15" w:type="dxa"/>
                  <w:right w:w="15" w:type="dxa"/>
                </w:tcMar>
                <w:vAlign w:val="center"/>
              </w:tcPr>
            </w:tcPrChange>
          </w:tcPr>
          <w:p w14:paraId="32B9E6E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Change w:id="1899" w:author="LV" w:date="2026-07-14T16:42:27Z">
              <w:tcPr>
                <w:tcW w:w="1005" w:type="dxa"/>
                <w:gridSpan w:val="3"/>
                <w:vMerge w:val="continue"/>
                <w:tcBorders>
                  <w:tl2br w:val="nil"/>
                  <w:tr2bl w:val="nil"/>
                </w:tcBorders>
                <w:shd w:val="clear" w:color="auto" w:fill="auto"/>
                <w:tcMar>
                  <w:top w:w="15" w:type="dxa"/>
                  <w:left w:w="15" w:type="dxa"/>
                  <w:right w:w="15" w:type="dxa"/>
                </w:tcMar>
                <w:vAlign w:val="center"/>
              </w:tcPr>
            </w:tcPrChange>
          </w:tcPr>
          <w:p w14:paraId="47DB9D3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Change w:id="1900" w:author="LV" w:date="2026-07-14T16:42:27Z">
              <w:tcPr>
                <w:tcW w:w="3667" w:type="dxa"/>
                <w:gridSpan w:val="3"/>
                <w:vMerge w:val="continue"/>
                <w:tcBorders>
                  <w:tl2br w:val="nil"/>
                  <w:tr2bl w:val="nil"/>
                </w:tcBorders>
                <w:shd w:val="clear" w:color="auto" w:fill="auto"/>
                <w:tcMar>
                  <w:top w:w="15" w:type="dxa"/>
                  <w:left w:w="15" w:type="dxa"/>
                  <w:right w:w="15" w:type="dxa"/>
                </w:tcMar>
                <w:vAlign w:val="center"/>
              </w:tcPr>
            </w:tcPrChange>
          </w:tcPr>
          <w:p w14:paraId="6DB2EB6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Change w:id="1901" w:author="LV" w:date="2026-07-14T16:42:27Z">
              <w:tcPr>
                <w:tcW w:w="4082" w:type="dxa"/>
                <w:gridSpan w:val="3"/>
                <w:vMerge w:val="continue"/>
                <w:tcBorders>
                  <w:tl2br w:val="nil"/>
                  <w:tr2bl w:val="nil"/>
                </w:tcBorders>
                <w:shd w:val="clear" w:color="auto" w:fill="auto"/>
                <w:tcMar>
                  <w:top w:w="15" w:type="dxa"/>
                  <w:left w:w="15" w:type="dxa"/>
                  <w:right w:w="15" w:type="dxa"/>
                </w:tcMar>
                <w:vAlign w:val="center"/>
              </w:tcPr>
            </w:tcPrChange>
          </w:tcPr>
          <w:p w14:paraId="600D8C3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Change w:id="1902" w:author="LV" w:date="2026-07-14T16:42:27Z">
              <w:tcPr>
                <w:tcW w:w="459" w:type="dxa"/>
                <w:gridSpan w:val="3"/>
                <w:tcBorders>
                  <w:tl2br w:val="nil"/>
                  <w:tr2bl w:val="nil"/>
                </w:tcBorders>
                <w:shd w:val="clear" w:color="auto" w:fill="auto"/>
                <w:noWrap/>
                <w:tcMar>
                  <w:top w:w="15" w:type="dxa"/>
                  <w:left w:w="15" w:type="dxa"/>
                  <w:right w:w="15" w:type="dxa"/>
                </w:tcMar>
                <w:vAlign w:val="center"/>
              </w:tcPr>
            </w:tcPrChange>
          </w:tcPr>
          <w:p w14:paraId="0D2C1AA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Change w:id="1903" w:author="LV" w:date="2026-07-14T16:42:27Z">
              <w:tcPr>
                <w:tcW w:w="1829" w:type="dxa"/>
                <w:gridSpan w:val="3"/>
                <w:tcBorders>
                  <w:tl2br w:val="nil"/>
                  <w:tr2bl w:val="nil"/>
                </w:tcBorders>
                <w:shd w:val="clear" w:color="auto" w:fill="auto"/>
                <w:tcMar>
                  <w:top w:w="15" w:type="dxa"/>
                  <w:left w:w="15" w:type="dxa"/>
                  <w:right w:w="15" w:type="dxa"/>
                </w:tcMar>
                <w:vAlign w:val="center"/>
              </w:tcPr>
            </w:tcPrChange>
          </w:tcPr>
          <w:p w14:paraId="6F76243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sz w:val="18"/>
                <w:szCs w:val="18"/>
              </w:rPr>
              <w:t>逾期未改正有2台（套）安全设备安装、使用、检测、改造和报废不符合国家标准或者行业标准的，或者超过责令改正期限10日以上20日以下的</w:t>
            </w:r>
          </w:p>
        </w:tc>
        <w:tc>
          <w:tcPr>
            <w:tcW w:w="2655" w:type="dxa"/>
            <w:tcBorders>
              <w:tl2br w:val="nil"/>
              <w:tr2bl w:val="nil"/>
            </w:tcBorders>
            <w:shd w:val="clear" w:color="auto" w:fill="auto"/>
            <w:tcMar>
              <w:top w:w="15" w:type="dxa"/>
              <w:left w:w="15" w:type="dxa"/>
              <w:right w:w="15" w:type="dxa"/>
            </w:tcMar>
            <w:vAlign w:val="center"/>
            <w:tcPrChange w:id="1904" w:author="LV" w:date="2026-07-14T16:42:27Z">
              <w:tcPr>
                <w:tcW w:w="2655" w:type="dxa"/>
                <w:gridSpan w:val="3"/>
                <w:tcBorders>
                  <w:tl2br w:val="nil"/>
                  <w:tr2bl w:val="nil"/>
                </w:tcBorders>
                <w:shd w:val="clear" w:color="auto" w:fill="auto"/>
                <w:tcMar>
                  <w:top w:w="15" w:type="dxa"/>
                  <w:left w:w="15" w:type="dxa"/>
                  <w:right w:w="15" w:type="dxa"/>
                </w:tcMar>
                <w:vAlign w:val="center"/>
              </w:tcPr>
            </w:tcPrChange>
          </w:tcPr>
          <w:p w14:paraId="1B73DB5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对煤矿处10万元以上15万元以下的罚款，对其直接负责的主管人员处1.3万元以上1.8万元以下的罚款。</w:t>
            </w:r>
          </w:p>
        </w:tc>
      </w:tr>
      <w:tr w14:paraId="21AF2F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26C887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33591F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6C476D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61C437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FFF522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1F2F8F2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sz w:val="18"/>
                <w:szCs w:val="18"/>
                <w:rPrChange w:id="1905" w:author="LV" w:date="2026-07-14T15:52:31Z">
                  <w:rPr>
                    <w:rFonts w:hint="eastAsia" w:ascii="仿宋_GB2312" w:hAnsi="宋体" w:eastAsia="仿宋_GB2312" w:cs="仿宋_GB2312"/>
                    <w:color w:val="FF0000"/>
                    <w:sz w:val="18"/>
                    <w:szCs w:val="18"/>
                  </w:rPr>
                </w:rPrChange>
              </w:rPr>
            </w:pPr>
            <w:r>
              <w:rPr>
                <w:rFonts w:hint="eastAsia" w:ascii="仿宋_GB2312" w:hAnsi="宋体" w:eastAsia="仿宋_GB2312" w:cs="仿宋_GB2312"/>
                <w:color w:val="auto"/>
                <w:sz w:val="18"/>
                <w:szCs w:val="18"/>
                <w:lang w:val="en-US" w:eastAsia="zh-CN"/>
                <w:rPrChange w:id="1906" w:author="LV" w:date="2026-07-14T15:52:31Z">
                  <w:rPr>
                    <w:rFonts w:hint="eastAsia" w:ascii="仿宋_GB2312" w:hAnsi="宋体" w:eastAsia="仿宋_GB2312" w:cs="仿宋_GB2312"/>
                    <w:color w:val="FF0000"/>
                    <w:sz w:val="18"/>
                    <w:szCs w:val="18"/>
                    <w:lang w:val="en-US" w:eastAsia="zh-CN"/>
                  </w:rPr>
                </w:rPrChange>
              </w:rPr>
              <w:t>①</w:t>
            </w:r>
            <w:r>
              <w:rPr>
                <w:rFonts w:hint="eastAsia" w:ascii="仿宋_GB2312" w:hAnsi="宋体" w:eastAsia="仿宋_GB2312" w:cs="仿宋_GB2312"/>
                <w:color w:val="auto"/>
                <w:sz w:val="18"/>
                <w:szCs w:val="18"/>
                <w:rPrChange w:id="1907" w:author="LV" w:date="2026-07-14T15:52:31Z">
                  <w:rPr>
                    <w:rFonts w:hint="eastAsia" w:ascii="仿宋_GB2312" w:hAnsi="宋体" w:eastAsia="仿宋_GB2312" w:cs="仿宋_GB2312"/>
                    <w:color w:val="FF0000"/>
                    <w:sz w:val="18"/>
                    <w:szCs w:val="18"/>
                  </w:rPr>
                </w:rPrChange>
              </w:rPr>
              <w:t>逾期未改正3台（套）以上安全设备安装、使用、检测、改造和报废不符合国家标准或者行业标准的，或者超过责令改正期限20日以上的。</w:t>
            </w:r>
          </w:p>
          <w:p w14:paraId="63C35EE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sz w:val="18"/>
                <w:szCs w:val="18"/>
                <w:lang w:val="en-US" w:eastAsia="zh-CN"/>
                <w:rPrChange w:id="1908" w:author="LV" w:date="2026-07-14T15:52:31Z">
                  <w:rPr>
                    <w:rFonts w:hint="eastAsia" w:ascii="仿宋_GB2312" w:hAnsi="宋体" w:eastAsia="仿宋_GB2312" w:cs="仿宋_GB2312"/>
                    <w:color w:val="FF0000"/>
                    <w:sz w:val="18"/>
                    <w:szCs w:val="18"/>
                    <w:lang w:val="en-US" w:eastAsia="zh-CN"/>
                  </w:rPr>
                </w:rPrChange>
              </w:rPr>
            </w:pPr>
            <w:r>
              <w:rPr>
                <w:rFonts w:hint="eastAsia" w:ascii="仿宋_GB2312" w:hAnsi="宋体" w:eastAsia="仿宋_GB2312" w:cs="仿宋_GB2312"/>
                <w:color w:val="auto"/>
                <w:sz w:val="18"/>
                <w:szCs w:val="18"/>
                <w:lang w:val="en-US" w:eastAsia="zh-CN"/>
                <w:rPrChange w:id="1909" w:author="LV" w:date="2026-07-14T15:52:31Z">
                  <w:rPr>
                    <w:rFonts w:hint="eastAsia" w:ascii="仿宋_GB2312" w:hAnsi="宋体" w:eastAsia="仿宋_GB2312" w:cs="仿宋_GB2312"/>
                    <w:color w:val="FF0000"/>
                    <w:sz w:val="18"/>
                    <w:szCs w:val="18"/>
                    <w:lang w:val="en-US" w:eastAsia="zh-CN"/>
                  </w:rPr>
                </w:rPrChange>
              </w:rPr>
              <w:t>②</w:t>
            </w:r>
            <w:r>
              <w:rPr>
                <w:rFonts w:hint="eastAsia" w:ascii="仿宋_GB2312" w:hAnsi="宋体" w:eastAsia="仿宋_GB2312" w:cs="仿宋_GB2312"/>
                <w:color w:val="auto"/>
                <w:sz w:val="18"/>
                <w:szCs w:val="18"/>
                <w:rPrChange w:id="1910" w:author="LV" w:date="2026-07-14T15:52:31Z">
                  <w:rPr>
                    <w:rFonts w:hint="eastAsia" w:ascii="仿宋_GB2312" w:hAnsi="宋体" w:eastAsia="仿宋_GB2312" w:cs="仿宋_GB2312"/>
                    <w:color w:val="FF0000"/>
                    <w:sz w:val="18"/>
                    <w:szCs w:val="18"/>
                  </w:rPr>
                </w:rPrChange>
              </w:rPr>
              <w:t>情节严重的。</w:t>
            </w:r>
          </w:p>
        </w:tc>
        <w:tc>
          <w:tcPr>
            <w:tcW w:w="2655" w:type="dxa"/>
            <w:tcBorders>
              <w:tl2br w:val="nil"/>
              <w:tr2bl w:val="nil"/>
            </w:tcBorders>
            <w:shd w:val="clear" w:color="auto" w:fill="auto"/>
            <w:tcMar>
              <w:top w:w="15" w:type="dxa"/>
              <w:left w:w="15" w:type="dxa"/>
              <w:right w:w="15" w:type="dxa"/>
            </w:tcMar>
            <w:vAlign w:val="center"/>
          </w:tcPr>
          <w:p w14:paraId="5AB51B3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Change w:id="1911" w:author="LV" w:date="2026-07-14T15:52:31Z">
                  <w:rPr>
                    <w:rFonts w:hint="eastAsia" w:ascii="仿宋_GB2312" w:hAnsi="宋体" w:eastAsia="仿宋_GB2312" w:cs="仿宋_GB2312"/>
                    <w:color w:val="FF0000"/>
                    <w:kern w:val="0"/>
                    <w:sz w:val="18"/>
                    <w:szCs w:val="18"/>
                    <w:lang w:bidi="ar"/>
                  </w:rPr>
                </w:rPrChange>
              </w:rPr>
            </w:pPr>
            <w:r>
              <w:rPr>
                <w:rFonts w:hint="eastAsia" w:ascii="仿宋_GB2312" w:hAnsi="宋体" w:eastAsia="仿宋_GB2312" w:cs="仿宋_GB2312"/>
                <w:color w:val="auto"/>
                <w:kern w:val="0"/>
                <w:sz w:val="18"/>
                <w:szCs w:val="18"/>
                <w:lang w:val="en-US" w:eastAsia="zh-CN" w:bidi="ar"/>
                <w:rPrChange w:id="1912" w:author="LV" w:date="2026-07-14T15:52:31Z">
                  <w:rPr>
                    <w:rFonts w:hint="eastAsia" w:ascii="仿宋_GB2312" w:hAnsi="宋体" w:eastAsia="仿宋_GB2312" w:cs="仿宋_GB2312"/>
                    <w:color w:val="FF0000"/>
                    <w:kern w:val="0"/>
                    <w:sz w:val="18"/>
                    <w:szCs w:val="18"/>
                    <w:lang w:val="en-US" w:eastAsia="zh-CN" w:bidi="ar"/>
                  </w:rPr>
                </w:rPrChange>
              </w:rPr>
              <w:t>①</w:t>
            </w:r>
            <w:r>
              <w:rPr>
                <w:rFonts w:hint="eastAsia" w:ascii="仿宋_GB2312" w:hAnsi="宋体" w:eastAsia="仿宋_GB2312" w:cs="仿宋_GB2312"/>
                <w:color w:val="auto"/>
                <w:kern w:val="0"/>
                <w:sz w:val="18"/>
                <w:szCs w:val="18"/>
                <w:lang w:bidi="ar"/>
                <w:rPrChange w:id="1913" w:author="LV" w:date="2026-07-14T15:52:31Z">
                  <w:rPr>
                    <w:rFonts w:hint="eastAsia" w:ascii="仿宋_GB2312" w:hAnsi="宋体" w:eastAsia="仿宋_GB2312" w:cs="仿宋_GB2312"/>
                    <w:color w:val="FF0000"/>
                    <w:kern w:val="0"/>
                    <w:sz w:val="18"/>
                    <w:szCs w:val="18"/>
                    <w:lang w:bidi="ar"/>
                  </w:rPr>
                </w:rPrChange>
              </w:rPr>
              <w:t>对煤矿处15万元以上20万元以下的罚款，对其直接负责的主管人员和其他直接责任人员处1.8万元以上2万元以下的罚款。情节严重的，责令停产停业整顿。</w:t>
            </w:r>
          </w:p>
          <w:p w14:paraId="2B612A0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val="en-US" w:eastAsia="zh-CN" w:bidi="ar"/>
                <w:rPrChange w:id="1914" w:author="LV" w:date="2026-07-14T15:52:31Z">
                  <w:rPr>
                    <w:rFonts w:hint="eastAsia" w:ascii="仿宋_GB2312" w:hAnsi="宋体" w:eastAsia="仿宋_GB2312" w:cs="仿宋_GB2312"/>
                    <w:color w:val="FF0000"/>
                    <w:kern w:val="0"/>
                    <w:sz w:val="18"/>
                    <w:szCs w:val="18"/>
                    <w:lang w:val="en-US" w:eastAsia="zh-CN" w:bidi="ar"/>
                  </w:rPr>
                </w:rPrChange>
              </w:rPr>
            </w:pPr>
            <w:r>
              <w:rPr>
                <w:rFonts w:hint="eastAsia" w:ascii="仿宋_GB2312" w:hAnsi="宋体" w:eastAsia="仿宋_GB2312" w:cs="仿宋_GB2312"/>
                <w:color w:val="auto"/>
                <w:kern w:val="0"/>
                <w:sz w:val="18"/>
                <w:szCs w:val="18"/>
                <w:lang w:val="en-US" w:eastAsia="zh-CN" w:bidi="ar"/>
                <w:rPrChange w:id="1915" w:author="LV" w:date="2026-07-14T15:52:31Z">
                  <w:rPr>
                    <w:rFonts w:hint="eastAsia" w:ascii="仿宋_GB2312" w:hAnsi="宋体" w:eastAsia="仿宋_GB2312" w:cs="仿宋_GB2312"/>
                    <w:color w:val="FF0000"/>
                    <w:kern w:val="0"/>
                    <w:sz w:val="18"/>
                    <w:szCs w:val="18"/>
                    <w:lang w:val="en-US" w:eastAsia="zh-CN" w:bidi="ar"/>
                  </w:rPr>
                </w:rPrChange>
              </w:rPr>
              <w:t>②</w:t>
            </w:r>
            <w:r>
              <w:rPr>
                <w:rFonts w:hint="eastAsia" w:ascii="仿宋_GB2312" w:hAnsi="宋体" w:eastAsia="仿宋_GB2312" w:cs="仿宋_GB2312"/>
                <w:color w:val="auto"/>
                <w:kern w:val="0"/>
                <w:sz w:val="18"/>
                <w:szCs w:val="18"/>
                <w:lang w:bidi="ar"/>
                <w:rPrChange w:id="1916" w:author="LV" w:date="2026-07-14T15:52:31Z">
                  <w:rPr>
                    <w:rFonts w:hint="eastAsia" w:ascii="仿宋_GB2312" w:hAnsi="宋体" w:eastAsia="仿宋_GB2312" w:cs="仿宋_GB2312"/>
                    <w:color w:val="FF0000"/>
                    <w:kern w:val="0"/>
                    <w:sz w:val="18"/>
                    <w:szCs w:val="18"/>
                    <w:lang w:bidi="ar"/>
                  </w:rPr>
                </w:rPrChange>
              </w:rPr>
              <w:t>情节严重的</w:t>
            </w:r>
            <w:r>
              <w:rPr>
                <w:rFonts w:hint="eastAsia" w:ascii="仿宋_GB2312" w:hAnsi="宋体" w:eastAsia="仿宋_GB2312" w:cs="仿宋_GB2312"/>
                <w:color w:val="auto"/>
                <w:kern w:val="0"/>
                <w:sz w:val="18"/>
                <w:szCs w:val="18"/>
                <w:lang w:eastAsia="zh-CN" w:bidi="ar"/>
                <w:rPrChange w:id="1917" w:author="LV" w:date="2026-07-14T15:52:31Z">
                  <w:rPr>
                    <w:rFonts w:hint="eastAsia" w:ascii="仿宋_GB2312" w:hAnsi="宋体" w:eastAsia="仿宋_GB2312" w:cs="仿宋_GB2312"/>
                    <w:color w:val="FF0000"/>
                    <w:kern w:val="0"/>
                    <w:sz w:val="18"/>
                    <w:szCs w:val="18"/>
                    <w:lang w:eastAsia="zh-CN" w:bidi="ar"/>
                  </w:rPr>
                </w:rPrChange>
              </w:rPr>
              <w:t>，</w:t>
            </w:r>
            <w:r>
              <w:rPr>
                <w:rFonts w:hint="eastAsia" w:ascii="仿宋_GB2312" w:hAnsi="宋体" w:eastAsia="仿宋_GB2312" w:cs="仿宋_GB2312"/>
                <w:color w:val="auto"/>
                <w:kern w:val="0"/>
                <w:sz w:val="18"/>
                <w:szCs w:val="18"/>
                <w:lang w:bidi="ar"/>
                <w:rPrChange w:id="1918" w:author="LV" w:date="2026-07-14T15:52:31Z">
                  <w:rPr>
                    <w:rFonts w:hint="eastAsia" w:ascii="仿宋_GB2312" w:hAnsi="宋体" w:eastAsia="仿宋_GB2312" w:cs="仿宋_GB2312"/>
                    <w:color w:val="FF0000"/>
                    <w:kern w:val="0"/>
                    <w:sz w:val="18"/>
                    <w:szCs w:val="18"/>
                    <w:lang w:bidi="ar"/>
                  </w:rPr>
                </w:rPrChange>
              </w:rPr>
              <w:t>责令停产停业整顿，对煤矿企业处十五万元以上二十万元以下的罚款，对直接负责的主管人员和其他直接责任人员处</w:t>
            </w:r>
            <w:r>
              <w:rPr>
                <w:rFonts w:hint="eastAsia" w:ascii="仿宋_GB2312" w:hAnsi="宋体" w:eastAsia="仿宋_GB2312" w:cs="仿宋_GB2312"/>
                <w:color w:val="auto"/>
                <w:kern w:val="0"/>
                <w:sz w:val="18"/>
                <w:szCs w:val="18"/>
                <w:lang w:val="en-US" w:eastAsia="zh-CN" w:bidi="ar"/>
                <w:rPrChange w:id="1919" w:author="LV" w:date="2026-07-14T15:52:31Z">
                  <w:rPr>
                    <w:rFonts w:hint="eastAsia" w:ascii="仿宋_GB2312" w:hAnsi="宋体" w:eastAsia="仿宋_GB2312" w:cs="仿宋_GB2312"/>
                    <w:color w:val="FF0000"/>
                    <w:kern w:val="0"/>
                    <w:sz w:val="18"/>
                    <w:szCs w:val="18"/>
                    <w:lang w:val="en-US" w:eastAsia="zh-CN" w:bidi="ar"/>
                  </w:rPr>
                </w:rPrChange>
              </w:rPr>
              <w:t>1.8</w:t>
            </w:r>
            <w:r>
              <w:rPr>
                <w:rFonts w:hint="eastAsia" w:ascii="仿宋_GB2312" w:hAnsi="宋体" w:eastAsia="仿宋_GB2312" w:cs="仿宋_GB2312"/>
                <w:color w:val="auto"/>
                <w:kern w:val="0"/>
                <w:sz w:val="18"/>
                <w:szCs w:val="18"/>
                <w:lang w:bidi="ar"/>
                <w:rPrChange w:id="1920" w:author="LV" w:date="2026-07-14T15:52:31Z">
                  <w:rPr>
                    <w:rFonts w:hint="eastAsia" w:ascii="仿宋_GB2312" w:hAnsi="宋体" w:eastAsia="仿宋_GB2312" w:cs="仿宋_GB2312"/>
                    <w:color w:val="FF0000"/>
                    <w:kern w:val="0"/>
                    <w:sz w:val="18"/>
                    <w:szCs w:val="18"/>
                    <w:lang w:bidi="ar"/>
                  </w:rPr>
                </w:rPrChange>
              </w:rPr>
              <w:t>万元以上</w:t>
            </w:r>
            <w:r>
              <w:rPr>
                <w:rFonts w:hint="eastAsia" w:ascii="仿宋_GB2312" w:hAnsi="宋体" w:eastAsia="仿宋_GB2312" w:cs="仿宋_GB2312"/>
                <w:color w:val="auto"/>
                <w:kern w:val="0"/>
                <w:sz w:val="18"/>
                <w:szCs w:val="18"/>
                <w:lang w:val="en-US" w:eastAsia="zh-CN" w:bidi="ar"/>
                <w:rPrChange w:id="1921" w:author="LV" w:date="2026-07-14T15:52:31Z">
                  <w:rPr>
                    <w:rFonts w:hint="eastAsia" w:ascii="仿宋_GB2312" w:hAnsi="宋体" w:eastAsia="仿宋_GB2312" w:cs="仿宋_GB2312"/>
                    <w:color w:val="FF0000"/>
                    <w:kern w:val="0"/>
                    <w:sz w:val="18"/>
                    <w:szCs w:val="18"/>
                    <w:lang w:val="en-US" w:eastAsia="zh-CN" w:bidi="ar"/>
                  </w:rPr>
                </w:rPrChange>
              </w:rPr>
              <w:t>2</w:t>
            </w:r>
            <w:r>
              <w:rPr>
                <w:rFonts w:hint="eastAsia" w:ascii="仿宋_GB2312" w:hAnsi="宋体" w:eastAsia="仿宋_GB2312" w:cs="仿宋_GB2312"/>
                <w:color w:val="auto"/>
                <w:kern w:val="0"/>
                <w:sz w:val="18"/>
                <w:szCs w:val="18"/>
                <w:lang w:bidi="ar"/>
                <w:rPrChange w:id="1922" w:author="LV" w:date="2026-07-14T15:52:31Z">
                  <w:rPr>
                    <w:rFonts w:hint="eastAsia" w:ascii="仿宋_GB2312" w:hAnsi="宋体" w:eastAsia="仿宋_GB2312" w:cs="仿宋_GB2312"/>
                    <w:color w:val="FF0000"/>
                    <w:kern w:val="0"/>
                    <w:sz w:val="18"/>
                    <w:szCs w:val="18"/>
                    <w:lang w:bidi="ar"/>
                  </w:rPr>
                </w:rPrChange>
              </w:rPr>
              <w:t>万元以下的罚款。</w:t>
            </w:r>
          </w:p>
        </w:tc>
      </w:tr>
      <w:tr w14:paraId="68024A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1924" w:author="LV" w:date="2026-07-14T16:41:28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wBefore w:w="0" w:type="auto"/>
          <w:trHeight w:val="90" w:hRule="atLeast"/>
          <w:jc w:val="center"/>
          <w:del w:id="1923" w:author="LV" w:date="2026-07-14T16:41:21Z"/>
          <w:trPrChange w:id="1924" w:author="LV" w:date="2026-07-14T16:41:28Z">
            <w:trPr>
              <w:gridBefore w:val="2"/>
              <w:wBefore w:w="15" w:type="dxa"/>
              <w:trHeight w:val="454" w:hRule="atLeast"/>
              <w:jc w:val="center"/>
            </w:trPr>
          </w:trPrChange>
        </w:trPr>
        <w:tc>
          <w:tcPr>
            <w:tcW w:w="418" w:type="dxa"/>
            <w:tcBorders>
              <w:tl2br w:val="nil"/>
              <w:tr2bl w:val="nil"/>
            </w:tcBorders>
            <w:shd w:val="clear" w:color="auto" w:fill="auto"/>
            <w:noWrap/>
            <w:tcMar>
              <w:top w:w="15" w:type="dxa"/>
              <w:left w:w="15" w:type="dxa"/>
              <w:right w:w="15" w:type="dxa"/>
            </w:tcMar>
            <w:vAlign w:val="center"/>
            <w:tcPrChange w:id="1925" w:author="LV" w:date="2026-07-14T16:41:28Z">
              <w:tcPr>
                <w:tcW w:w="418" w:type="dxa"/>
                <w:gridSpan w:val="3"/>
                <w:tcBorders>
                  <w:tl2br w:val="nil"/>
                  <w:tr2bl w:val="nil"/>
                </w:tcBorders>
                <w:shd w:val="clear" w:color="auto" w:fill="auto"/>
                <w:noWrap/>
                <w:tcMar>
                  <w:top w:w="15" w:type="dxa"/>
                  <w:left w:w="15" w:type="dxa"/>
                  <w:right w:w="15" w:type="dxa"/>
                </w:tcMar>
                <w:vAlign w:val="center"/>
              </w:tcPr>
            </w:tcPrChange>
          </w:tcPr>
          <w:p w14:paraId="5F20AF3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del w:id="1926" w:author="LV" w:date="2026-07-14T16:41:21Z"/>
                <w:rFonts w:hint="default" w:ascii="仿宋_GB2312" w:hAnsi="宋体" w:eastAsia="仿宋_GB2312" w:cs="仿宋_GB2312"/>
                <w:sz w:val="18"/>
                <w:szCs w:val="18"/>
                <w:lang w:val="en-US" w:eastAsia="zh-CN"/>
              </w:rPr>
            </w:pPr>
            <w:del w:id="1927" w:author="LV" w:date="2026-07-14T16:41:21Z">
              <w:r>
                <w:rPr>
                  <w:rFonts w:hint="eastAsia" w:ascii="仿宋_GB2312" w:hAnsi="宋体" w:eastAsia="仿宋_GB2312" w:cs="仿宋_GB2312"/>
                  <w:sz w:val="18"/>
                  <w:szCs w:val="18"/>
                  <w:lang w:val="en-US" w:eastAsia="zh-CN"/>
                </w:rPr>
                <w:delText>93</w:delText>
              </w:r>
            </w:del>
          </w:p>
        </w:tc>
        <w:tc>
          <w:tcPr>
            <w:tcW w:w="1005" w:type="dxa"/>
            <w:tcBorders>
              <w:tl2br w:val="nil"/>
              <w:tr2bl w:val="nil"/>
            </w:tcBorders>
            <w:shd w:val="clear" w:color="auto" w:fill="auto"/>
            <w:tcMar>
              <w:top w:w="15" w:type="dxa"/>
              <w:left w:w="15" w:type="dxa"/>
              <w:right w:w="15" w:type="dxa"/>
            </w:tcMar>
            <w:vAlign w:val="center"/>
            <w:tcPrChange w:id="1928" w:author="LV" w:date="2026-07-14T16:41:28Z">
              <w:tcPr>
                <w:tcW w:w="1005" w:type="dxa"/>
                <w:gridSpan w:val="3"/>
                <w:tcBorders>
                  <w:tl2br w:val="nil"/>
                  <w:tr2bl w:val="nil"/>
                </w:tcBorders>
                <w:shd w:val="clear" w:color="auto" w:fill="auto"/>
                <w:tcMar>
                  <w:top w:w="15" w:type="dxa"/>
                  <w:left w:w="15" w:type="dxa"/>
                  <w:right w:w="15" w:type="dxa"/>
                </w:tcMar>
                <w:vAlign w:val="center"/>
              </w:tcPr>
            </w:tcPrChange>
          </w:tcPr>
          <w:p w14:paraId="021F7276">
            <w:pPr>
              <w:keepNext w:val="0"/>
              <w:keepLines w:val="0"/>
              <w:pageBreakBefore w:val="0"/>
              <w:widowControl w:val="0"/>
              <w:kinsoku/>
              <w:wordWrap/>
              <w:overflowPunct w:val="0"/>
              <w:topLinePunct w:val="0"/>
              <w:autoSpaceDE/>
              <w:autoSpaceDN/>
              <w:bidi w:val="0"/>
              <w:adjustRightInd/>
              <w:snapToGrid/>
              <w:spacing w:line="280" w:lineRule="exact"/>
              <w:rPr>
                <w:del w:id="1929" w:author="LV" w:date="2026-07-14T16:41:21Z"/>
                <w:rFonts w:ascii="仿宋_GB2312" w:hAnsi="宋体" w:eastAsia="仿宋_GB2312" w:cs="仿宋_GB2312"/>
                <w:sz w:val="18"/>
                <w:szCs w:val="18"/>
              </w:rPr>
            </w:pPr>
            <w:del w:id="1930" w:author="LV" w:date="2026-07-14T16:41:21Z">
              <w:r>
                <w:rPr>
                  <w:rFonts w:hint="eastAsia" w:ascii="仿宋_GB2312" w:hAnsi="宋体" w:eastAsia="仿宋_GB2312" w:cs="仿宋_GB2312"/>
                  <w:sz w:val="18"/>
                  <w:szCs w:val="18"/>
                  <w:lang w:val="en-US" w:eastAsia="zh-CN"/>
                </w:rPr>
                <w:delText>删除与92合并</w:delText>
              </w:r>
            </w:del>
          </w:p>
        </w:tc>
        <w:tc>
          <w:tcPr>
            <w:tcW w:w="3667" w:type="dxa"/>
            <w:tcBorders>
              <w:tl2br w:val="nil"/>
              <w:tr2bl w:val="nil"/>
            </w:tcBorders>
            <w:shd w:val="clear" w:color="auto" w:fill="auto"/>
            <w:tcMar>
              <w:top w:w="15" w:type="dxa"/>
              <w:left w:w="15" w:type="dxa"/>
              <w:right w:w="15" w:type="dxa"/>
            </w:tcMar>
            <w:vAlign w:val="center"/>
            <w:tcPrChange w:id="1931" w:author="LV" w:date="2026-07-14T16:41:28Z">
              <w:tcPr>
                <w:tcW w:w="3667" w:type="dxa"/>
                <w:gridSpan w:val="3"/>
                <w:tcBorders>
                  <w:tl2br w:val="nil"/>
                  <w:tr2bl w:val="nil"/>
                </w:tcBorders>
                <w:shd w:val="clear" w:color="auto" w:fill="auto"/>
                <w:tcMar>
                  <w:top w:w="15" w:type="dxa"/>
                  <w:left w:w="15" w:type="dxa"/>
                  <w:right w:w="15" w:type="dxa"/>
                </w:tcMar>
                <w:vAlign w:val="center"/>
              </w:tcPr>
            </w:tcPrChange>
          </w:tcPr>
          <w:p w14:paraId="6ED1CE34">
            <w:pPr>
              <w:keepNext w:val="0"/>
              <w:keepLines w:val="0"/>
              <w:pageBreakBefore w:val="0"/>
              <w:widowControl w:val="0"/>
              <w:kinsoku/>
              <w:wordWrap/>
              <w:overflowPunct w:val="0"/>
              <w:topLinePunct w:val="0"/>
              <w:autoSpaceDE/>
              <w:autoSpaceDN/>
              <w:bidi w:val="0"/>
              <w:adjustRightInd/>
              <w:snapToGrid/>
              <w:spacing w:line="280" w:lineRule="exact"/>
              <w:rPr>
                <w:del w:id="1932" w:author="LV" w:date="2026-07-14T16:41:21Z"/>
                <w:rFonts w:ascii="仿宋_GB2312" w:hAnsi="宋体" w:eastAsia="仿宋_GB2312" w:cs="仿宋_GB2312"/>
                <w:sz w:val="18"/>
                <w:szCs w:val="18"/>
              </w:rPr>
            </w:pPr>
          </w:p>
        </w:tc>
        <w:tc>
          <w:tcPr>
            <w:tcW w:w="4082" w:type="dxa"/>
            <w:tcBorders>
              <w:tl2br w:val="nil"/>
              <w:tr2bl w:val="nil"/>
            </w:tcBorders>
            <w:shd w:val="clear" w:color="auto" w:fill="auto"/>
            <w:tcMar>
              <w:top w:w="15" w:type="dxa"/>
              <w:left w:w="15" w:type="dxa"/>
              <w:right w:w="15" w:type="dxa"/>
            </w:tcMar>
            <w:vAlign w:val="center"/>
            <w:tcPrChange w:id="1933" w:author="LV" w:date="2026-07-14T16:41:28Z">
              <w:tcPr>
                <w:tcW w:w="4082" w:type="dxa"/>
                <w:gridSpan w:val="3"/>
                <w:tcBorders>
                  <w:tl2br w:val="nil"/>
                  <w:tr2bl w:val="nil"/>
                </w:tcBorders>
                <w:shd w:val="clear" w:color="auto" w:fill="auto"/>
                <w:tcMar>
                  <w:top w:w="15" w:type="dxa"/>
                  <w:left w:w="15" w:type="dxa"/>
                  <w:right w:w="15" w:type="dxa"/>
                </w:tcMar>
                <w:vAlign w:val="center"/>
              </w:tcPr>
            </w:tcPrChange>
          </w:tcPr>
          <w:p w14:paraId="30A75944">
            <w:pPr>
              <w:keepNext w:val="0"/>
              <w:keepLines w:val="0"/>
              <w:pageBreakBefore w:val="0"/>
              <w:widowControl w:val="0"/>
              <w:kinsoku/>
              <w:wordWrap/>
              <w:overflowPunct w:val="0"/>
              <w:topLinePunct w:val="0"/>
              <w:autoSpaceDE/>
              <w:autoSpaceDN/>
              <w:bidi w:val="0"/>
              <w:adjustRightInd/>
              <w:snapToGrid/>
              <w:spacing w:line="280" w:lineRule="exact"/>
              <w:rPr>
                <w:del w:id="1934" w:author="LV" w:date="2026-07-14T16:41:21Z"/>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Change w:id="1935" w:author="LV" w:date="2026-07-14T16:41:28Z">
              <w:tcPr>
                <w:tcW w:w="459" w:type="dxa"/>
                <w:gridSpan w:val="3"/>
                <w:tcBorders>
                  <w:tl2br w:val="nil"/>
                  <w:tr2bl w:val="nil"/>
                </w:tcBorders>
                <w:shd w:val="clear" w:color="auto" w:fill="auto"/>
                <w:noWrap/>
                <w:tcMar>
                  <w:top w:w="15" w:type="dxa"/>
                  <w:left w:w="15" w:type="dxa"/>
                  <w:right w:w="15" w:type="dxa"/>
                </w:tcMar>
                <w:vAlign w:val="center"/>
              </w:tcPr>
            </w:tcPrChange>
          </w:tcPr>
          <w:p w14:paraId="46F7B46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del w:id="1936" w:author="LV" w:date="2026-07-14T16:41:21Z"/>
                <w:rFonts w:hint="eastAsia" w:ascii="仿宋_GB2312" w:hAnsi="宋体" w:eastAsia="仿宋_GB2312" w:cs="仿宋_GB2312"/>
                <w:color w:val="auto"/>
                <w:kern w:val="0"/>
                <w:sz w:val="18"/>
                <w:szCs w:val="18"/>
                <w:lang w:val="en-US" w:eastAsia="zh-CN" w:bidi="ar"/>
              </w:rPr>
            </w:pPr>
          </w:p>
        </w:tc>
        <w:tc>
          <w:tcPr>
            <w:tcW w:w="1829" w:type="dxa"/>
            <w:tcBorders>
              <w:tl2br w:val="nil"/>
              <w:tr2bl w:val="nil"/>
            </w:tcBorders>
            <w:shd w:val="clear" w:color="auto" w:fill="auto"/>
            <w:tcMar>
              <w:top w:w="15" w:type="dxa"/>
              <w:left w:w="15" w:type="dxa"/>
              <w:right w:w="15" w:type="dxa"/>
            </w:tcMar>
            <w:vAlign w:val="center"/>
            <w:tcPrChange w:id="1937" w:author="LV" w:date="2026-07-14T16:41:28Z">
              <w:tcPr>
                <w:tcW w:w="1829" w:type="dxa"/>
                <w:gridSpan w:val="3"/>
                <w:tcBorders>
                  <w:tl2br w:val="nil"/>
                  <w:tr2bl w:val="nil"/>
                </w:tcBorders>
                <w:shd w:val="clear" w:color="auto" w:fill="auto"/>
                <w:tcMar>
                  <w:top w:w="15" w:type="dxa"/>
                  <w:left w:w="15" w:type="dxa"/>
                  <w:right w:w="15" w:type="dxa"/>
                </w:tcMar>
                <w:vAlign w:val="center"/>
              </w:tcPr>
            </w:tcPrChange>
          </w:tcPr>
          <w:p w14:paraId="4013832E">
            <w:pPr>
              <w:keepNext w:val="0"/>
              <w:keepLines w:val="0"/>
              <w:pageBreakBefore w:val="0"/>
              <w:widowControl w:val="0"/>
              <w:kinsoku/>
              <w:wordWrap/>
              <w:overflowPunct w:val="0"/>
              <w:topLinePunct w:val="0"/>
              <w:autoSpaceDE/>
              <w:autoSpaceDN/>
              <w:bidi w:val="0"/>
              <w:adjustRightInd/>
              <w:snapToGrid/>
              <w:spacing w:line="280" w:lineRule="exact"/>
              <w:textAlignment w:val="center"/>
              <w:rPr>
                <w:del w:id="1938" w:author="LV" w:date="2026-07-14T16:41:21Z"/>
                <w:rFonts w:hint="eastAsia" w:ascii="仿宋_GB2312" w:hAnsi="宋体" w:eastAsia="仿宋_GB2312" w:cs="仿宋_GB2312"/>
                <w:color w:val="auto"/>
                <w:sz w:val="18"/>
                <w:szCs w:val="18"/>
              </w:rPr>
            </w:pPr>
          </w:p>
        </w:tc>
        <w:tc>
          <w:tcPr>
            <w:tcW w:w="2655" w:type="dxa"/>
            <w:tcBorders>
              <w:tl2br w:val="nil"/>
              <w:tr2bl w:val="nil"/>
            </w:tcBorders>
            <w:shd w:val="clear" w:color="auto" w:fill="auto"/>
            <w:tcMar>
              <w:top w:w="15" w:type="dxa"/>
              <w:left w:w="15" w:type="dxa"/>
              <w:right w:w="15" w:type="dxa"/>
            </w:tcMar>
            <w:vAlign w:val="center"/>
            <w:tcPrChange w:id="1939" w:author="LV" w:date="2026-07-14T16:41:28Z">
              <w:tcPr>
                <w:tcW w:w="2655" w:type="dxa"/>
                <w:gridSpan w:val="3"/>
                <w:tcBorders>
                  <w:tl2br w:val="nil"/>
                  <w:tr2bl w:val="nil"/>
                </w:tcBorders>
                <w:shd w:val="clear" w:color="auto" w:fill="auto"/>
                <w:tcMar>
                  <w:top w:w="15" w:type="dxa"/>
                  <w:left w:w="15" w:type="dxa"/>
                  <w:right w:w="15" w:type="dxa"/>
                </w:tcMar>
                <w:vAlign w:val="center"/>
              </w:tcPr>
            </w:tcPrChange>
          </w:tcPr>
          <w:p w14:paraId="38C7A1CC">
            <w:pPr>
              <w:keepNext w:val="0"/>
              <w:keepLines w:val="0"/>
              <w:pageBreakBefore w:val="0"/>
              <w:widowControl w:val="0"/>
              <w:kinsoku/>
              <w:wordWrap/>
              <w:overflowPunct w:val="0"/>
              <w:topLinePunct w:val="0"/>
              <w:autoSpaceDE/>
              <w:autoSpaceDN/>
              <w:bidi w:val="0"/>
              <w:adjustRightInd/>
              <w:snapToGrid/>
              <w:spacing w:line="280" w:lineRule="exact"/>
              <w:textAlignment w:val="center"/>
              <w:rPr>
                <w:del w:id="1940" w:author="LV" w:date="2026-07-14T16:41:21Z"/>
                <w:rFonts w:hint="eastAsia" w:ascii="仿宋_GB2312" w:hAnsi="宋体" w:eastAsia="仿宋_GB2312" w:cs="仿宋_GB2312"/>
                <w:color w:val="auto"/>
                <w:kern w:val="0"/>
                <w:sz w:val="18"/>
                <w:szCs w:val="18"/>
                <w:lang w:bidi="ar"/>
              </w:rPr>
            </w:pPr>
          </w:p>
        </w:tc>
      </w:tr>
      <w:tr w14:paraId="6C4A2B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04D170A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del w:id="1941" w:author="LV" w:date="2026-07-14T16:42:38Z">
              <w:r>
                <w:rPr>
                  <w:rFonts w:hint="default" w:ascii="仿宋_GB2312" w:hAnsi="宋体" w:eastAsia="仿宋_GB2312" w:cs="仿宋_GB2312"/>
                  <w:kern w:val="0"/>
                  <w:sz w:val="18"/>
                  <w:szCs w:val="18"/>
                  <w:lang w:val="en-US" w:bidi="ar"/>
                </w:rPr>
                <w:delText>94</w:delText>
              </w:r>
            </w:del>
            <w:ins w:id="1942" w:author="LV" w:date="2026-07-14T16:42:38Z">
              <w:r>
                <w:rPr>
                  <w:rFonts w:hint="eastAsia" w:ascii="仿宋_GB2312" w:hAnsi="宋体" w:eastAsia="仿宋_GB2312" w:cs="仿宋_GB2312"/>
                  <w:kern w:val="0"/>
                  <w:sz w:val="18"/>
                  <w:szCs w:val="18"/>
                  <w:lang w:val="en-US" w:eastAsia="zh-CN" w:bidi="ar"/>
                </w:rPr>
                <w:t>1</w:t>
              </w:r>
            </w:ins>
            <w:ins w:id="1943" w:author="LV" w:date="2026-07-14T16:42:39Z">
              <w:r>
                <w:rPr>
                  <w:rFonts w:hint="eastAsia" w:ascii="仿宋_GB2312" w:hAnsi="宋体" w:eastAsia="仿宋_GB2312" w:cs="仿宋_GB2312"/>
                  <w:kern w:val="0"/>
                  <w:sz w:val="18"/>
                  <w:szCs w:val="18"/>
                  <w:lang w:val="en-US" w:eastAsia="zh-CN" w:bidi="ar"/>
                </w:rPr>
                <w:t>0</w:t>
              </w:r>
            </w:ins>
            <w:ins w:id="1944" w:author="LV" w:date="2026-07-14T16:42:40Z">
              <w:r>
                <w:rPr>
                  <w:rFonts w:hint="eastAsia" w:ascii="仿宋_GB2312" w:hAnsi="宋体" w:eastAsia="仿宋_GB2312" w:cs="仿宋_GB2312"/>
                  <w:kern w:val="0"/>
                  <w:sz w:val="18"/>
                  <w:szCs w:val="18"/>
                  <w:lang w:val="en-US" w:eastAsia="zh-CN" w:bidi="ar"/>
                </w:rPr>
                <w:t>2</w:t>
              </w:r>
            </w:ins>
          </w:p>
        </w:tc>
        <w:tc>
          <w:tcPr>
            <w:tcW w:w="1005" w:type="dxa"/>
            <w:vMerge w:val="restart"/>
            <w:tcBorders>
              <w:tl2br w:val="nil"/>
              <w:tr2bl w:val="nil"/>
            </w:tcBorders>
            <w:shd w:val="clear" w:color="auto" w:fill="auto"/>
            <w:tcMar>
              <w:top w:w="15" w:type="dxa"/>
              <w:left w:w="15" w:type="dxa"/>
              <w:right w:w="15" w:type="dxa"/>
            </w:tcMar>
            <w:vAlign w:val="center"/>
          </w:tcPr>
          <w:p w14:paraId="6B007B3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煤矿未对安全设备进行经常性维护、保养和定期检测的</w:t>
            </w:r>
          </w:p>
        </w:tc>
        <w:tc>
          <w:tcPr>
            <w:tcW w:w="3667" w:type="dxa"/>
            <w:vMerge w:val="restart"/>
            <w:tcBorders>
              <w:tl2br w:val="nil"/>
              <w:tr2bl w:val="nil"/>
            </w:tcBorders>
            <w:shd w:val="clear" w:color="auto" w:fill="auto"/>
            <w:tcMar>
              <w:top w:w="15" w:type="dxa"/>
              <w:left w:w="15" w:type="dxa"/>
              <w:right w:w="15" w:type="dxa"/>
            </w:tcMar>
            <w:vAlign w:val="center"/>
          </w:tcPr>
          <w:p w14:paraId="72A642E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bidi="ar"/>
              </w:rPr>
              <w:t>《安全生产法》第三十六条第二款</w:t>
            </w:r>
            <w:r>
              <w:rPr>
                <w:rFonts w:ascii="仿宋_GB2312" w:hAnsi="宋体" w:eastAsia="仿宋_GB2312" w:cs="仿宋_GB2312"/>
                <w:color w:val="auto"/>
                <w:kern w:val="0"/>
                <w:sz w:val="18"/>
                <w:szCs w:val="18"/>
                <w:lang w:bidi="ar"/>
              </w:rPr>
              <w:t xml:space="preserve"> </w:t>
            </w:r>
            <w:r>
              <w:rPr>
                <w:rFonts w:hint="eastAsia" w:ascii="仿宋_GB2312" w:hAnsi="宋体" w:eastAsia="仿宋_GB2312" w:cs="仿宋_GB2312"/>
                <w:color w:val="auto"/>
                <w:kern w:val="0"/>
                <w:sz w:val="18"/>
                <w:szCs w:val="18"/>
                <w:lang w:bidi="ar"/>
              </w:rPr>
              <w:t>生产经营单位必须对安全设备进行经常性维护、保养，并定期检测，保证正常运转。维护、保养、检测应当作好记录，并由有关人员签字。</w:t>
            </w:r>
          </w:p>
          <w:p w14:paraId="7F47C56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bidi="ar"/>
              </w:rPr>
              <w:t>《煤矿安全生产条例》第二十五条第二款  煤矿企业应当建立安全设备台账和追溯、管理制度，对安全设备进行经常性维护、保养并定期检测，保证正常运转，对安全设备购置、入库、使用、维护、保养、检测、维修、改造、报废等进行全流程记录并存档。</w:t>
            </w:r>
          </w:p>
        </w:tc>
        <w:tc>
          <w:tcPr>
            <w:tcW w:w="4082" w:type="dxa"/>
            <w:vMerge w:val="restart"/>
            <w:tcBorders>
              <w:tl2br w:val="nil"/>
              <w:tr2bl w:val="nil"/>
            </w:tcBorders>
            <w:shd w:val="clear" w:color="auto" w:fill="auto"/>
            <w:tcMar>
              <w:top w:w="15" w:type="dxa"/>
              <w:left w:w="15" w:type="dxa"/>
              <w:right w:w="15" w:type="dxa"/>
            </w:tcMar>
            <w:vAlign w:val="center"/>
          </w:tcPr>
          <w:p w14:paraId="7E9B531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三）未对安全设备进行经常性维护、保养和定期检测的。</w:t>
            </w:r>
          </w:p>
          <w:p w14:paraId="5232534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《煤矿安全生产条例》第七十一条第四项  《煤矿安全生产条例》第七十一条  有下列情形之一的，依照《中华人民共和国安全生产法》有关规定予以处罚：（四）煤矿企业违反本条例第二十四条第一款、第二十五条第一款和第二款、第二十六条第二款规定的。</w:t>
            </w:r>
          </w:p>
        </w:tc>
        <w:tc>
          <w:tcPr>
            <w:tcW w:w="459" w:type="dxa"/>
            <w:tcBorders>
              <w:tl2br w:val="nil"/>
              <w:tr2bl w:val="nil"/>
            </w:tcBorders>
            <w:shd w:val="clear" w:color="auto" w:fill="auto"/>
            <w:noWrap/>
            <w:tcMar>
              <w:top w:w="15" w:type="dxa"/>
              <w:left w:w="15" w:type="dxa"/>
              <w:right w:w="15" w:type="dxa"/>
            </w:tcMar>
            <w:vAlign w:val="center"/>
          </w:tcPr>
          <w:p w14:paraId="70D7C10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716524E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67506EE4">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9E5B0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858732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989157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5AF5D3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8A2526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334410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525263C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26B6E58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28748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B05590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2F9F51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E84AD9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6C1D74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547989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0316305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2D580CD">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767F4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D169D7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BA13F8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91CC97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996490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27F918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65D1D4C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lang w:eastAsia="zh-CN"/>
              </w:rPr>
            </w:pPr>
            <w:r>
              <w:rPr>
                <w:rFonts w:hint="eastAsia" w:ascii="仿宋_GB2312" w:hAnsi="宋体" w:eastAsia="仿宋_GB2312" w:cs="仿宋_GB2312"/>
                <w:sz w:val="18"/>
                <w:szCs w:val="18"/>
              </w:rPr>
              <w:t>1台（套）安全设备未经常性维护、保养或者定期检测的</w:t>
            </w:r>
          </w:p>
        </w:tc>
        <w:tc>
          <w:tcPr>
            <w:tcW w:w="2655" w:type="dxa"/>
            <w:tcBorders>
              <w:tl2br w:val="nil"/>
              <w:tr2bl w:val="nil"/>
            </w:tcBorders>
            <w:shd w:val="clear" w:color="auto" w:fill="auto"/>
            <w:tcMar>
              <w:top w:w="15" w:type="dxa"/>
              <w:left w:w="15" w:type="dxa"/>
              <w:right w:w="15" w:type="dxa"/>
            </w:tcMar>
            <w:vAlign w:val="center"/>
          </w:tcPr>
          <w:p w14:paraId="479E614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处2万元以下的罚款。</w:t>
            </w:r>
          </w:p>
        </w:tc>
      </w:tr>
      <w:tr w14:paraId="38C4DF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72B25E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F574C8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021372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695A4A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4000FE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3ACE500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lang w:eastAsia="zh-CN"/>
              </w:rPr>
            </w:pPr>
            <w:r>
              <w:rPr>
                <w:rFonts w:hint="eastAsia" w:ascii="仿宋_GB2312" w:hAnsi="宋体" w:eastAsia="仿宋_GB2312" w:cs="仿宋_GB2312"/>
                <w:sz w:val="18"/>
                <w:szCs w:val="18"/>
              </w:rPr>
              <w:t>2台（套）安全设备未经常性维护、保养或者定期检测的</w:t>
            </w:r>
          </w:p>
        </w:tc>
        <w:tc>
          <w:tcPr>
            <w:tcW w:w="2655" w:type="dxa"/>
            <w:tcBorders>
              <w:tl2br w:val="nil"/>
              <w:tr2bl w:val="nil"/>
            </w:tcBorders>
            <w:shd w:val="clear" w:color="auto" w:fill="auto"/>
            <w:tcMar>
              <w:top w:w="15" w:type="dxa"/>
              <w:left w:w="15" w:type="dxa"/>
              <w:right w:w="15" w:type="dxa"/>
            </w:tcMar>
            <w:vAlign w:val="center"/>
          </w:tcPr>
          <w:p w14:paraId="6548CF8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处2万元以上4万元以下的罚款。</w:t>
            </w:r>
          </w:p>
        </w:tc>
      </w:tr>
      <w:tr w14:paraId="254B72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7122B4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4FEDA0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39B850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74B88A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E370F1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Change w:id="1945" w:author="LV" w:date="2026-07-14T15:52:55Z">
                  <w:rPr>
                    <w:rFonts w:ascii="仿宋_GB2312" w:hAnsi="宋体" w:eastAsia="仿宋_GB2312" w:cs="仿宋_GB2312"/>
                    <w:sz w:val="18"/>
                    <w:szCs w:val="18"/>
                  </w:rPr>
                </w:rPrChange>
              </w:rPr>
            </w:pPr>
            <w:r>
              <w:rPr>
                <w:rFonts w:hint="eastAsia" w:ascii="仿宋_GB2312" w:hAnsi="宋体" w:eastAsia="仿宋_GB2312" w:cs="仿宋_GB2312"/>
                <w:color w:val="auto"/>
                <w:kern w:val="0"/>
                <w:sz w:val="18"/>
                <w:szCs w:val="18"/>
                <w:lang w:bidi="ar"/>
                <w:rPrChange w:id="1946" w:author="LV" w:date="2026-07-14T15:52:55Z">
                  <w:rPr>
                    <w:rFonts w:hint="eastAsia" w:ascii="仿宋_GB2312" w:hAnsi="宋体" w:eastAsia="仿宋_GB2312" w:cs="仿宋_GB2312"/>
                    <w:kern w:val="0"/>
                    <w:sz w:val="18"/>
                    <w:szCs w:val="18"/>
                    <w:lang w:bidi="ar"/>
                  </w:rPr>
                </w:rPrChange>
              </w:rPr>
              <w:t>从重处罚</w:t>
            </w:r>
          </w:p>
        </w:tc>
        <w:tc>
          <w:tcPr>
            <w:tcW w:w="1829" w:type="dxa"/>
            <w:tcBorders>
              <w:tl2br w:val="nil"/>
              <w:tr2bl w:val="nil"/>
            </w:tcBorders>
            <w:shd w:val="clear" w:color="auto" w:fill="auto"/>
            <w:tcMar>
              <w:top w:w="15" w:type="dxa"/>
              <w:left w:w="15" w:type="dxa"/>
              <w:right w:w="15" w:type="dxa"/>
            </w:tcMar>
            <w:vAlign w:val="center"/>
          </w:tcPr>
          <w:p w14:paraId="303AF43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sz w:val="18"/>
                <w:szCs w:val="18"/>
                <w:lang w:eastAsia="zh-CN"/>
                <w:rPrChange w:id="1947" w:author="LV" w:date="2026-07-14T15:52:55Z">
                  <w:rPr>
                    <w:rFonts w:hint="eastAsia" w:ascii="仿宋_GB2312" w:hAnsi="宋体" w:eastAsia="仿宋_GB2312" w:cs="仿宋_GB2312"/>
                    <w:color w:val="FF0000"/>
                    <w:sz w:val="18"/>
                    <w:szCs w:val="18"/>
                    <w:lang w:eastAsia="zh-CN"/>
                  </w:rPr>
                </w:rPrChange>
              </w:rPr>
            </w:pPr>
            <w:r>
              <w:rPr>
                <w:rFonts w:hint="eastAsia" w:ascii="仿宋_GB2312" w:hAnsi="宋体" w:eastAsia="仿宋_GB2312" w:cs="仿宋_GB2312"/>
                <w:color w:val="auto"/>
                <w:sz w:val="18"/>
                <w:szCs w:val="18"/>
                <w:lang w:val="en-US" w:eastAsia="zh-CN"/>
                <w:rPrChange w:id="1948" w:author="LV" w:date="2026-07-14T15:52:55Z">
                  <w:rPr>
                    <w:rFonts w:hint="eastAsia" w:ascii="仿宋_GB2312" w:hAnsi="宋体" w:eastAsia="仿宋_GB2312" w:cs="仿宋_GB2312"/>
                    <w:color w:val="FF0000"/>
                    <w:sz w:val="18"/>
                    <w:szCs w:val="18"/>
                    <w:lang w:val="en-US" w:eastAsia="zh-CN"/>
                  </w:rPr>
                </w:rPrChange>
              </w:rPr>
              <w:t>①</w:t>
            </w:r>
            <w:r>
              <w:rPr>
                <w:rFonts w:hint="eastAsia" w:ascii="仿宋_GB2312" w:hAnsi="宋体" w:eastAsia="仿宋_GB2312" w:cs="仿宋_GB2312"/>
                <w:color w:val="auto"/>
                <w:sz w:val="18"/>
                <w:szCs w:val="18"/>
                <w:rPrChange w:id="1949" w:author="LV" w:date="2026-07-14T15:52:55Z">
                  <w:rPr>
                    <w:rFonts w:hint="eastAsia" w:ascii="仿宋_GB2312" w:hAnsi="宋体" w:eastAsia="仿宋_GB2312" w:cs="仿宋_GB2312"/>
                    <w:color w:val="FF0000"/>
                    <w:sz w:val="18"/>
                    <w:szCs w:val="18"/>
                  </w:rPr>
                </w:rPrChange>
              </w:rPr>
              <w:t>3台（套）及以上安全设备未经常性维护、保养或者定期检测的</w:t>
            </w:r>
            <w:r>
              <w:rPr>
                <w:rFonts w:hint="eastAsia" w:ascii="仿宋_GB2312" w:hAnsi="宋体" w:eastAsia="仿宋_GB2312" w:cs="仿宋_GB2312"/>
                <w:color w:val="auto"/>
                <w:sz w:val="18"/>
                <w:szCs w:val="18"/>
                <w:lang w:eastAsia="zh-CN"/>
                <w:rPrChange w:id="1950" w:author="LV" w:date="2026-07-14T15:52:55Z">
                  <w:rPr>
                    <w:rFonts w:hint="eastAsia" w:ascii="仿宋_GB2312" w:hAnsi="宋体" w:eastAsia="仿宋_GB2312" w:cs="仿宋_GB2312"/>
                    <w:color w:val="FF0000"/>
                    <w:sz w:val="18"/>
                    <w:szCs w:val="18"/>
                    <w:lang w:eastAsia="zh-CN"/>
                  </w:rPr>
                </w:rPrChange>
              </w:rPr>
              <w:t>。</w:t>
            </w:r>
          </w:p>
          <w:p w14:paraId="208A39C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default" w:ascii="仿宋_GB2312" w:hAnsi="宋体" w:eastAsia="仿宋_GB2312" w:cs="仿宋_GB2312"/>
                <w:color w:val="auto"/>
                <w:sz w:val="18"/>
                <w:szCs w:val="18"/>
                <w:lang w:val="en-US" w:eastAsia="zh-CN"/>
                <w:rPrChange w:id="1951" w:author="LV" w:date="2026-07-14T15:52:55Z">
                  <w:rPr>
                    <w:rFonts w:hint="default" w:ascii="仿宋_GB2312" w:hAnsi="宋体" w:eastAsia="仿宋_GB2312" w:cs="仿宋_GB2312"/>
                    <w:color w:val="FF0000"/>
                    <w:sz w:val="18"/>
                    <w:szCs w:val="18"/>
                    <w:lang w:val="en-US" w:eastAsia="zh-CN"/>
                  </w:rPr>
                </w:rPrChange>
              </w:rPr>
            </w:pPr>
            <w:r>
              <w:rPr>
                <w:rFonts w:hint="eastAsia" w:ascii="仿宋_GB2312" w:hAnsi="宋体" w:eastAsia="仿宋_GB2312" w:cs="仿宋_GB2312"/>
                <w:color w:val="auto"/>
                <w:sz w:val="18"/>
                <w:szCs w:val="18"/>
                <w:lang w:val="en-US" w:eastAsia="zh-CN"/>
                <w:rPrChange w:id="1952" w:author="LV" w:date="2026-07-14T15:52:55Z">
                  <w:rPr>
                    <w:rFonts w:hint="eastAsia" w:ascii="仿宋_GB2312" w:hAnsi="宋体" w:eastAsia="仿宋_GB2312" w:cs="仿宋_GB2312"/>
                    <w:color w:val="FF0000"/>
                    <w:sz w:val="18"/>
                    <w:szCs w:val="18"/>
                    <w:lang w:val="en-US" w:eastAsia="zh-CN"/>
                  </w:rPr>
                </w:rPrChange>
              </w:rPr>
              <w:t>②情节严重的。</w:t>
            </w:r>
          </w:p>
        </w:tc>
        <w:tc>
          <w:tcPr>
            <w:tcW w:w="2655" w:type="dxa"/>
            <w:tcBorders>
              <w:tl2br w:val="nil"/>
              <w:tr2bl w:val="nil"/>
            </w:tcBorders>
            <w:shd w:val="clear" w:color="auto" w:fill="auto"/>
            <w:tcMar>
              <w:top w:w="15" w:type="dxa"/>
              <w:left w:w="15" w:type="dxa"/>
              <w:right w:w="15" w:type="dxa"/>
            </w:tcMar>
            <w:vAlign w:val="center"/>
          </w:tcPr>
          <w:p w14:paraId="02A6F3F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Change w:id="1953" w:author="LV" w:date="2026-07-14T15:52:55Z">
                  <w:rPr>
                    <w:rFonts w:hint="eastAsia" w:ascii="仿宋_GB2312" w:hAnsi="宋体" w:eastAsia="仿宋_GB2312" w:cs="仿宋_GB2312"/>
                    <w:color w:val="FF0000"/>
                    <w:kern w:val="0"/>
                    <w:sz w:val="18"/>
                    <w:szCs w:val="18"/>
                    <w:lang w:bidi="ar"/>
                  </w:rPr>
                </w:rPrChange>
              </w:rPr>
            </w:pPr>
            <w:r>
              <w:rPr>
                <w:rFonts w:hint="eastAsia" w:ascii="仿宋_GB2312" w:hAnsi="宋体" w:eastAsia="仿宋_GB2312" w:cs="仿宋_GB2312"/>
                <w:color w:val="auto"/>
                <w:kern w:val="0"/>
                <w:sz w:val="18"/>
                <w:szCs w:val="18"/>
                <w:lang w:val="en-US" w:eastAsia="zh-CN" w:bidi="ar"/>
                <w:rPrChange w:id="1954" w:author="LV" w:date="2026-07-14T15:52:55Z">
                  <w:rPr>
                    <w:rFonts w:hint="eastAsia" w:ascii="仿宋_GB2312" w:hAnsi="宋体" w:eastAsia="仿宋_GB2312" w:cs="仿宋_GB2312"/>
                    <w:color w:val="FF0000"/>
                    <w:kern w:val="0"/>
                    <w:sz w:val="18"/>
                    <w:szCs w:val="18"/>
                    <w:lang w:val="en-US" w:eastAsia="zh-CN" w:bidi="ar"/>
                  </w:rPr>
                </w:rPrChange>
              </w:rPr>
              <w:t>①</w:t>
            </w:r>
            <w:r>
              <w:rPr>
                <w:rFonts w:hint="eastAsia" w:ascii="仿宋_GB2312" w:hAnsi="宋体" w:eastAsia="仿宋_GB2312" w:cs="仿宋_GB2312"/>
                <w:color w:val="auto"/>
                <w:kern w:val="0"/>
                <w:sz w:val="18"/>
                <w:szCs w:val="18"/>
                <w:lang w:bidi="ar"/>
                <w:rPrChange w:id="1955" w:author="LV" w:date="2026-07-14T15:52:55Z">
                  <w:rPr>
                    <w:rFonts w:hint="eastAsia" w:ascii="仿宋_GB2312" w:hAnsi="宋体" w:eastAsia="仿宋_GB2312" w:cs="仿宋_GB2312"/>
                    <w:color w:val="FF0000"/>
                    <w:kern w:val="0"/>
                    <w:sz w:val="18"/>
                    <w:szCs w:val="18"/>
                    <w:lang w:bidi="ar"/>
                  </w:rPr>
                </w:rPrChange>
              </w:rPr>
              <w:t>处4万元以上5万元以下的罚款。</w:t>
            </w:r>
          </w:p>
          <w:p w14:paraId="1DF3A35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Change w:id="1956" w:author="LV" w:date="2026-07-14T15:52:55Z">
                  <w:rPr>
                    <w:rFonts w:ascii="仿宋_GB2312" w:hAnsi="宋体" w:eastAsia="仿宋_GB2312" w:cs="仿宋_GB2312"/>
                    <w:color w:val="FF0000"/>
                    <w:sz w:val="18"/>
                    <w:szCs w:val="18"/>
                  </w:rPr>
                </w:rPrChange>
              </w:rPr>
            </w:pPr>
            <w:r>
              <w:rPr>
                <w:rFonts w:hint="eastAsia" w:ascii="仿宋_GB2312" w:hAnsi="宋体" w:eastAsia="仿宋_GB2312" w:cs="仿宋_GB2312"/>
                <w:color w:val="auto"/>
                <w:kern w:val="0"/>
                <w:sz w:val="18"/>
                <w:szCs w:val="18"/>
                <w:lang w:val="en-US" w:eastAsia="zh-CN" w:bidi="ar"/>
                <w:rPrChange w:id="1957" w:author="LV" w:date="2026-07-14T15:52:55Z">
                  <w:rPr>
                    <w:rFonts w:hint="eastAsia" w:ascii="仿宋_GB2312" w:hAnsi="宋体" w:eastAsia="仿宋_GB2312" w:cs="仿宋_GB2312"/>
                    <w:color w:val="FF0000"/>
                    <w:kern w:val="0"/>
                    <w:sz w:val="18"/>
                    <w:szCs w:val="18"/>
                    <w:lang w:val="en-US" w:eastAsia="zh-CN" w:bidi="ar"/>
                  </w:rPr>
                </w:rPrChange>
              </w:rPr>
              <w:t>②</w:t>
            </w:r>
            <w:r>
              <w:rPr>
                <w:rFonts w:hint="eastAsia" w:ascii="仿宋_GB2312" w:hAnsi="宋体" w:eastAsia="仿宋_GB2312" w:cs="仿宋_GB2312"/>
                <w:color w:val="auto"/>
                <w:kern w:val="0"/>
                <w:sz w:val="18"/>
                <w:szCs w:val="18"/>
                <w:lang w:bidi="ar"/>
                <w:rPrChange w:id="1958" w:author="LV" w:date="2026-07-14T15:52:55Z">
                  <w:rPr>
                    <w:rFonts w:hint="eastAsia" w:ascii="仿宋_GB2312" w:hAnsi="宋体" w:eastAsia="仿宋_GB2312" w:cs="仿宋_GB2312"/>
                    <w:color w:val="FF0000"/>
                    <w:kern w:val="0"/>
                    <w:sz w:val="18"/>
                    <w:szCs w:val="18"/>
                    <w:lang w:bidi="ar"/>
                  </w:rPr>
                </w:rPrChange>
              </w:rPr>
              <w:t>情节严重的</w:t>
            </w:r>
            <w:r>
              <w:rPr>
                <w:rFonts w:hint="eastAsia" w:ascii="仿宋_GB2312" w:hAnsi="宋体" w:eastAsia="仿宋_GB2312" w:cs="仿宋_GB2312"/>
                <w:color w:val="auto"/>
                <w:kern w:val="0"/>
                <w:sz w:val="18"/>
                <w:szCs w:val="18"/>
                <w:lang w:eastAsia="zh-CN" w:bidi="ar"/>
                <w:rPrChange w:id="1959" w:author="LV" w:date="2026-07-14T15:52:55Z">
                  <w:rPr>
                    <w:rFonts w:hint="eastAsia" w:ascii="仿宋_GB2312" w:hAnsi="宋体" w:eastAsia="仿宋_GB2312" w:cs="仿宋_GB2312"/>
                    <w:color w:val="FF0000"/>
                    <w:kern w:val="0"/>
                    <w:sz w:val="18"/>
                    <w:szCs w:val="18"/>
                    <w:lang w:eastAsia="zh-CN" w:bidi="ar"/>
                  </w:rPr>
                </w:rPrChange>
              </w:rPr>
              <w:t>，</w:t>
            </w:r>
            <w:r>
              <w:rPr>
                <w:rFonts w:hint="eastAsia" w:ascii="仿宋_GB2312" w:hAnsi="宋体" w:eastAsia="仿宋_GB2312" w:cs="仿宋_GB2312"/>
                <w:color w:val="auto"/>
                <w:kern w:val="0"/>
                <w:sz w:val="18"/>
                <w:szCs w:val="18"/>
                <w:lang w:bidi="ar"/>
                <w:rPrChange w:id="1960" w:author="LV" w:date="2026-07-14T15:52:55Z">
                  <w:rPr>
                    <w:rFonts w:hint="eastAsia" w:ascii="仿宋_GB2312" w:hAnsi="宋体" w:eastAsia="仿宋_GB2312" w:cs="仿宋_GB2312"/>
                    <w:color w:val="FF0000"/>
                    <w:kern w:val="0"/>
                    <w:sz w:val="18"/>
                    <w:szCs w:val="18"/>
                    <w:lang w:bidi="ar"/>
                  </w:rPr>
                </w:rPrChange>
              </w:rPr>
              <w:t>责令停产停业整顿，处4万元以上5万元以下的罚款。</w:t>
            </w:r>
          </w:p>
        </w:tc>
      </w:tr>
      <w:tr w14:paraId="7D4863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0BDFFDE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del w:id="1961" w:author="LV" w:date="2026-07-14T16:42:43Z">
              <w:r>
                <w:rPr>
                  <w:rFonts w:hint="default" w:ascii="仿宋_GB2312" w:hAnsi="宋体" w:eastAsia="仿宋_GB2312" w:cs="仿宋_GB2312"/>
                  <w:kern w:val="0"/>
                  <w:sz w:val="18"/>
                  <w:szCs w:val="18"/>
                  <w:lang w:val="en-US" w:bidi="ar"/>
                </w:rPr>
                <w:delText>95</w:delText>
              </w:r>
            </w:del>
            <w:ins w:id="1962" w:author="LV" w:date="2026-07-14T16:42:43Z">
              <w:r>
                <w:rPr>
                  <w:rFonts w:hint="eastAsia" w:ascii="仿宋_GB2312" w:hAnsi="宋体" w:eastAsia="仿宋_GB2312" w:cs="仿宋_GB2312"/>
                  <w:kern w:val="0"/>
                  <w:sz w:val="18"/>
                  <w:szCs w:val="18"/>
                  <w:lang w:val="en-US" w:eastAsia="zh-CN" w:bidi="ar"/>
                </w:rPr>
                <w:t>1</w:t>
              </w:r>
            </w:ins>
            <w:ins w:id="1963" w:author="LV" w:date="2026-07-14T16:42:44Z">
              <w:r>
                <w:rPr>
                  <w:rFonts w:hint="eastAsia" w:ascii="仿宋_GB2312" w:hAnsi="宋体" w:eastAsia="仿宋_GB2312" w:cs="仿宋_GB2312"/>
                  <w:kern w:val="0"/>
                  <w:sz w:val="18"/>
                  <w:szCs w:val="18"/>
                  <w:lang w:val="en-US" w:eastAsia="zh-CN" w:bidi="ar"/>
                </w:rPr>
                <w:t>03</w:t>
              </w:r>
            </w:ins>
          </w:p>
        </w:tc>
        <w:tc>
          <w:tcPr>
            <w:tcW w:w="1005" w:type="dxa"/>
            <w:vMerge w:val="restart"/>
            <w:tcBorders>
              <w:tl2br w:val="nil"/>
              <w:tr2bl w:val="nil"/>
            </w:tcBorders>
            <w:shd w:val="clear" w:color="auto" w:fill="auto"/>
            <w:tcMar>
              <w:top w:w="15" w:type="dxa"/>
              <w:left w:w="15" w:type="dxa"/>
              <w:right w:w="15" w:type="dxa"/>
            </w:tcMar>
            <w:vAlign w:val="center"/>
          </w:tcPr>
          <w:p w14:paraId="0CC34B0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煤矿未对安全设备进行经常性维护、保养和定期检测，逾期未改正的</w:t>
            </w:r>
          </w:p>
        </w:tc>
        <w:tc>
          <w:tcPr>
            <w:tcW w:w="3667" w:type="dxa"/>
            <w:vMerge w:val="restart"/>
            <w:tcBorders>
              <w:tl2br w:val="nil"/>
              <w:tr2bl w:val="nil"/>
            </w:tcBorders>
            <w:shd w:val="clear" w:color="auto" w:fill="auto"/>
            <w:tcMar>
              <w:top w:w="15" w:type="dxa"/>
              <w:left w:w="15" w:type="dxa"/>
              <w:right w:w="15" w:type="dxa"/>
            </w:tcMar>
            <w:vAlign w:val="center"/>
          </w:tcPr>
          <w:p w14:paraId="7C77920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《安全生产法》第三十六条第二款</w:t>
            </w:r>
            <w:r>
              <w:rPr>
                <w:rFonts w:ascii="仿宋_GB2312" w:hAnsi="宋体" w:eastAsia="仿宋_GB2312" w:cs="仿宋_GB2312"/>
                <w:color w:val="auto"/>
                <w:kern w:val="0"/>
                <w:sz w:val="18"/>
                <w:szCs w:val="18"/>
                <w:lang w:bidi="ar"/>
              </w:rPr>
              <w:t xml:space="preserve"> </w:t>
            </w:r>
            <w:r>
              <w:rPr>
                <w:rFonts w:hint="eastAsia" w:ascii="仿宋_GB2312" w:hAnsi="宋体" w:eastAsia="仿宋_GB2312" w:cs="仿宋_GB2312"/>
                <w:color w:val="auto"/>
                <w:kern w:val="0"/>
                <w:sz w:val="18"/>
                <w:szCs w:val="18"/>
                <w:lang w:bidi="ar"/>
              </w:rPr>
              <w:t>生产经营单位必须对安全设备进行经常性维护、保养，并定期检测，保证正常运转。维护、保养、检测应当作好记录，并由有关人员签字。</w:t>
            </w:r>
          </w:p>
        </w:tc>
        <w:tc>
          <w:tcPr>
            <w:tcW w:w="4082" w:type="dxa"/>
            <w:vMerge w:val="restart"/>
            <w:tcBorders>
              <w:tl2br w:val="nil"/>
              <w:tr2bl w:val="nil"/>
            </w:tcBorders>
            <w:shd w:val="clear" w:color="auto" w:fill="auto"/>
            <w:tcMar>
              <w:top w:w="15" w:type="dxa"/>
              <w:left w:w="15" w:type="dxa"/>
              <w:right w:w="15" w:type="dxa"/>
            </w:tcMar>
            <w:vAlign w:val="center"/>
          </w:tcPr>
          <w:p w14:paraId="0C1FA3E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《安全生产法》第九十九条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三）未对安全设备进行经常性维护、保养和定期检测的。</w:t>
            </w:r>
          </w:p>
        </w:tc>
        <w:tc>
          <w:tcPr>
            <w:tcW w:w="459" w:type="dxa"/>
            <w:tcBorders>
              <w:tl2br w:val="nil"/>
              <w:tr2bl w:val="nil"/>
            </w:tcBorders>
            <w:shd w:val="clear" w:color="auto" w:fill="auto"/>
            <w:noWrap/>
            <w:tcMar>
              <w:top w:w="15" w:type="dxa"/>
              <w:left w:w="15" w:type="dxa"/>
              <w:right w:w="15" w:type="dxa"/>
            </w:tcMar>
            <w:vAlign w:val="center"/>
          </w:tcPr>
          <w:p w14:paraId="1E472F9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Change w:id="1964" w:author="LV" w:date="2026-07-14T15:52:55Z">
                  <w:rPr>
                    <w:rFonts w:ascii="仿宋_GB2312" w:hAnsi="宋体" w:eastAsia="仿宋_GB2312" w:cs="仿宋_GB2312"/>
                    <w:sz w:val="18"/>
                    <w:szCs w:val="18"/>
                  </w:rPr>
                </w:rPrChange>
              </w:rPr>
            </w:pPr>
            <w:r>
              <w:rPr>
                <w:rFonts w:hint="eastAsia" w:ascii="仿宋_GB2312" w:hAnsi="宋体" w:eastAsia="仿宋_GB2312" w:cs="仿宋_GB2312"/>
                <w:color w:val="auto"/>
                <w:kern w:val="0"/>
                <w:sz w:val="18"/>
                <w:szCs w:val="18"/>
                <w:lang w:bidi="ar"/>
                <w:rPrChange w:id="1965" w:author="LV" w:date="2026-07-14T15:52:55Z">
                  <w:rPr>
                    <w:rFonts w:hint="eastAsia" w:ascii="仿宋_GB2312" w:hAnsi="宋体" w:eastAsia="仿宋_GB2312" w:cs="仿宋_GB2312"/>
                    <w:kern w:val="0"/>
                    <w:sz w:val="18"/>
                    <w:szCs w:val="18"/>
                    <w:lang w:bidi="ar"/>
                  </w:rPr>
                </w:rPrChange>
              </w:rPr>
              <w:t>不予处罚</w:t>
            </w:r>
          </w:p>
        </w:tc>
        <w:tc>
          <w:tcPr>
            <w:tcW w:w="1829" w:type="dxa"/>
            <w:tcBorders>
              <w:tl2br w:val="nil"/>
              <w:tr2bl w:val="nil"/>
            </w:tcBorders>
            <w:shd w:val="clear" w:color="auto" w:fill="auto"/>
            <w:tcMar>
              <w:top w:w="15" w:type="dxa"/>
              <w:left w:w="15" w:type="dxa"/>
              <w:right w:w="15" w:type="dxa"/>
            </w:tcMar>
            <w:vAlign w:val="center"/>
          </w:tcPr>
          <w:p w14:paraId="2037925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Change w:id="1966" w:author="LV" w:date="2026-07-14T15:52:55Z">
                  <w:rPr>
                    <w:rFonts w:ascii="仿宋_GB2312" w:hAnsi="宋体" w:eastAsia="仿宋_GB2312" w:cs="仿宋_GB2312"/>
                    <w:sz w:val="18"/>
                    <w:szCs w:val="18"/>
                  </w:rPr>
                </w:rPrChange>
              </w:rPr>
            </w:pPr>
            <w:r>
              <w:rPr>
                <w:rFonts w:hint="eastAsia" w:ascii="仿宋_GB2312" w:hAnsi="宋体" w:eastAsia="仿宋_GB2312" w:cs="仿宋_GB2312"/>
                <w:color w:val="auto"/>
                <w:kern w:val="0"/>
                <w:sz w:val="18"/>
                <w:szCs w:val="18"/>
                <w:lang w:bidi="ar"/>
                <w:rPrChange w:id="1967" w:author="LV" w:date="2026-07-14T15:52:55Z">
                  <w:rPr>
                    <w:rFonts w:hint="eastAsia" w:ascii="仿宋_GB2312" w:hAnsi="宋体" w:eastAsia="仿宋_GB2312" w:cs="仿宋_GB2312"/>
                    <w:kern w:val="0"/>
                    <w:sz w:val="18"/>
                    <w:szCs w:val="18"/>
                    <w:lang w:bidi="ar"/>
                  </w:rPr>
                </w:rPrChange>
              </w:rPr>
              <w:t>适用总则规定</w:t>
            </w:r>
          </w:p>
        </w:tc>
        <w:tc>
          <w:tcPr>
            <w:tcW w:w="2655" w:type="dxa"/>
            <w:tcBorders>
              <w:tl2br w:val="nil"/>
              <w:tr2bl w:val="nil"/>
            </w:tcBorders>
            <w:shd w:val="clear" w:color="auto" w:fill="auto"/>
            <w:tcMar>
              <w:top w:w="15" w:type="dxa"/>
              <w:left w:w="15" w:type="dxa"/>
              <w:right w:w="15" w:type="dxa"/>
            </w:tcMar>
            <w:vAlign w:val="center"/>
          </w:tcPr>
          <w:p w14:paraId="088CBBE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Change w:id="1968" w:author="LV" w:date="2026-07-14T15:52:55Z">
                  <w:rPr>
                    <w:rFonts w:ascii="仿宋_GB2312" w:hAnsi="宋体" w:eastAsia="仿宋_GB2312" w:cs="仿宋_GB2312"/>
                    <w:sz w:val="18"/>
                    <w:szCs w:val="18"/>
                  </w:rPr>
                </w:rPrChange>
              </w:rPr>
            </w:pPr>
            <w:r>
              <w:rPr>
                <w:rFonts w:hint="eastAsia" w:ascii="仿宋_GB2312" w:hAnsi="宋体" w:eastAsia="仿宋_GB2312" w:cs="仿宋_GB2312"/>
                <w:color w:val="auto"/>
                <w:kern w:val="0"/>
                <w:sz w:val="18"/>
                <w:szCs w:val="18"/>
                <w:lang w:bidi="ar"/>
                <w:rPrChange w:id="1969" w:author="LV" w:date="2026-07-14T15:52:55Z">
                  <w:rPr>
                    <w:rFonts w:hint="eastAsia" w:ascii="仿宋_GB2312" w:hAnsi="宋体" w:eastAsia="仿宋_GB2312" w:cs="仿宋_GB2312"/>
                    <w:kern w:val="0"/>
                    <w:sz w:val="18"/>
                    <w:szCs w:val="18"/>
                    <w:lang w:bidi="ar"/>
                  </w:rPr>
                </w:rPrChange>
              </w:rPr>
              <w:t>无</w:t>
            </w:r>
          </w:p>
        </w:tc>
      </w:tr>
      <w:tr w14:paraId="4E79A9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95C804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3201DA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491424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C15E7C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CAF12D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Change w:id="1970" w:author="LV" w:date="2026-07-14T15:52:55Z">
                  <w:rPr>
                    <w:rFonts w:ascii="仿宋_GB2312" w:hAnsi="宋体" w:eastAsia="仿宋_GB2312" w:cs="仿宋_GB2312"/>
                    <w:sz w:val="18"/>
                    <w:szCs w:val="18"/>
                  </w:rPr>
                </w:rPrChange>
              </w:rPr>
            </w:pPr>
            <w:r>
              <w:rPr>
                <w:rFonts w:hint="eastAsia" w:ascii="仿宋_GB2312" w:hAnsi="宋体" w:eastAsia="仿宋_GB2312" w:cs="仿宋_GB2312"/>
                <w:color w:val="auto"/>
                <w:kern w:val="0"/>
                <w:sz w:val="18"/>
                <w:szCs w:val="18"/>
                <w:lang w:bidi="ar"/>
                <w:rPrChange w:id="1971" w:author="LV" w:date="2026-07-14T15:52:55Z">
                  <w:rPr>
                    <w:rFonts w:hint="eastAsia" w:ascii="仿宋_GB2312" w:hAnsi="宋体" w:eastAsia="仿宋_GB2312" w:cs="仿宋_GB2312"/>
                    <w:kern w:val="0"/>
                    <w:sz w:val="18"/>
                    <w:szCs w:val="18"/>
                    <w:lang w:bidi="ar"/>
                  </w:rPr>
                </w:rPrChange>
              </w:rPr>
              <w:t>免予处罚</w:t>
            </w:r>
          </w:p>
        </w:tc>
        <w:tc>
          <w:tcPr>
            <w:tcW w:w="1829" w:type="dxa"/>
            <w:tcBorders>
              <w:tl2br w:val="nil"/>
              <w:tr2bl w:val="nil"/>
            </w:tcBorders>
            <w:shd w:val="clear" w:color="auto" w:fill="auto"/>
            <w:tcMar>
              <w:top w:w="15" w:type="dxa"/>
              <w:left w:w="15" w:type="dxa"/>
              <w:right w:w="15" w:type="dxa"/>
            </w:tcMar>
            <w:vAlign w:val="center"/>
          </w:tcPr>
          <w:p w14:paraId="6D66C73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Change w:id="1972" w:author="LV" w:date="2026-07-14T15:52:55Z">
                  <w:rPr>
                    <w:rFonts w:ascii="仿宋_GB2312" w:hAnsi="宋体" w:eastAsia="仿宋_GB2312" w:cs="仿宋_GB2312"/>
                    <w:sz w:val="18"/>
                    <w:szCs w:val="18"/>
                  </w:rPr>
                </w:rPrChange>
              </w:rPr>
            </w:pPr>
            <w:r>
              <w:rPr>
                <w:rFonts w:hint="eastAsia" w:ascii="仿宋_GB2312" w:hAnsi="宋体" w:eastAsia="仿宋_GB2312" w:cs="仿宋_GB2312"/>
                <w:color w:val="auto"/>
                <w:kern w:val="0"/>
                <w:sz w:val="18"/>
                <w:szCs w:val="18"/>
                <w:lang w:bidi="ar"/>
                <w:rPrChange w:id="1973" w:author="LV" w:date="2026-07-14T15:52:55Z">
                  <w:rPr>
                    <w:rFonts w:hint="eastAsia" w:ascii="仿宋_GB2312" w:hAnsi="宋体" w:eastAsia="仿宋_GB2312" w:cs="仿宋_GB2312"/>
                    <w:kern w:val="0"/>
                    <w:sz w:val="18"/>
                    <w:szCs w:val="18"/>
                    <w:lang w:bidi="ar"/>
                  </w:rPr>
                </w:rPrChange>
              </w:rPr>
              <w:t>不适用</w:t>
            </w:r>
          </w:p>
        </w:tc>
        <w:tc>
          <w:tcPr>
            <w:tcW w:w="2655" w:type="dxa"/>
            <w:tcBorders>
              <w:tl2br w:val="nil"/>
              <w:tr2bl w:val="nil"/>
            </w:tcBorders>
            <w:shd w:val="clear" w:color="auto" w:fill="auto"/>
            <w:tcMar>
              <w:top w:w="15" w:type="dxa"/>
              <w:left w:w="15" w:type="dxa"/>
              <w:right w:w="15" w:type="dxa"/>
            </w:tcMar>
            <w:vAlign w:val="center"/>
          </w:tcPr>
          <w:p w14:paraId="2F15FBD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Change w:id="1974" w:author="LV" w:date="2026-07-14T15:52:55Z">
                  <w:rPr>
                    <w:rFonts w:ascii="仿宋_GB2312" w:hAnsi="宋体" w:eastAsia="仿宋_GB2312" w:cs="仿宋_GB2312"/>
                    <w:sz w:val="18"/>
                    <w:szCs w:val="18"/>
                  </w:rPr>
                </w:rPrChange>
              </w:rPr>
            </w:pPr>
            <w:r>
              <w:rPr>
                <w:rFonts w:hint="eastAsia" w:ascii="仿宋_GB2312" w:hAnsi="宋体" w:eastAsia="仿宋_GB2312" w:cs="仿宋_GB2312"/>
                <w:color w:val="auto"/>
                <w:kern w:val="0"/>
                <w:sz w:val="18"/>
                <w:szCs w:val="18"/>
                <w:lang w:bidi="ar"/>
                <w:rPrChange w:id="1975" w:author="LV" w:date="2026-07-14T15:52:55Z">
                  <w:rPr>
                    <w:rFonts w:hint="eastAsia" w:ascii="仿宋_GB2312" w:hAnsi="宋体" w:eastAsia="仿宋_GB2312" w:cs="仿宋_GB2312"/>
                    <w:kern w:val="0"/>
                    <w:sz w:val="18"/>
                    <w:szCs w:val="18"/>
                    <w:lang w:bidi="ar"/>
                  </w:rPr>
                </w:rPrChange>
              </w:rPr>
              <w:t>无</w:t>
            </w:r>
          </w:p>
        </w:tc>
      </w:tr>
      <w:tr w14:paraId="37F06B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D41443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74EDB3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70FF03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F1B027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89A924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Change w:id="1976" w:author="LV" w:date="2026-07-14T15:52:55Z">
                  <w:rPr>
                    <w:rFonts w:ascii="仿宋_GB2312" w:hAnsi="宋体" w:eastAsia="仿宋_GB2312" w:cs="仿宋_GB2312"/>
                    <w:sz w:val="18"/>
                    <w:szCs w:val="18"/>
                  </w:rPr>
                </w:rPrChange>
              </w:rPr>
            </w:pPr>
            <w:r>
              <w:rPr>
                <w:rFonts w:hint="eastAsia" w:ascii="仿宋_GB2312" w:hAnsi="宋体" w:eastAsia="仿宋_GB2312" w:cs="仿宋_GB2312"/>
                <w:color w:val="auto"/>
                <w:kern w:val="0"/>
                <w:sz w:val="18"/>
                <w:szCs w:val="18"/>
                <w:lang w:bidi="ar"/>
                <w:rPrChange w:id="1977" w:author="LV" w:date="2026-07-14T15:52:55Z">
                  <w:rPr>
                    <w:rFonts w:hint="eastAsia" w:ascii="仿宋_GB2312" w:hAnsi="宋体" w:eastAsia="仿宋_GB2312" w:cs="仿宋_GB2312"/>
                    <w:kern w:val="0"/>
                    <w:sz w:val="18"/>
                    <w:szCs w:val="18"/>
                    <w:lang w:bidi="ar"/>
                  </w:rPr>
                </w:rPrChange>
              </w:rPr>
              <w:t>减轻处罚</w:t>
            </w:r>
          </w:p>
        </w:tc>
        <w:tc>
          <w:tcPr>
            <w:tcW w:w="1829" w:type="dxa"/>
            <w:tcBorders>
              <w:tl2br w:val="nil"/>
              <w:tr2bl w:val="nil"/>
            </w:tcBorders>
            <w:shd w:val="clear" w:color="auto" w:fill="auto"/>
            <w:tcMar>
              <w:top w:w="15" w:type="dxa"/>
              <w:left w:w="15" w:type="dxa"/>
              <w:right w:w="15" w:type="dxa"/>
            </w:tcMar>
            <w:vAlign w:val="center"/>
          </w:tcPr>
          <w:p w14:paraId="35CA5E3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Change w:id="1978" w:author="LV" w:date="2026-07-14T15:52:55Z">
                  <w:rPr>
                    <w:rFonts w:ascii="仿宋_GB2312" w:hAnsi="宋体" w:eastAsia="仿宋_GB2312" w:cs="仿宋_GB2312"/>
                    <w:sz w:val="18"/>
                    <w:szCs w:val="18"/>
                  </w:rPr>
                </w:rPrChange>
              </w:rPr>
            </w:pPr>
            <w:r>
              <w:rPr>
                <w:rFonts w:hint="eastAsia" w:ascii="仿宋_GB2312" w:hAnsi="宋体" w:eastAsia="仿宋_GB2312" w:cs="仿宋_GB2312"/>
                <w:color w:val="auto"/>
                <w:kern w:val="0"/>
                <w:sz w:val="18"/>
                <w:szCs w:val="18"/>
                <w:lang w:bidi="ar"/>
                <w:rPrChange w:id="1979" w:author="LV" w:date="2026-07-14T15:52:55Z">
                  <w:rPr>
                    <w:rFonts w:hint="eastAsia" w:ascii="仿宋_GB2312" w:hAnsi="宋体" w:eastAsia="仿宋_GB2312" w:cs="仿宋_GB2312"/>
                    <w:kern w:val="0"/>
                    <w:sz w:val="18"/>
                    <w:szCs w:val="18"/>
                    <w:lang w:bidi="ar"/>
                  </w:rPr>
                </w:rPrChange>
              </w:rPr>
              <w:t>适用总则规定</w:t>
            </w:r>
          </w:p>
        </w:tc>
        <w:tc>
          <w:tcPr>
            <w:tcW w:w="2655" w:type="dxa"/>
            <w:tcBorders>
              <w:tl2br w:val="nil"/>
              <w:tr2bl w:val="nil"/>
            </w:tcBorders>
            <w:shd w:val="clear" w:color="auto" w:fill="auto"/>
            <w:tcMar>
              <w:top w:w="15" w:type="dxa"/>
              <w:left w:w="15" w:type="dxa"/>
              <w:right w:w="15" w:type="dxa"/>
            </w:tcMar>
            <w:vAlign w:val="center"/>
          </w:tcPr>
          <w:p w14:paraId="33C2465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Change w:id="1980" w:author="LV" w:date="2026-07-14T15:52:55Z">
                  <w:rPr>
                    <w:rFonts w:ascii="仿宋_GB2312" w:hAnsi="宋体" w:eastAsia="仿宋_GB2312" w:cs="仿宋_GB2312"/>
                    <w:sz w:val="18"/>
                    <w:szCs w:val="18"/>
                  </w:rPr>
                </w:rPrChange>
              </w:rPr>
            </w:pPr>
            <w:r>
              <w:rPr>
                <w:rFonts w:hint="eastAsia" w:ascii="仿宋_GB2312" w:hAnsi="宋体" w:eastAsia="仿宋_GB2312" w:cs="仿宋_GB2312"/>
                <w:color w:val="auto"/>
                <w:kern w:val="0"/>
                <w:sz w:val="18"/>
                <w:szCs w:val="18"/>
                <w:lang w:bidi="ar"/>
                <w:rPrChange w:id="1981" w:author="LV" w:date="2026-07-14T15:52:55Z">
                  <w:rPr>
                    <w:rFonts w:hint="eastAsia" w:ascii="仿宋_GB2312" w:hAnsi="宋体" w:eastAsia="仿宋_GB2312" w:cs="仿宋_GB2312"/>
                    <w:kern w:val="0"/>
                    <w:sz w:val="18"/>
                    <w:szCs w:val="18"/>
                    <w:lang w:bidi="ar"/>
                  </w:rPr>
                </w:rPrChange>
              </w:rPr>
              <w:t>无</w:t>
            </w:r>
          </w:p>
        </w:tc>
      </w:tr>
      <w:tr w14:paraId="379C26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7C6D0E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CCCBAE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D7A53F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999813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AC5920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Change w:id="1982" w:author="LV" w:date="2026-07-14T15:52:55Z">
                  <w:rPr>
                    <w:rFonts w:ascii="仿宋_GB2312" w:hAnsi="宋体" w:eastAsia="仿宋_GB2312" w:cs="仿宋_GB2312"/>
                    <w:sz w:val="18"/>
                    <w:szCs w:val="18"/>
                  </w:rPr>
                </w:rPrChange>
              </w:rPr>
            </w:pPr>
            <w:r>
              <w:rPr>
                <w:rFonts w:hint="eastAsia" w:ascii="仿宋_GB2312" w:hAnsi="宋体" w:eastAsia="仿宋_GB2312" w:cs="仿宋_GB2312"/>
                <w:color w:val="auto"/>
                <w:kern w:val="0"/>
                <w:sz w:val="18"/>
                <w:szCs w:val="18"/>
                <w:lang w:bidi="ar"/>
                <w:rPrChange w:id="1983" w:author="LV" w:date="2026-07-14T15:52:55Z">
                  <w:rPr>
                    <w:rFonts w:hint="eastAsia" w:ascii="仿宋_GB2312" w:hAnsi="宋体" w:eastAsia="仿宋_GB2312" w:cs="仿宋_GB2312"/>
                    <w:kern w:val="0"/>
                    <w:sz w:val="18"/>
                    <w:szCs w:val="18"/>
                    <w:lang w:bidi="ar"/>
                  </w:rPr>
                </w:rPrChange>
              </w:rPr>
              <w:t>从轻处罚</w:t>
            </w:r>
          </w:p>
        </w:tc>
        <w:tc>
          <w:tcPr>
            <w:tcW w:w="1829" w:type="dxa"/>
            <w:tcBorders>
              <w:tl2br w:val="nil"/>
              <w:tr2bl w:val="nil"/>
            </w:tcBorders>
            <w:shd w:val="clear" w:color="auto" w:fill="auto"/>
            <w:tcMar>
              <w:top w:w="15" w:type="dxa"/>
              <w:left w:w="15" w:type="dxa"/>
              <w:right w:w="15" w:type="dxa"/>
            </w:tcMar>
            <w:vAlign w:val="center"/>
          </w:tcPr>
          <w:p w14:paraId="5E12962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kern w:val="2"/>
                <w:sz w:val="18"/>
                <w:szCs w:val="18"/>
                <w:lang w:val="en-US" w:eastAsia="zh-CN" w:bidi="ar-SA"/>
                <w:rPrChange w:id="1984" w:author="LV" w:date="2026-07-14T15:52:55Z">
                  <w:rPr>
                    <w:rFonts w:ascii="仿宋_GB2312" w:hAnsi="宋体" w:eastAsia="仿宋_GB2312" w:cs="仿宋_GB2312"/>
                    <w:color w:val="FF0000"/>
                    <w:kern w:val="2"/>
                    <w:sz w:val="18"/>
                    <w:szCs w:val="18"/>
                    <w:lang w:val="en-US" w:eastAsia="zh-CN" w:bidi="ar-SA"/>
                  </w:rPr>
                </w:rPrChange>
              </w:rPr>
            </w:pPr>
            <w:r>
              <w:rPr>
                <w:rFonts w:hint="eastAsia" w:ascii="仿宋_GB2312" w:hAnsi="宋体" w:eastAsia="仿宋_GB2312" w:cs="仿宋_GB2312"/>
                <w:color w:val="auto"/>
                <w:sz w:val="18"/>
                <w:szCs w:val="18"/>
                <w:rPrChange w:id="1985" w:author="LV" w:date="2026-07-14T15:52:55Z">
                  <w:rPr>
                    <w:rFonts w:hint="eastAsia" w:ascii="仿宋_GB2312" w:hAnsi="宋体" w:eastAsia="仿宋_GB2312" w:cs="仿宋_GB2312"/>
                    <w:color w:val="FF0000"/>
                    <w:sz w:val="18"/>
                    <w:szCs w:val="18"/>
                  </w:rPr>
                </w:rPrChange>
              </w:rPr>
              <w:t>逾期未改正未对安全设备经常性维护、保养的，或者超过责令改正期限10日以下的。</w:t>
            </w:r>
          </w:p>
        </w:tc>
        <w:tc>
          <w:tcPr>
            <w:tcW w:w="2655" w:type="dxa"/>
            <w:tcBorders>
              <w:tl2br w:val="nil"/>
              <w:tr2bl w:val="nil"/>
            </w:tcBorders>
            <w:shd w:val="clear" w:color="auto" w:fill="auto"/>
            <w:tcMar>
              <w:top w:w="15" w:type="dxa"/>
              <w:left w:w="15" w:type="dxa"/>
              <w:right w:w="15" w:type="dxa"/>
            </w:tcMar>
            <w:vAlign w:val="center"/>
          </w:tcPr>
          <w:p w14:paraId="2052210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kern w:val="2"/>
                <w:sz w:val="18"/>
                <w:szCs w:val="18"/>
                <w:lang w:val="en-US" w:eastAsia="zh-CN" w:bidi="ar-SA"/>
                <w:rPrChange w:id="1986" w:author="LV" w:date="2026-07-14T15:52:55Z">
                  <w:rPr>
                    <w:rFonts w:ascii="仿宋_GB2312" w:hAnsi="宋体" w:eastAsia="仿宋_GB2312" w:cs="仿宋_GB2312"/>
                    <w:color w:val="FF0000"/>
                    <w:kern w:val="2"/>
                    <w:sz w:val="18"/>
                    <w:szCs w:val="18"/>
                    <w:lang w:val="en-US" w:eastAsia="zh-CN" w:bidi="ar-SA"/>
                  </w:rPr>
                </w:rPrChange>
              </w:rPr>
            </w:pPr>
            <w:r>
              <w:rPr>
                <w:rFonts w:hint="eastAsia" w:ascii="仿宋_GB2312" w:hAnsi="宋体" w:eastAsia="仿宋_GB2312" w:cs="仿宋_GB2312"/>
                <w:color w:val="auto"/>
                <w:kern w:val="0"/>
                <w:sz w:val="18"/>
                <w:szCs w:val="18"/>
                <w:lang w:bidi="ar"/>
                <w:rPrChange w:id="1987" w:author="LV" w:date="2026-07-14T15:52:55Z">
                  <w:rPr>
                    <w:rFonts w:hint="eastAsia" w:ascii="仿宋_GB2312" w:hAnsi="宋体" w:eastAsia="仿宋_GB2312" w:cs="仿宋_GB2312"/>
                    <w:color w:val="FF0000"/>
                    <w:kern w:val="0"/>
                    <w:sz w:val="18"/>
                    <w:szCs w:val="18"/>
                    <w:lang w:bidi="ar"/>
                  </w:rPr>
                </w:rPrChange>
              </w:rPr>
              <w:t>对煤矿处5万元以上10万元以下的罚款，对其直接负责的主管人员处1万元以上1.3万元以下的罚款。</w:t>
            </w:r>
          </w:p>
        </w:tc>
      </w:tr>
      <w:tr w14:paraId="2AFA06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EB6554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8C2B4A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43E17E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53E503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48E3D4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Change w:id="1988" w:author="LV" w:date="2026-07-14T15:52:55Z">
                  <w:rPr>
                    <w:rFonts w:ascii="仿宋_GB2312" w:hAnsi="宋体" w:eastAsia="仿宋_GB2312" w:cs="仿宋_GB2312"/>
                    <w:sz w:val="18"/>
                    <w:szCs w:val="18"/>
                  </w:rPr>
                </w:rPrChange>
              </w:rPr>
            </w:pPr>
            <w:r>
              <w:rPr>
                <w:rFonts w:hint="eastAsia" w:ascii="仿宋_GB2312" w:hAnsi="宋体" w:eastAsia="仿宋_GB2312" w:cs="仿宋_GB2312"/>
                <w:color w:val="auto"/>
                <w:kern w:val="0"/>
                <w:sz w:val="18"/>
                <w:szCs w:val="18"/>
                <w:lang w:bidi="ar"/>
                <w:rPrChange w:id="1989" w:author="LV" w:date="2026-07-14T15:52:55Z">
                  <w:rPr>
                    <w:rFonts w:hint="eastAsia" w:ascii="仿宋_GB2312" w:hAnsi="宋体" w:eastAsia="仿宋_GB2312" w:cs="仿宋_GB2312"/>
                    <w:kern w:val="0"/>
                    <w:sz w:val="18"/>
                    <w:szCs w:val="18"/>
                    <w:lang w:bidi="ar"/>
                  </w:rPr>
                </w:rPrChange>
              </w:rPr>
              <w:t>一般处罚</w:t>
            </w:r>
          </w:p>
        </w:tc>
        <w:tc>
          <w:tcPr>
            <w:tcW w:w="1829" w:type="dxa"/>
            <w:tcBorders>
              <w:tl2br w:val="nil"/>
              <w:tr2bl w:val="nil"/>
            </w:tcBorders>
            <w:shd w:val="clear" w:color="auto" w:fill="auto"/>
            <w:tcMar>
              <w:top w:w="15" w:type="dxa"/>
              <w:left w:w="15" w:type="dxa"/>
              <w:right w:w="15" w:type="dxa"/>
            </w:tcMar>
            <w:vAlign w:val="center"/>
          </w:tcPr>
          <w:p w14:paraId="45C737B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kern w:val="2"/>
                <w:sz w:val="18"/>
                <w:szCs w:val="18"/>
                <w:lang w:val="en-US" w:eastAsia="zh-CN" w:bidi="ar-SA"/>
                <w:rPrChange w:id="1990" w:author="LV" w:date="2026-07-14T15:52:55Z">
                  <w:rPr>
                    <w:rFonts w:ascii="仿宋_GB2312" w:hAnsi="宋体" w:eastAsia="仿宋_GB2312" w:cs="仿宋_GB2312"/>
                    <w:color w:val="FF0000"/>
                    <w:kern w:val="2"/>
                    <w:sz w:val="18"/>
                    <w:szCs w:val="18"/>
                    <w:lang w:val="en-US" w:eastAsia="zh-CN" w:bidi="ar-SA"/>
                  </w:rPr>
                </w:rPrChange>
              </w:rPr>
            </w:pPr>
            <w:r>
              <w:rPr>
                <w:rFonts w:hint="eastAsia" w:ascii="仿宋_GB2312" w:hAnsi="宋体" w:eastAsia="仿宋_GB2312" w:cs="仿宋_GB2312"/>
                <w:color w:val="auto"/>
                <w:sz w:val="18"/>
                <w:szCs w:val="18"/>
                <w:rPrChange w:id="1991" w:author="LV" w:date="2026-07-14T15:52:55Z">
                  <w:rPr>
                    <w:rFonts w:hint="eastAsia" w:ascii="仿宋_GB2312" w:hAnsi="宋体" w:eastAsia="仿宋_GB2312" w:cs="仿宋_GB2312"/>
                    <w:color w:val="FF0000"/>
                    <w:sz w:val="18"/>
                    <w:szCs w:val="18"/>
                  </w:rPr>
                </w:rPrChange>
              </w:rPr>
              <w:t>逾期未改正未对安全设备定期检测的，或者超过责令改正期限10日以上20日以下的。</w:t>
            </w:r>
          </w:p>
        </w:tc>
        <w:tc>
          <w:tcPr>
            <w:tcW w:w="2655" w:type="dxa"/>
            <w:tcBorders>
              <w:tl2br w:val="nil"/>
              <w:tr2bl w:val="nil"/>
            </w:tcBorders>
            <w:shd w:val="clear" w:color="auto" w:fill="auto"/>
            <w:tcMar>
              <w:top w:w="15" w:type="dxa"/>
              <w:left w:w="15" w:type="dxa"/>
              <w:right w:w="15" w:type="dxa"/>
            </w:tcMar>
            <w:vAlign w:val="center"/>
          </w:tcPr>
          <w:p w14:paraId="466CFB6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kern w:val="2"/>
                <w:sz w:val="18"/>
                <w:szCs w:val="18"/>
                <w:lang w:val="en-US" w:eastAsia="zh-CN" w:bidi="ar-SA"/>
                <w:rPrChange w:id="1992" w:author="LV" w:date="2026-07-14T15:52:55Z">
                  <w:rPr>
                    <w:rFonts w:ascii="仿宋_GB2312" w:hAnsi="宋体" w:eastAsia="仿宋_GB2312" w:cs="仿宋_GB2312"/>
                    <w:color w:val="FF0000"/>
                    <w:kern w:val="2"/>
                    <w:sz w:val="18"/>
                    <w:szCs w:val="18"/>
                    <w:lang w:val="en-US" w:eastAsia="zh-CN" w:bidi="ar-SA"/>
                  </w:rPr>
                </w:rPrChange>
              </w:rPr>
            </w:pPr>
            <w:r>
              <w:rPr>
                <w:rFonts w:hint="eastAsia" w:ascii="仿宋_GB2312" w:hAnsi="宋体" w:eastAsia="仿宋_GB2312" w:cs="仿宋_GB2312"/>
                <w:color w:val="auto"/>
                <w:kern w:val="0"/>
                <w:sz w:val="18"/>
                <w:szCs w:val="18"/>
                <w:lang w:bidi="ar"/>
                <w:rPrChange w:id="1993" w:author="LV" w:date="2026-07-14T15:52:55Z">
                  <w:rPr>
                    <w:rFonts w:hint="eastAsia" w:ascii="仿宋_GB2312" w:hAnsi="宋体" w:eastAsia="仿宋_GB2312" w:cs="仿宋_GB2312"/>
                    <w:color w:val="FF0000"/>
                    <w:kern w:val="0"/>
                    <w:sz w:val="18"/>
                    <w:szCs w:val="18"/>
                    <w:lang w:bidi="ar"/>
                  </w:rPr>
                </w:rPrChange>
              </w:rPr>
              <w:t>对煤矿处10万元以上15万元以下的罚款，对其直接负责的主管人员处1.3万元以上1.8万元以下的罚款。</w:t>
            </w:r>
          </w:p>
        </w:tc>
      </w:tr>
      <w:tr w14:paraId="1D08E1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3EB180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FBC85B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6D7909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F404BD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D2F586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Change w:id="1994" w:author="LV" w:date="2026-07-14T15:52:55Z">
                  <w:rPr>
                    <w:rFonts w:ascii="仿宋_GB2312" w:hAnsi="宋体" w:eastAsia="仿宋_GB2312" w:cs="仿宋_GB2312"/>
                    <w:sz w:val="18"/>
                    <w:szCs w:val="18"/>
                  </w:rPr>
                </w:rPrChange>
              </w:rPr>
            </w:pPr>
            <w:r>
              <w:rPr>
                <w:rFonts w:hint="eastAsia" w:ascii="仿宋_GB2312" w:hAnsi="宋体" w:eastAsia="仿宋_GB2312" w:cs="仿宋_GB2312"/>
                <w:color w:val="auto"/>
                <w:kern w:val="0"/>
                <w:sz w:val="18"/>
                <w:szCs w:val="18"/>
                <w:lang w:bidi="ar"/>
                <w:rPrChange w:id="1995" w:author="LV" w:date="2026-07-14T15:52:55Z">
                  <w:rPr>
                    <w:rFonts w:hint="eastAsia" w:ascii="仿宋_GB2312" w:hAnsi="宋体" w:eastAsia="仿宋_GB2312" w:cs="仿宋_GB2312"/>
                    <w:kern w:val="0"/>
                    <w:sz w:val="18"/>
                    <w:szCs w:val="18"/>
                    <w:lang w:bidi="ar"/>
                  </w:rPr>
                </w:rPrChange>
              </w:rPr>
              <w:t>从重处罚</w:t>
            </w:r>
          </w:p>
        </w:tc>
        <w:tc>
          <w:tcPr>
            <w:tcW w:w="1829" w:type="dxa"/>
            <w:tcBorders>
              <w:tl2br w:val="nil"/>
              <w:tr2bl w:val="nil"/>
            </w:tcBorders>
            <w:shd w:val="clear" w:color="auto" w:fill="auto"/>
            <w:tcMar>
              <w:top w:w="15" w:type="dxa"/>
              <w:left w:w="15" w:type="dxa"/>
              <w:right w:w="15" w:type="dxa"/>
            </w:tcMar>
            <w:vAlign w:val="center"/>
          </w:tcPr>
          <w:p w14:paraId="0F4F065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sz w:val="18"/>
                <w:szCs w:val="18"/>
                <w:rPrChange w:id="1996" w:author="LV" w:date="2026-07-14T15:52:55Z">
                  <w:rPr>
                    <w:rFonts w:hint="eastAsia" w:ascii="仿宋_GB2312" w:hAnsi="宋体" w:eastAsia="仿宋_GB2312" w:cs="仿宋_GB2312"/>
                    <w:color w:val="FF0000"/>
                    <w:sz w:val="18"/>
                    <w:szCs w:val="18"/>
                  </w:rPr>
                </w:rPrChange>
              </w:rPr>
            </w:pPr>
            <w:r>
              <w:rPr>
                <w:rFonts w:hint="eastAsia" w:ascii="仿宋_GB2312" w:hAnsi="宋体" w:eastAsia="仿宋_GB2312" w:cs="仿宋_GB2312"/>
                <w:color w:val="auto"/>
                <w:sz w:val="18"/>
                <w:szCs w:val="18"/>
                <w:lang w:val="en-US" w:eastAsia="zh-CN"/>
                <w:rPrChange w:id="1997" w:author="LV" w:date="2026-07-14T15:52:55Z">
                  <w:rPr>
                    <w:rFonts w:hint="eastAsia" w:ascii="仿宋_GB2312" w:hAnsi="宋体" w:eastAsia="仿宋_GB2312" w:cs="仿宋_GB2312"/>
                    <w:color w:val="FF0000"/>
                    <w:sz w:val="18"/>
                    <w:szCs w:val="18"/>
                    <w:lang w:val="en-US" w:eastAsia="zh-CN"/>
                  </w:rPr>
                </w:rPrChange>
              </w:rPr>
              <w:t>①</w:t>
            </w:r>
            <w:r>
              <w:rPr>
                <w:rFonts w:hint="eastAsia" w:ascii="仿宋_GB2312" w:hAnsi="宋体" w:eastAsia="仿宋_GB2312" w:cs="仿宋_GB2312"/>
                <w:color w:val="auto"/>
                <w:sz w:val="18"/>
                <w:szCs w:val="18"/>
                <w:rPrChange w:id="1998" w:author="LV" w:date="2026-07-14T15:52:55Z">
                  <w:rPr>
                    <w:rFonts w:hint="eastAsia" w:ascii="仿宋_GB2312" w:hAnsi="宋体" w:eastAsia="仿宋_GB2312" w:cs="仿宋_GB2312"/>
                    <w:color w:val="FF0000"/>
                    <w:sz w:val="18"/>
                    <w:szCs w:val="18"/>
                  </w:rPr>
                </w:rPrChange>
              </w:rPr>
              <w:t>逾期未改正既未对安全设备经常性维护、保养，又未对安全设备定期检测的，或者超过责令改正期限20日以上的。</w:t>
            </w:r>
          </w:p>
          <w:p w14:paraId="3DDFC79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2"/>
                <w:sz w:val="18"/>
                <w:szCs w:val="18"/>
                <w:lang w:val="en-US" w:eastAsia="zh-CN" w:bidi="ar-SA"/>
                <w:rPrChange w:id="1999" w:author="LV" w:date="2026-07-14T15:52:55Z">
                  <w:rPr>
                    <w:rFonts w:hint="eastAsia" w:ascii="仿宋_GB2312" w:hAnsi="宋体" w:eastAsia="仿宋_GB2312" w:cs="仿宋_GB2312"/>
                    <w:color w:val="FF0000"/>
                    <w:kern w:val="2"/>
                    <w:sz w:val="18"/>
                    <w:szCs w:val="18"/>
                    <w:lang w:val="en-US" w:eastAsia="zh-CN" w:bidi="ar-SA"/>
                  </w:rPr>
                </w:rPrChange>
              </w:rPr>
            </w:pPr>
            <w:r>
              <w:rPr>
                <w:rFonts w:hint="eastAsia" w:ascii="仿宋_GB2312" w:hAnsi="宋体" w:eastAsia="仿宋_GB2312" w:cs="仿宋_GB2312"/>
                <w:color w:val="auto"/>
                <w:sz w:val="18"/>
                <w:szCs w:val="18"/>
                <w:lang w:val="en-US" w:eastAsia="zh-CN"/>
                <w:rPrChange w:id="2000" w:author="LV" w:date="2026-07-14T15:52:55Z">
                  <w:rPr>
                    <w:rFonts w:hint="eastAsia" w:ascii="仿宋_GB2312" w:hAnsi="宋体" w:eastAsia="仿宋_GB2312" w:cs="仿宋_GB2312"/>
                    <w:color w:val="FF0000"/>
                    <w:sz w:val="18"/>
                    <w:szCs w:val="18"/>
                    <w:lang w:val="en-US" w:eastAsia="zh-CN"/>
                  </w:rPr>
                </w:rPrChange>
              </w:rPr>
              <w:t>②</w:t>
            </w:r>
            <w:r>
              <w:rPr>
                <w:rFonts w:hint="eastAsia" w:ascii="仿宋_GB2312" w:hAnsi="宋体" w:eastAsia="仿宋_GB2312" w:cs="仿宋_GB2312"/>
                <w:color w:val="auto"/>
                <w:sz w:val="18"/>
                <w:szCs w:val="18"/>
                <w:rPrChange w:id="2001" w:author="LV" w:date="2026-07-14T15:52:55Z">
                  <w:rPr>
                    <w:rFonts w:hint="eastAsia" w:ascii="仿宋_GB2312" w:hAnsi="宋体" w:eastAsia="仿宋_GB2312" w:cs="仿宋_GB2312"/>
                    <w:color w:val="FF0000"/>
                    <w:sz w:val="18"/>
                    <w:szCs w:val="18"/>
                  </w:rPr>
                </w:rPrChange>
              </w:rPr>
              <w:t>情节严重的。</w:t>
            </w:r>
          </w:p>
        </w:tc>
        <w:tc>
          <w:tcPr>
            <w:tcW w:w="2655" w:type="dxa"/>
            <w:tcBorders>
              <w:tl2br w:val="nil"/>
              <w:tr2bl w:val="nil"/>
            </w:tcBorders>
            <w:shd w:val="clear" w:color="auto" w:fill="auto"/>
            <w:tcMar>
              <w:top w:w="15" w:type="dxa"/>
              <w:left w:w="15" w:type="dxa"/>
              <w:right w:w="15" w:type="dxa"/>
            </w:tcMar>
            <w:vAlign w:val="center"/>
          </w:tcPr>
          <w:p w14:paraId="56A4801C">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2002" w:author="LV" w:date="2026-07-14T16:43:03Z"/>
                <w:rFonts w:hint="eastAsia" w:ascii="仿宋_GB2312" w:hAnsi="宋体" w:eastAsia="仿宋_GB2312" w:cs="仿宋_GB2312"/>
                <w:color w:val="auto"/>
                <w:kern w:val="0"/>
                <w:sz w:val="18"/>
                <w:szCs w:val="18"/>
                <w:lang w:val="en-US" w:eastAsia="zh-CN" w:bidi="ar"/>
              </w:rPr>
            </w:pPr>
          </w:p>
          <w:p w14:paraId="32A9D805">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2003" w:author="LV" w:date="2026-07-14T16:43:10Z"/>
                <w:rFonts w:hint="eastAsia" w:ascii="仿宋_GB2312" w:hAnsi="宋体" w:eastAsia="仿宋_GB2312" w:cs="仿宋_GB2312"/>
                <w:color w:val="auto"/>
                <w:kern w:val="0"/>
                <w:sz w:val="18"/>
                <w:szCs w:val="18"/>
                <w:lang w:val="en-US" w:eastAsia="zh-CN" w:bidi="ar"/>
              </w:rPr>
            </w:pPr>
          </w:p>
          <w:p w14:paraId="70DB7FE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Change w:id="2004" w:author="LV" w:date="2026-07-14T15:52:55Z">
                  <w:rPr>
                    <w:rFonts w:hint="eastAsia" w:ascii="仿宋_GB2312" w:hAnsi="宋体" w:eastAsia="仿宋_GB2312" w:cs="仿宋_GB2312"/>
                    <w:color w:val="FF0000"/>
                    <w:kern w:val="0"/>
                    <w:sz w:val="18"/>
                    <w:szCs w:val="18"/>
                    <w:lang w:bidi="ar"/>
                  </w:rPr>
                </w:rPrChange>
              </w:rPr>
            </w:pPr>
            <w:r>
              <w:rPr>
                <w:rFonts w:hint="eastAsia" w:ascii="仿宋_GB2312" w:hAnsi="宋体" w:eastAsia="仿宋_GB2312" w:cs="仿宋_GB2312"/>
                <w:color w:val="auto"/>
                <w:kern w:val="0"/>
                <w:sz w:val="18"/>
                <w:szCs w:val="18"/>
                <w:lang w:val="en-US" w:eastAsia="zh-CN" w:bidi="ar"/>
                <w:rPrChange w:id="2005" w:author="LV" w:date="2026-07-14T15:52:55Z">
                  <w:rPr>
                    <w:rFonts w:hint="eastAsia" w:ascii="仿宋_GB2312" w:hAnsi="宋体" w:eastAsia="仿宋_GB2312" w:cs="仿宋_GB2312"/>
                    <w:color w:val="FF0000"/>
                    <w:kern w:val="0"/>
                    <w:sz w:val="18"/>
                    <w:szCs w:val="18"/>
                    <w:lang w:val="en-US" w:eastAsia="zh-CN" w:bidi="ar"/>
                  </w:rPr>
                </w:rPrChange>
              </w:rPr>
              <w:t>①</w:t>
            </w:r>
            <w:r>
              <w:rPr>
                <w:rFonts w:hint="eastAsia" w:ascii="仿宋_GB2312" w:hAnsi="宋体" w:eastAsia="仿宋_GB2312" w:cs="仿宋_GB2312"/>
                <w:color w:val="auto"/>
                <w:kern w:val="0"/>
                <w:sz w:val="18"/>
                <w:szCs w:val="18"/>
                <w:lang w:bidi="ar"/>
                <w:rPrChange w:id="2006" w:author="LV" w:date="2026-07-14T15:52:55Z">
                  <w:rPr>
                    <w:rFonts w:hint="eastAsia" w:ascii="仿宋_GB2312" w:hAnsi="宋体" w:eastAsia="仿宋_GB2312" w:cs="仿宋_GB2312"/>
                    <w:color w:val="FF0000"/>
                    <w:kern w:val="0"/>
                    <w:sz w:val="18"/>
                    <w:szCs w:val="18"/>
                    <w:lang w:bidi="ar"/>
                  </w:rPr>
                </w:rPrChange>
              </w:rPr>
              <w:t>对煤矿处15万元以上20万元以下的罚款，对其直接负责的主管人员和其他直接责任人员处1.8万元以上2万元以下的罚款。情节严重的，责令停产停业整顿。</w:t>
            </w:r>
          </w:p>
          <w:p w14:paraId="45EA25E1">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2007" w:author="LV" w:date="2026-07-14T16:43:12Z"/>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val="en-US" w:eastAsia="zh-CN" w:bidi="ar"/>
                <w:rPrChange w:id="2008" w:author="LV" w:date="2026-07-14T15:52:55Z">
                  <w:rPr>
                    <w:rFonts w:hint="eastAsia" w:ascii="仿宋_GB2312" w:hAnsi="宋体" w:eastAsia="仿宋_GB2312" w:cs="仿宋_GB2312"/>
                    <w:color w:val="FF0000"/>
                    <w:kern w:val="0"/>
                    <w:sz w:val="18"/>
                    <w:szCs w:val="18"/>
                    <w:lang w:val="en-US" w:eastAsia="zh-CN" w:bidi="ar"/>
                  </w:rPr>
                </w:rPrChange>
              </w:rPr>
              <w:t>②</w:t>
            </w:r>
            <w:r>
              <w:rPr>
                <w:rFonts w:hint="eastAsia" w:ascii="仿宋_GB2312" w:hAnsi="宋体" w:eastAsia="仿宋_GB2312" w:cs="仿宋_GB2312"/>
                <w:color w:val="auto"/>
                <w:kern w:val="0"/>
                <w:sz w:val="18"/>
                <w:szCs w:val="18"/>
                <w:lang w:bidi="ar"/>
                <w:rPrChange w:id="2009" w:author="LV" w:date="2026-07-14T15:52:55Z">
                  <w:rPr>
                    <w:rFonts w:hint="eastAsia" w:ascii="仿宋_GB2312" w:hAnsi="宋体" w:eastAsia="仿宋_GB2312" w:cs="仿宋_GB2312"/>
                    <w:color w:val="FF0000"/>
                    <w:kern w:val="0"/>
                    <w:sz w:val="18"/>
                    <w:szCs w:val="18"/>
                    <w:lang w:bidi="ar"/>
                  </w:rPr>
                </w:rPrChange>
              </w:rPr>
              <w:t>情节严重的</w:t>
            </w:r>
            <w:r>
              <w:rPr>
                <w:rFonts w:hint="eastAsia" w:ascii="仿宋_GB2312" w:hAnsi="宋体" w:eastAsia="仿宋_GB2312" w:cs="仿宋_GB2312"/>
                <w:color w:val="auto"/>
                <w:kern w:val="0"/>
                <w:sz w:val="18"/>
                <w:szCs w:val="18"/>
                <w:lang w:eastAsia="zh-CN" w:bidi="ar"/>
                <w:rPrChange w:id="2010" w:author="LV" w:date="2026-07-14T15:52:55Z">
                  <w:rPr>
                    <w:rFonts w:hint="eastAsia" w:ascii="仿宋_GB2312" w:hAnsi="宋体" w:eastAsia="仿宋_GB2312" w:cs="仿宋_GB2312"/>
                    <w:color w:val="FF0000"/>
                    <w:kern w:val="0"/>
                    <w:sz w:val="18"/>
                    <w:szCs w:val="18"/>
                    <w:lang w:eastAsia="zh-CN" w:bidi="ar"/>
                  </w:rPr>
                </w:rPrChange>
              </w:rPr>
              <w:t>，</w:t>
            </w:r>
            <w:r>
              <w:rPr>
                <w:rFonts w:hint="eastAsia" w:ascii="仿宋_GB2312" w:hAnsi="宋体" w:eastAsia="仿宋_GB2312" w:cs="仿宋_GB2312"/>
                <w:color w:val="auto"/>
                <w:kern w:val="0"/>
                <w:sz w:val="18"/>
                <w:szCs w:val="18"/>
                <w:lang w:bidi="ar"/>
                <w:rPrChange w:id="2011" w:author="LV" w:date="2026-07-14T15:52:55Z">
                  <w:rPr>
                    <w:rFonts w:hint="eastAsia" w:ascii="仿宋_GB2312" w:hAnsi="宋体" w:eastAsia="仿宋_GB2312" w:cs="仿宋_GB2312"/>
                    <w:color w:val="FF0000"/>
                    <w:kern w:val="0"/>
                    <w:sz w:val="18"/>
                    <w:szCs w:val="18"/>
                    <w:lang w:bidi="ar"/>
                  </w:rPr>
                </w:rPrChange>
              </w:rPr>
              <w:t>责令煤矿停产整顿，对煤矿企业处十五万元以上二十万元以下的罚款，对直接负责的主管人员和其他直接责任人员处</w:t>
            </w:r>
            <w:r>
              <w:rPr>
                <w:rFonts w:hint="eastAsia" w:ascii="仿宋_GB2312" w:hAnsi="宋体" w:eastAsia="仿宋_GB2312" w:cs="仿宋_GB2312"/>
                <w:color w:val="auto"/>
                <w:kern w:val="0"/>
                <w:sz w:val="18"/>
                <w:szCs w:val="18"/>
                <w:lang w:val="en-US" w:eastAsia="zh-CN" w:bidi="ar"/>
                <w:rPrChange w:id="2012" w:author="LV" w:date="2026-07-14T15:52:55Z">
                  <w:rPr>
                    <w:rFonts w:hint="eastAsia" w:ascii="仿宋_GB2312" w:hAnsi="宋体" w:eastAsia="仿宋_GB2312" w:cs="仿宋_GB2312"/>
                    <w:color w:val="FF0000"/>
                    <w:kern w:val="0"/>
                    <w:sz w:val="18"/>
                    <w:szCs w:val="18"/>
                    <w:lang w:val="en-US" w:eastAsia="zh-CN" w:bidi="ar"/>
                  </w:rPr>
                </w:rPrChange>
              </w:rPr>
              <w:t>1.8</w:t>
            </w:r>
            <w:r>
              <w:rPr>
                <w:rFonts w:hint="eastAsia" w:ascii="仿宋_GB2312" w:hAnsi="宋体" w:eastAsia="仿宋_GB2312" w:cs="仿宋_GB2312"/>
                <w:color w:val="auto"/>
                <w:kern w:val="0"/>
                <w:sz w:val="18"/>
                <w:szCs w:val="18"/>
                <w:lang w:bidi="ar"/>
                <w:rPrChange w:id="2013" w:author="LV" w:date="2026-07-14T15:52:55Z">
                  <w:rPr>
                    <w:rFonts w:hint="eastAsia" w:ascii="仿宋_GB2312" w:hAnsi="宋体" w:eastAsia="仿宋_GB2312" w:cs="仿宋_GB2312"/>
                    <w:color w:val="FF0000"/>
                    <w:kern w:val="0"/>
                    <w:sz w:val="18"/>
                    <w:szCs w:val="18"/>
                    <w:lang w:bidi="ar"/>
                  </w:rPr>
                </w:rPrChange>
              </w:rPr>
              <w:t>万元以上</w:t>
            </w:r>
            <w:r>
              <w:rPr>
                <w:rFonts w:hint="eastAsia" w:ascii="仿宋_GB2312" w:hAnsi="宋体" w:eastAsia="仿宋_GB2312" w:cs="仿宋_GB2312"/>
                <w:color w:val="auto"/>
                <w:kern w:val="0"/>
                <w:sz w:val="18"/>
                <w:szCs w:val="18"/>
                <w:lang w:val="en-US" w:eastAsia="zh-CN" w:bidi="ar"/>
                <w:rPrChange w:id="2014" w:author="LV" w:date="2026-07-14T15:52:55Z">
                  <w:rPr>
                    <w:rFonts w:hint="eastAsia" w:ascii="仿宋_GB2312" w:hAnsi="宋体" w:eastAsia="仿宋_GB2312" w:cs="仿宋_GB2312"/>
                    <w:color w:val="FF0000"/>
                    <w:kern w:val="0"/>
                    <w:sz w:val="18"/>
                    <w:szCs w:val="18"/>
                    <w:lang w:val="en-US" w:eastAsia="zh-CN" w:bidi="ar"/>
                  </w:rPr>
                </w:rPrChange>
              </w:rPr>
              <w:t>2</w:t>
            </w:r>
            <w:r>
              <w:rPr>
                <w:rFonts w:hint="eastAsia" w:ascii="仿宋_GB2312" w:hAnsi="宋体" w:eastAsia="仿宋_GB2312" w:cs="仿宋_GB2312"/>
                <w:color w:val="auto"/>
                <w:kern w:val="0"/>
                <w:sz w:val="18"/>
                <w:szCs w:val="18"/>
                <w:lang w:bidi="ar"/>
                <w:rPrChange w:id="2015" w:author="LV" w:date="2026-07-14T15:52:55Z">
                  <w:rPr>
                    <w:rFonts w:hint="eastAsia" w:ascii="仿宋_GB2312" w:hAnsi="宋体" w:eastAsia="仿宋_GB2312" w:cs="仿宋_GB2312"/>
                    <w:color w:val="FF0000"/>
                    <w:kern w:val="0"/>
                    <w:sz w:val="18"/>
                    <w:szCs w:val="18"/>
                    <w:lang w:bidi="ar"/>
                  </w:rPr>
                </w:rPrChange>
              </w:rPr>
              <w:t>万元以下的罚款。</w:t>
            </w:r>
          </w:p>
          <w:p w14:paraId="53C677BD">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2016" w:author="LV" w:date="2026-07-14T16:43:05Z"/>
                <w:rFonts w:hint="eastAsia" w:ascii="仿宋_GB2312" w:hAnsi="宋体" w:eastAsia="仿宋_GB2312" w:cs="仿宋_GB2312"/>
                <w:color w:val="auto"/>
                <w:kern w:val="0"/>
                <w:sz w:val="18"/>
                <w:szCs w:val="18"/>
                <w:lang w:bidi="ar"/>
              </w:rPr>
            </w:pPr>
          </w:p>
          <w:p w14:paraId="5558294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val="en-US" w:eastAsia="zh-CN" w:bidi="ar"/>
                <w:rPrChange w:id="2017" w:author="LV" w:date="2026-07-14T15:52:55Z">
                  <w:rPr>
                    <w:rFonts w:hint="eastAsia" w:ascii="仿宋_GB2312" w:hAnsi="宋体" w:eastAsia="仿宋_GB2312" w:cs="仿宋_GB2312"/>
                    <w:color w:val="FF0000"/>
                    <w:kern w:val="0"/>
                    <w:sz w:val="18"/>
                    <w:szCs w:val="18"/>
                    <w:lang w:val="en-US" w:eastAsia="zh-CN" w:bidi="ar"/>
                  </w:rPr>
                </w:rPrChange>
              </w:rPr>
            </w:pPr>
          </w:p>
        </w:tc>
      </w:tr>
      <w:tr w14:paraId="410289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del w:id="2018" w:author="LV" w:date="2026-07-14T16:42:54Z"/>
        </w:trPr>
        <w:tc>
          <w:tcPr>
            <w:tcW w:w="418" w:type="dxa"/>
            <w:tcBorders>
              <w:tl2br w:val="nil"/>
              <w:tr2bl w:val="nil"/>
            </w:tcBorders>
            <w:shd w:val="clear" w:color="auto" w:fill="auto"/>
            <w:noWrap/>
            <w:tcMar>
              <w:top w:w="15" w:type="dxa"/>
              <w:left w:w="15" w:type="dxa"/>
              <w:right w:w="15" w:type="dxa"/>
            </w:tcMar>
            <w:vAlign w:val="center"/>
          </w:tcPr>
          <w:p w14:paraId="7DB0D7D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del w:id="2019" w:author="LV" w:date="2026-07-14T16:42:54Z"/>
                <w:rFonts w:hint="default" w:ascii="仿宋_GB2312" w:hAnsi="宋体" w:eastAsia="仿宋_GB2312" w:cs="仿宋_GB2312"/>
                <w:sz w:val="18"/>
                <w:szCs w:val="18"/>
                <w:lang w:val="en-US" w:eastAsia="zh-CN"/>
              </w:rPr>
            </w:pPr>
            <w:del w:id="2020" w:author="LV" w:date="2026-07-14T16:42:54Z">
              <w:r>
                <w:rPr>
                  <w:rFonts w:hint="eastAsia" w:ascii="仿宋_GB2312" w:hAnsi="宋体" w:eastAsia="仿宋_GB2312" w:cs="仿宋_GB2312"/>
                  <w:sz w:val="18"/>
                  <w:szCs w:val="18"/>
                  <w:lang w:val="en-US" w:eastAsia="zh-CN"/>
                </w:rPr>
                <w:delText>96</w:delText>
              </w:r>
            </w:del>
          </w:p>
        </w:tc>
        <w:tc>
          <w:tcPr>
            <w:tcW w:w="1005" w:type="dxa"/>
            <w:tcBorders>
              <w:tl2br w:val="nil"/>
              <w:tr2bl w:val="nil"/>
            </w:tcBorders>
            <w:shd w:val="clear" w:color="auto" w:fill="auto"/>
            <w:tcMar>
              <w:top w:w="15" w:type="dxa"/>
              <w:left w:w="15" w:type="dxa"/>
              <w:right w:w="15" w:type="dxa"/>
            </w:tcMar>
            <w:vAlign w:val="center"/>
          </w:tcPr>
          <w:p w14:paraId="21ABD4C4">
            <w:pPr>
              <w:keepNext w:val="0"/>
              <w:keepLines w:val="0"/>
              <w:pageBreakBefore w:val="0"/>
              <w:widowControl w:val="0"/>
              <w:kinsoku/>
              <w:wordWrap/>
              <w:overflowPunct w:val="0"/>
              <w:topLinePunct w:val="0"/>
              <w:autoSpaceDE/>
              <w:autoSpaceDN/>
              <w:bidi w:val="0"/>
              <w:adjustRightInd/>
              <w:snapToGrid/>
              <w:spacing w:line="280" w:lineRule="exact"/>
              <w:rPr>
                <w:del w:id="2021" w:author="LV" w:date="2026-07-14T16:42:54Z"/>
                <w:rFonts w:ascii="仿宋_GB2312" w:hAnsi="宋体" w:eastAsia="仿宋_GB2312" w:cs="仿宋_GB2312"/>
                <w:sz w:val="18"/>
                <w:szCs w:val="18"/>
              </w:rPr>
            </w:pPr>
            <w:del w:id="2022" w:author="LV" w:date="2026-07-14T16:42:54Z">
              <w:r>
                <w:rPr>
                  <w:rFonts w:hint="eastAsia" w:ascii="仿宋_GB2312" w:hAnsi="宋体" w:eastAsia="仿宋_GB2312" w:cs="仿宋_GB2312"/>
                  <w:sz w:val="18"/>
                  <w:szCs w:val="18"/>
                  <w:lang w:val="en-US" w:eastAsia="zh-CN"/>
                </w:rPr>
                <w:delText>删除与95合并</w:delText>
              </w:r>
            </w:del>
          </w:p>
        </w:tc>
        <w:tc>
          <w:tcPr>
            <w:tcW w:w="3667" w:type="dxa"/>
            <w:tcBorders>
              <w:tl2br w:val="nil"/>
              <w:tr2bl w:val="nil"/>
            </w:tcBorders>
            <w:shd w:val="clear" w:color="auto" w:fill="auto"/>
            <w:tcMar>
              <w:top w:w="15" w:type="dxa"/>
              <w:left w:w="15" w:type="dxa"/>
              <w:right w:w="15" w:type="dxa"/>
            </w:tcMar>
            <w:vAlign w:val="center"/>
          </w:tcPr>
          <w:p w14:paraId="22A6E63A">
            <w:pPr>
              <w:keepNext w:val="0"/>
              <w:keepLines w:val="0"/>
              <w:pageBreakBefore w:val="0"/>
              <w:widowControl w:val="0"/>
              <w:kinsoku/>
              <w:wordWrap/>
              <w:overflowPunct w:val="0"/>
              <w:topLinePunct w:val="0"/>
              <w:autoSpaceDE/>
              <w:autoSpaceDN/>
              <w:bidi w:val="0"/>
              <w:adjustRightInd/>
              <w:snapToGrid/>
              <w:spacing w:line="280" w:lineRule="exact"/>
              <w:rPr>
                <w:del w:id="2023" w:author="LV" w:date="2026-07-14T16:42:54Z"/>
                <w:rFonts w:ascii="仿宋_GB2312" w:hAnsi="宋体" w:eastAsia="仿宋_GB2312" w:cs="仿宋_GB2312"/>
                <w:sz w:val="18"/>
                <w:szCs w:val="18"/>
              </w:rPr>
            </w:pPr>
          </w:p>
        </w:tc>
        <w:tc>
          <w:tcPr>
            <w:tcW w:w="4082" w:type="dxa"/>
            <w:tcBorders>
              <w:tl2br w:val="nil"/>
              <w:tr2bl w:val="nil"/>
            </w:tcBorders>
            <w:shd w:val="clear" w:color="auto" w:fill="auto"/>
            <w:tcMar>
              <w:top w:w="15" w:type="dxa"/>
              <w:left w:w="15" w:type="dxa"/>
              <w:right w:w="15" w:type="dxa"/>
            </w:tcMar>
            <w:vAlign w:val="center"/>
          </w:tcPr>
          <w:p w14:paraId="3876700C">
            <w:pPr>
              <w:keepNext w:val="0"/>
              <w:keepLines w:val="0"/>
              <w:pageBreakBefore w:val="0"/>
              <w:widowControl w:val="0"/>
              <w:kinsoku/>
              <w:wordWrap/>
              <w:overflowPunct w:val="0"/>
              <w:topLinePunct w:val="0"/>
              <w:autoSpaceDE/>
              <w:autoSpaceDN/>
              <w:bidi w:val="0"/>
              <w:adjustRightInd/>
              <w:snapToGrid/>
              <w:spacing w:line="280" w:lineRule="exact"/>
              <w:rPr>
                <w:del w:id="2024" w:author="LV" w:date="2026-07-14T16:42:54Z"/>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D8863B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del w:id="2025" w:author="LV" w:date="2026-07-14T16:42:54Z"/>
                <w:rFonts w:hint="eastAsia" w:ascii="仿宋_GB2312" w:hAnsi="宋体" w:eastAsia="仿宋_GB2312" w:cs="仿宋_GB2312"/>
                <w:color w:val="auto"/>
                <w:kern w:val="0"/>
                <w:sz w:val="18"/>
                <w:szCs w:val="18"/>
                <w:lang w:eastAsia="zh-CN" w:bidi="ar"/>
                <w:rPrChange w:id="2026" w:author="LV" w:date="2026-07-14T15:52:55Z">
                  <w:rPr>
                    <w:del w:id="2027" w:author="LV" w:date="2026-07-14T16:42:54Z"/>
                    <w:rFonts w:hint="eastAsia" w:ascii="仿宋_GB2312" w:hAnsi="宋体" w:eastAsia="仿宋_GB2312" w:cs="仿宋_GB2312"/>
                    <w:kern w:val="0"/>
                    <w:sz w:val="18"/>
                    <w:szCs w:val="18"/>
                    <w:lang w:eastAsia="zh-CN" w:bidi="ar"/>
                  </w:rPr>
                </w:rPrChange>
              </w:rPr>
            </w:pPr>
          </w:p>
        </w:tc>
        <w:tc>
          <w:tcPr>
            <w:tcW w:w="1829" w:type="dxa"/>
            <w:tcBorders>
              <w:tl2br w:val="nil"/>
              <w:tr2bl w:val="nil"/>
            </w:tcBorders>
            <w:shd w:val="clear" w:color="auto" w:fill="auto"/>
            <w:tcMar>
              <w:top w:w="15" w:type="dxa"/>
              <w:left w:w="15" w:type="dxa"/>
              <w:right w:w="15" w:type="dxa"/>
            </w:tcMar>
            <w:vAlign w:val="center"/>
          </w:tcPr>
          <w:p w14:paraId="08059888">
            <w:pPr>
              <w:keepNext w:val="0"/>
              <w:keepLines w:val="0"/>
              <w:pageBreakBefore w:val="0"/>
              <w:widowControl w:val="0"/>
              <w:kinsoku/>
              <w:wordWrap/>
              <w:overflowPunct w:val="0"/>
              <w:topLinePunct w:val="0"/>
              <w:autoSpaceDE/>
              <w:autoSpaceDN/>
              <w:bidi w:val="0"/>
              <w:adjustRightInd/>
              <w:snapToGrid/>
              <w:spacing w:line="280" w:lineRule="exact"/>
              <w:textAlignment w:val="center"/>
              <w:rPr>
                <w:del w:id="2028" w:author="LV" w:date="2026-07-14T16:42:54Z"/>
                <w:rFonts w:hint="eastAsia" w:ascii="仿宋_GB2312" w:hAnsi="宋体" w:eastAsia="仿宋_GB2312" w:cs="仿宋_GB2312"/>
                <w:color w:val="auto"/>
                <w:sz w:val="18"/>
                <w:szCs w:val="18"/>
                <w:rPrChange w:id="2029" w:author="LV" w:date="2026-07-14T15:52:55Z">
                  <w:rPr>
                    <w:del w:id="2030" w:author="LV" w:date="2026-07-14T16:42:54Z"/>
                    <w:rFonts w:hint="eastAsia" w:ascii="仿宋_GB2312" w:hAnsi="宋体" w:eastAsia="仿宋_GB2312" w:cs="仿宋_GB2312"/>
                    <w:sz w:val="18"/>
                    <w:szCs w:val="18"/>
                  </w:rPr>
                </w:rPrChange>
              </w:rPr>
            </w:pPr>
          </w:p>
        </w:tc>
        <w:tc>
          <w:tcPr>
            <w:tcW w:w="2655" w:type="dxa"/>
            <w:tcBorders>
              <w:tl2br w:val="nil"/>
              <w:tr2bl w:val="nil"/>
            </w:tcBorders>
            <w:shd w:val="clear" w:color="auto" w:fill="auto"/>
            <w:tcMar>
              <w:top w:w="15" w:type="dxa"/>
              <w:left w:w="15" w:type="dxa"/>
              <w:right w:w="15" w:type="dxa"/>
            </w:tcMar>
            <w:vAlign w:val="center"/>
          </w:tcPr>
          <w:p w14:paraId="342AE076">
            <w:pPr>
              <w:keepNext w:val="0"/>
              <w:keepLines w:val="0"/>
              <w:pageBreakBefore w:val="0"/>
              <w:widowControl w:val="0"/>
              <w:kinsoku/>
              <w:wordWrap/>
              <w:overflowPunct w:val="0"/>
              <w:topLinePunct w:val="0"/>
              <w:autoSpaceDE/>
              <w:autoSpaceDN/>
              <w:bidi w:val="0"/>
              <w:adjustRightInd/>
              <w:snapToGrid/>
              <w:spacing w:line="280" w:lineRule="exact"/>
              <w:textAlignment w:val="center"/>
              <w:rPr>
                <w:del w:id="2031" w:author="LV" w:date="2026-07-14T16:42:54Z"/>
                <w:rFonts w:hint="eastAsia" w:ascii="仿宋_GB2312" w:hAnsi="宋体" w:eastAsia="仿宋_GB2312" w:cs="仿宋_GB2312"/>
                <w:color w:val="auto"/>
                <w:kern w:val="0"/>
                <w:sz w:val="18"/>
                <w:szCs w:val="18"/>
                <w:lang w:bidi="ar"/>
                <w:rPrChange w:id="2032" w:author="LV" w:date="2026-07-14T15:52:55Z">
                  <w:rPr>
                    <w:del w:id="2033" w:author="LV" w:date="2026-07-14T16:42:54Z"/>
                    <w:rFonts w:hint="eastAsia" w:ascii="仿宋_GB2312" w:hAnsi="宋体" w:eastAsia="仿宋_GB2312" w:cs="仿宋_GB2312"/>
                    <w:kern w:val="0"/>
                    <w:sz w:val="18"/>
                    <w:szCs w:val="18"/>
                    <w:lang w:bidi="ar"/>
                  </w:rPr>
                </w:rPrChange>
              </w:rPr>
            </w:pPr>
          </w:p>
        </w:tc>
      </w:tr>
      <w:tr w14:paraId="2B39D9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364AC65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del w:id="2034" w:author="LV" w:date="2026-07-14T16:43:20Z">
              <w:r>
                <w:rPr>
                  <w:rFonts w:hint="default" w:ascii="仿宋_GB2312" w:hAnsi="宋体" w:eastAsia="仿宋_GB2312" w:cs="仿宋_GB2312"/>
                  <w:kern w:val="0"/>
                  <w:sz w:val="18"/>
                  <w:szCs w:val="18"/>
                  <w:lang w:val="en-US" w:bidi="ar"/>
                </w:rPr>
                <w:delText>9</w:delText>
              </w:r>
            </w:del>
            <w:del w:id="2035" w:author="LV" w:date="2026-07-14T16:43:20Z">
              <w:r>
                <w:rPr>
                  <w:rFonts w:hint="default" w:ascii="仿宋_GB2312" w:hAnsi="宋体" w:eastAsia="仿宋_GB2312" w:cs="仿宋_GB2312"/>
                  <w:kern w:val="0"/>
                  <w:sz w:val="18"/>
                  <w:szCs w:val="18"/>
                  <w:lang w:val="en-US" w:eastAsia="zh-CN" w:bidi="ar"/>
                </w:rPr>
                <w:delText>7</w:delText>
              </w:r>
            </w:del>
            <w:ins w:id="2036" w:author="LV" w:date="2026-07-14T16:43:20Z">
              <w:r>
                <w:rPr>
                  <w:rFonts w:hint="eastAsia" w:ascii="仿宋_GB2312" w:hAnsi="宋体" w:eastAsia="仿宋_GB2312" w:cs="仿宋_GB2312"/>
                  <w:kern w:val="0"/>
                  <w:sz w:val="18"/>
                  <w:szCs w:val="18"/>
                  <w:lang w:val="en-US" w:eastAsia="zh-CN" w:bidi="ar"/>
                </w:rPr>
                <w:t>10</w:t>
              </w:r>
            </w:ins>
            <w:ins w:id="2037" w:author="LV" w:date="2026-07-14T16:43:21Z">
              <w:r>
                <w:rPr>
                  <w:rFonts w:hint="eastAsia" w:ascii="仿宋_GB2312" w:hAnsi="宋体" w:eastAsia="仿宋_GB2312" w:cs="仿宋_GB2312"/>
                  <w:kern w:val="0"/>
                  <w:sz w:val="18"/>
                  <w:szCs w:val="18"/>
                  <w:lang w:val="en-US" w:eastAsia="zh-CN" w:bidi="ar"/>
                </w:rPr>
                <w:t>4</w:t>
              </w:r>
            </w:ins>
          </w:p>
        </w:tc>
        <w:tc>
          <w:tcPr>
            <w:tcW w:w="1005" w:type="dxa"/>
            <w:vMerge w:val="restart"/>
            <w:tcBorders>
              <w:tl2br w:val="nil"/>
              <w:tr2bl w:val="nil"/>
            </w:tcBorders>
            <w:shd w:val="clear" w:color="auto" w:fill="auto"/>
            <w:tcMar>
              <w:top w:w="15" w:type="dxa"/>
              <w:left w:w="15" w:type="dxa"/>
              <w:right w:w="15" w:type="dxa"/>
            </w:tcMar>
            <w:vAlign w:val="center"/>
          </w:tcPr>
          <w:p w14:paraId="0E6B892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煤矿关闭、破坏直接关系生产安全的监控、报警、防护、救生设备、设施的</w:t>
            </w:r>
          </w:p>
        </w:tc>
        <w:tc>
          <w:tcPr>
            <w:tcW w:w="3667" w:type="dxa"/>
            <w:vMerge w:val="restart"/>
            <w:tcBorders>
              <w:tl2br w:val="nil"/>
              <w:tr2bl w:val="nil"/>
            </w:tcBorders>
            <w:shd w:val="clear" w:color="auto" w:fill="auto"/>
            <w:tcMar>
              <w:top w:w="15" w:type="dxa"/>
              <w:left w:w="15" w:type="dxa"/>
              <w:right w:w="15" w:type="dxa"/>
            </w:tcMar>
            <w:vAlign w:val="center"/>
          </w:tcPr>
          <w:p w14:paraId="495FD86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《安全生产法》第三十六条第三款</w:t>
            </w:r>
            <w:r>
              <w:rPr>
                <w:rFonts w:ascii="仿宋_GB2312" w:hAnsi="宋体" w:eastAsia="仿宋_GB2312" w:cs="仿宋_GB2312"/>
                <w:kern w:val="0"/>
                <w:sz w:val="18"/>
                <w:szCs w:val="18"/>
                <w:lang w:bidi="ar"/>
              </w:rPr>
              <w:t xml:space="preserve"> </w:t>
            </w:r>
            <w:r>
              <w:rPr>
                <w:rFonts w:hint="eastAsia" w:ascii="仿宋_GB2312" w:hAnsi="宋体" w:eastAsia="仿宋_GB2312" w:cs="仿宋_GB2312"/>
                <w:kern w:val="0"/>
                <w:sz w:val="18"/>
                <w:szCs w:val="18"/>
                <w:lang w:bidi="ar"/>
              </w:rPr>
              <w:t>生产经营单位不得关闭、破坏直接关系生产安全的监控、报警、防护、救生设备、设施，或者篡改、隐瞒、销毁其相关数据、信息。</w:t>
            </w:r>
          </w:p>
          <w:p w14:paraId="10B2B6B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《煤矿安全生产条例》第二十六条第二款  煤矿企业及其有关人员不得关闭、破坏直接关系生产安全的监控、报警、防护、救生设备、设施，或者篡改、隐瞒、销毁其相关数据、信息，不得以任何方式影响其正常使用。</w:t>
            </w:r>
          </w:p>
        </w:tc>
        <w:tc>
          <w:tcPr>
            <w:tcW w:w="4082" w:type="dxa"/>
            <w:vMerge w:val="restart"/>
            <w:tcBorders>
              <w:tl2br w:val="nil"/>
              <w:tr2bl w:val="nil"/>
            </w:tcBorders>
            <w:shd w:val="clear" w:color="auto" w:fill="auto"/>
            <w:tcMar>
              <w:top w:w="15" w:type="dxa"/>
              <w:left w:w="15" w:type="dxa"/>
              <w:right w:w="15" w:type="dxa"/>
            </w:tcMar>
            <w:vAlign w:val="center"/>
          </w:tcPr>
          <w:p w14:paraId="2B8B4E5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四）关闭、破坏直接关系生产安全的监控、报警、防护、救生设备、设施，或者篡改、隐瞒、销毁其相关数据、信息的。</w:t>
            </w:r>
          </w:p>
          <w:p w14:paraId="7020E35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七十一条有下列情形之一的，依照《中华人民共和国安全生产法》有关规定予以处罚：（四）煤矿企业违反本条例第二十四条第一款、第二十五条第一款和第二款、第二十六条第二款规定的。</w:t>
            </w:r>
          </w:p>
        </w:tc>
        <w:tc>
          <w:tcPr>
            <w:tcW w:w="459" w:type="dxa"/>
            <w:tcBorders>
              <w:tl2br w:val="nil"/>
              <w:tr2bl w:val="nil"/>
            </w:tcBorders>
            <w:shd w:val="clear" w:color="auto" w:fill="auto"/>
            <w:noWrap/>
            <w:tcMar>
              <w:top w:w="15" w:type="dxa"/>
              <w:left w:w="15" w:type="dxa"/>
              <w:right w:w="15" w:type="dxa"/>
            </w:tcMar>
            <w:vAlign w:val="center"/>
          </w:tcPr>
          <w:p w14:paraId="54037C0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Change w:id="2038" w:author="LV" w:date="2026-07-14T15:52:55Z">
                  <w:rPr>
                    <w:rFonts w:ascii="仿宋_GB2312" w:hAnsi="宋体" w:eastAsia="仿宋_GB2312" w:cs="仿宋_GB2312"/>
                    <w:sz w:val="18"/>
                    <w:szCs w:val="18"/>
                  </w:rPr>
                </w:rPrChange>
              </w:rPr>
            </w:pPr>
            <w:r>
              <w:rPr>
                <w:rFonts w:hint="eastAsia" w:ascii="仿宋_GB2312" w:hAnsi="宋体" w:eastAsia="仿宋_GB2312" w:cs="仿宋_GB2312"/>
                <w:color w:val="auto"/>
                <w:kern w:val="0"/>
                <w:sz w:val="18"/>
                <w:szCs w:val="18"/>
                <w:lang w:bidi="ar"/>
                <w:rPrChange w:id="2039" w:author="LV" w:date="2026-07-14T15:52:55Z">
                  <w:rPr>
                    <w:rFonts w:hint="eastAsia" w:ascii="仿宋_GB2312" w:hAnsi="宋体" w:eastAsia="仿宋_GB2312" w:cs="仿宋_GB2312"/>
                    <w:kern w:val="0"/>
                    <w:sz w:val="18"/>
                    <w:szCs w:val="18"/>
                    <w:lang w:bidi="ar"/>
                  </w:rPr>
                </w:rPrChange>
              </w:rPr>
              <w:t>不予处罚</w:t>
            </w:r>
          </w:p>
        </w:tc>
        <w:tc>
          <w:tcPr>
            <w:tcW w:w="1829" w:type="dxa"/>
            <w:tcBorders>
              <w:tl2br w:val="nil"/>
              <w:tr2bl w:val="nil"/>
            </w:tcBorders>
            <w:shd w:val="clear" w:color="auto" w:fill="auto"/>
            <w:tcMar>
              <w:top w:w="15" w:type="dxa"/>
              <w:left w:w="15" w:type="dxa"/>
              <w:right w:w="15" w:type="dxa"/>
            </w:tcMar>
            <w:vAlign w:val="center"/>
          </w:tcPr>
          <w:p w14:paraId="5E2ADFF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Change w:id="2040" w:author="LV" w:date="2026-07-14T15:52:55Z">
                  <w:rPr>
                    <w:rFonts w:ascii="仿宋_GB2312" w:hAnsi="宋体" w:eastAsia="仿宋_GB2312" w:cs="仿宋_GB2312"/>
                    <w:sz w:val="18"/>
                    <w:szCs w:val="18"/>
                  </w:rPr>
                </w:rPrChange>
              </w:rPr>
            </w:pPr>
            <w:r>
              <w:rPr>
                <w:rFonts w:hint="eastAsia" w:ascii="仿宋_GB2312" w:hAnsi="宋体" w:eastAsia="仿宋_GB2312" w:cs="仿宋_GB2312"/>
                <w:color w:val="auto"/>
                <w:kern w:val="0"/>
                <w:sz w:val="18"/>
                <w:szCs w:val="18"/>
                <w:lang w:bidi="ar"/>
                <w:rPrChange w:id="2041" w:author="LV" w:date="2026-07-14T15:52:55Z">
                  <w:rPr>
                    <w:rFonts w:hint="eastAsia" w:ascii="仿宋_GB2312" w:hAnsi="宋体" w:eastAsia="仿宋_GB2312" w:cs="仿宋_GB2312"/>
                    <w:kern w:val="0"/>
                    <w:sz w:val="18"/>
                    <w:szCs w:val="18"/>
                    <w:lang w:bidi="ar"/>
                  </w:rPr>
                </w:rPrChange>
              </w:rPr>
              <w:t>适用总则规定</w:t>
            </w:r>
          </w:p>
        </w:tc>
        <w:tc>
          <w:tcPr>
            <w:tcW w:w="2655" w:type="dxa"/>
            <w:tcBorders>
              <w:tl2br w:val="nil"/>
              <w:tr2bl w:val="nil"/>
            </w:tcBorders>
            <w:shd w:val="clear" w:color="auto" w:fill="auto"/>
            <w:tcMar>
              <w:top w:w="15" w:type="dxa"/>
              <w:left w:w="15" w:type="dxa"/>
              <w:right w:w="15" w:type="dxa"/>
            </w:tcMar>
            <w:vAlign w:val="center"/>
          </w:tcPr>
          <w:p w14:paraId="56FB612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Change w:id="2042" w:author="LV" w:date="2026-07-14T15:52:55Z">
                  <w:rPr>
                    <w:rFonts w:ascii="仿宋_GB2312" w:hAnsi="宋体" w:eastAsia="仿宋_GB2312" w:cs="仿宋_GB2312"/>
                    <w:sz w:val="18"/>
                    <w:szCs w:val="18"/>
                  </w:rPr>
                </w:rPrChange>
              </w:rPr>
            </w:pPr>
            <w:r>
              <w:rPr>
                <w:rFonts w:hint="eastAsia" w:ascii="仿宋_GB2312" w:hAnsi="宋体" w:eastAsia="仿宋_GB2312" w:cs="仿宋_GB2312"/>
                <w:color w:val="auto"/>
                <w:kern w:val="0"/>
                <w:sz w:val="18"/>
                <w:szCs w:val="18"/>
                <w:lang w:bidi="ar"/>
                <w:rPrChange w:id="2043" w:author="LV" w:date="2026-07-14T15:52:55Z">
                  <w:rPr>
                    <w:rFonts w:hint="eastAsia" w:ascii="仿宋_GB2312" w:hAnsi="宋体" w:eastAsia="仿宋_GB2312" w:cs="仿宋_GB2312"/>
                    <w:kern w:val="0"/>
                    <w:sz w:val="18"/>
                    <w:szCs w:val="18"/>
                    <w:lang w:bidi="ar"/>
                  </w:rPr>
                </w:rPrChange>
              </w:rPr>
              <w:t>无</w:t>
            </w:r>
          </w:p>
        </w:tc>
      </w:tr>
      <w:tr w14:paraId="6DEDB9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92F4DA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515C1C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6546A7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08A309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1BF581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Change w:id="2044" w:author="LV" w:date="2026-07-14T15:52:55Z">
                  <w:rPr>
                    <w:rFonts w:ascii="仿宋_GB2312" w:hAnsi="宋体" w:eastAsia="仿宋_GB2312" w:cs="仿宋_GB2312"/>
                    <w:sz w:val="18"/>
                    <w:szCs w:val="18"/>
                  </w:rPr>
                </w:rPrChange>
              </w:rPr>
            </w:pPr>
            <w:r>
              <w:rPr>
                <w:rFonts w:hint="eastAsia" w:ascii="仿宋_GB2312" w:hAnsi="宋体" w:eastAsia="仿宋_GB2312" w:cs="仿宋_GB2312"/>
                <w:color w:val="auto"/>
                <w:kern w:val="0"/>
                <w:sz w:val="18"/>
                <w:szCs w:val="18"/>
                <w:lang w:bidi="ar"/>
                <w:rPrChange w:id="2045" w:author="LV" w:date="2026-07-14T15:52:55Z">
                  <w:rPr>
                    <w:rFonts w:hint="eastAsia" w:ascii="仿宋_GB2312" w:hAnsi="宋体" w:eastAsia="仿宋_GB2312" w:cs="仿宋_GB2312"/>
                    <w:kern w:val="0"/>
                    <w:sz w:val="18"/>
                    <w:szCs w:val="18"/>
                    <w:lang w:bidi="ar"/>
                  </w:rPr>
                </w:rPrChange>
              </w:rPr>
              <w:t>免予处罚</w:t>
            </w:r>
          </w:p>
        </w:tc>
        <w:tc>
          <w:tcPr>
            <w:tcW w:w="1829" w:type="dxa"/>
            <w:tcBorders>
              <w:tl2br w:val="nil"/>
              <w:tr2bl w:val="nil"/>
            </w:tcBorders>
            <w:shd w:val="clear" w:color="auto" w:fill="auto"/>
            <w:tcMar>
              <w:top w:w="15" w:type="dxa"/>
              <w:left w:w="15" w:type="dxa"/>
              <w:right w:w="15" w:type="dxa"/>
            </w:tcMar>
            <w:vAlign w:val="center"/>
          </w:tcPr>
          <w:p w14:paraId="0EAD212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Change w:id="2046" w:author="LV" w:date="2026-07-14T15:52:55Z">
                  <w:rPr>
                    <w:rFonts w:ascii="仿宋_GB2312" w:hAnsi="宋体" w:eastAsia="仿宋_GB2312" w:cs="仿宋_GB2312"/>
                    <w:sz w:val="18"/>
                    <w:szCs w:val="18"/>
                  </w:rPr>
                </w:rPrChange>
              </w:rPr>
            </w:pPr>
            <w:r>
              <w:rPr>
                <w:rFonts w:hint="eastAsia" w:ascii="仿宋_GB2312" w:hAnsi="宋体" w:eastAsia="仿宋_GB2312" w:cs="仿宋_GB2312"/>
                <w:color w:val="auto"/>
                <w:kern w:val="0"/>
                <w:sz w:val="18"/>
                <w:szCs w:val="18"/>
                <w:lang w:bidi="ar"/>
                <w:rPrChange w:id="2047" w:author="LV" w:date="2026-07-14T15:52:55Z">
                  <w:rPr>
                    <w:rFonts w:hint="eastAsia" w:ascii="仿宋_GB2312" w:hAnsi="宋体" w:eastAsia="仿宋_GB2312" w:cs="仿宋_GB2312"/>
                    <w:kern w:val="0"/>
                    <w:sz w:val="18"/>
                    <w:szCs w:val="18"/>
                    <w:lang w:bidi="ar"/>
                  </w:rPr>
                </w:rPrChange>
              </w:rPr>
              <w:t>不适用</w:t>
            </w:r>
          </w:p>
        </w:tc>
        <w:tc>
          <w:tcPr>
            <w:tcW w:w="2655" w:type="dxa"/>
            <w:tcBorders>
              <w:tl2br w:val="nil"/>
              <w:tr2bl w:val="nil"/>
            </w:tcBorders>
            <w:shd w:val="clear" w:color="auto" w:fill="auto"/>
            <w:tcMar>
              <w:top w:w="15" w:type="dxa"/>
              <w:left w:w="15" w:type="dxa"/>
              <w:right w:w="15" w:type="dxa"/>
            </w:tcMar>
            <w:vAlign w:val="center"/>
          </w:tcPr>
          <w:p w14:paraId="09D3E81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Change w:id="2048" w:author="LV" w:date="2026-07-14T15:52:55Z">
                  <w:rPr>
                    <w:rFonts w:ascii="仿宋_GB2312" w:hAnsi="宋体" w:eastAsia="仿宋_GB2312" w:cs="仿宋_GB2312"/>
                    <w:sz w:val="18"/>
                    <w:szCs w:val="18"/>
                  </w:rPr>
                </w:rPrChange>
              </w:rPr>
            </w:pPr>
            <w:r>
              <w:rPr>
                <w:rFonts w:hint="eastAsia" w:ascii="仿宋_GB2312" w:hAnsi="宋体" w:eastAsia="仿宋_GB2312" w:cs="仿宋_GB2312"/>
                <w:color w:val="auto"/>
                <w:kern w:val="0"/>
                <w:sz w:val="18"/>
                <w:szCs w:val="18"/>
                <w:lang w:bidi="ar"/>
                <w:rPrChange w:id="2049" w:author="LV" w:date="2026-07-14T15:52:55Z">
                  <w:rPr>
                    <w:rFonts w:hint="eastAsia" w:ascii="仿宋_GB2312" w:hAnsi="宋体" w:eastAsia="仿宋_GB2312" w:cs="仿宋_GB2312"/>
                    <w:kern w:val="0"/>
                    <w:sz w:val="18"/>
                    <w:szCs w:val="18"/>
                    <w:lang w:bidi="ar"/>
                  </w:rPr>
                </w:rPrChange>
              </w:rPr>
              <w:t>无</w:t>
            </w:r>
          </w:p>
        </w:tc>
      </w:tr>
      <w:tr w14:paraId="7EC836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1F9423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792880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06FE06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CD4B7D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5AC1B6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Change w:id="2050" w:author="LV" w:date="2026-07-14T15:52:55Z">
                  <w:rPr>
                    <w:rFonts w:ascii="仿宋_GB2312" w:hAnsi="宋体" w:eastAsia="仿宋_GB2312" w:cs="仿宋_GB2312"/>
                    <w:sz w:val="18"/>
                    <w:szCs w:val="18"/>
                  </w:rPr>
                </w:rPrChange>
              </w:rPr>
            </w:pPr>
            <w:r>
              <w:rPr>
                <w:rFonts w:hint="eastAsia" w:ascii="仿宋_GB2312" w:hAnsi="宋体" w:eastAsia="仿宋_GB2312" w:cs="仿宋_GB2312"/>
                <w:color w:val="auto"/>
                <w:kern w:val="0"/>
                <w:sz w:val="18"/>
                <w:szCs w:val="18"/>
                <w:lang w:bidi="ar"/>
                <w:rPrChange w:id="2051" w:author="LV" w:date="2026-07-14T15:52:55Z">
                  <w:rPr>
                    <w:rFonts w:hint="eastAsia" w:ascii="仿宋_GB2312" w:hAnsi="宋体" w:eastAsia="仿宋_GB2312" w:cs="仿宋_GB2312"/>
                    <w:kern w:val="0"/>
                    <w:sz w:val="18"/>
                    <w:szCs w:val="18"/>
                    <w:lang w:bidi="ar"/>
                  </w:rPr>
                </w:rPrChange>
              </w:rPr>
              <w:t>减轻处罚</w:t>
            </w:r>
          </w:p>
        </w:tc>
        <w:tc>
          <w:tcPr>
            <w:tcW w:w="1829" w:type="dxa"/>
            <w:tcBorders>
              <w:tl2br w:val="nil"/>
              <w:tr2bl w:val="nil"/>
            </w:tcBorders>
            <w:shd w:val="clear" w:color="auto" w:fill="auto"/>
            <w:tcMar>
              <w:top w:w="15" w:type="dxa"/>
              <w:left w:w="15" w:type="dxa"/>
              <w:right w:w="15" w:type="dxa"/>
            </w:tcMar>
            <w:vAlign w:val="center"/>
          </w:tcPr>
          <w:p w14:paraId="361202F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Change w:id="2052" w:author="LV" w:date="2026-07-14T15:52:55Z">
                  <w:rPr>
                    <w:rFonts w:ascii="仿宋_GB2312" w:hAnsi="宋体" w:eastAsia="仿宋_GB2312" w:cs="仿宋_GB2312"/>
                    <w:sz w:val="18"/>
                    <w:szCs w:val="18"/>
                  </w:rPr>
                </w:rPrChange>
              </w:rPr>
            </w:pPr>
            <w:r>
              <w:rPr>
                <w:rFonts w:hint="eastAsia" w:ascii="仿宋_GB2312" w:hAnsi="宋体" w:eastAsia="仿宋_GB2312" w:cs="仿宋_GB2312"/>
                <w:color w:val="auto"/>
                <w:kern w:val="0"/>
                <w:sz w:val="18"/>
                <w:szCs w:val="18"/>
                <w:lang w:bidi="ar"/>
                <w:rPrChange w:id="2053" w:author="LV" w:date="2026-07-14T15:52:55Z">
                  <w:rPr>
                    <w:rFonts w:hint="eastAsia" w:ascii="仿宋_GB2312" w:hAnsi="宋体" w:eastAsia="仿宋_GB2312" w:cs="仿宋_GB2312"/>
                    <w:kern w:val="0"/>
                    <w:sz w:val="18"/>
                    <w:szCs w:val="18"/>
                    <w:lang w:bidi="ar"/>
                  </w:rPr>
                </w:rPrChange>
              </w:rPr>
              <w:t>适用总则规定</w:t>
            </w:r>
          </w:p>
        </w:tc>
        <w:tc>
          <w:tcPr>
            <w:tcW w:w="2655" w:type="dxa"/>
            <w:tcBorders>
              <w:tl2br w:val="nil"/>
              <w:tr2bl w:val="nil"/>
            </w:tcBorders>
            <w:shd w:val="clear" w:color="auto" w:fill="auto"/>
            <w:tcMar>
              <w:top w:w="15" w:type="dxa"/>
              <w:left w:w="15" w:type="dxa"/>
              <w:right w:w="15" w:type="dxa"/>
            </w:tcMar>
            <w:vAlign w:val="center"/>
          </w:tcPr>
          <w:p w14:paraId="49DFCC0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Change w:id="2054" w:author="LV" w:date="2026-07-14T15:52:55Z">
                  <w:rPr>
                    <w:rFonts w:ascii="仿宋_GB2312" w:hAnsi="宋体" w:eastAsia="仿宋_GB2312" w:cs="仿宋_GB2312"/>
                    <w:sz w:val="18"/>
                    <w:szCs w:val="18"/>
                  </w:rPr>
                </w:rPrChange>
              </w:rPr>
            </w:pPr>
            <w:r>
              <w:rPr>
                <w:rFonts w:hint="eastAsia" w:ascii="仿宋_GB2312" w:hAnsi="宋体" w:eastAsia="仿宋_GB2312" w:cs="仿宋_GB2312"/>
                <w:color w:val="auto"/>
                <w:kern w:val="0"/>
                <w:sz w:val="18"/>
                <w:szCs w:val="18"/>
                <w:lang w:bidi="ar"/>
                <w:rPrChange w:id="2055" w:author="LV" w:date="2026-07-14T15:52:55Z">
                  <w:rPr>
                    <w:rFonts w:hint="eastAsia" w:ascii="仿宋_GB2312" w:hAnsi="宋体" w:eastAsia="仿宋_GB2312" w:cs="仿宋_GB2312"/>
                    <w:kern w:val="0"/>
                    <w:sz w:val="18"/>
                    <w:szCs w:val="18"/>
                    <w:lang w:bidi="ar"/>
                  </w:rPr>
                </w:rPrChange>
              </w:rPr>
              <w:t>无</w:t>
            </w:r>
          </w:p>
        </w:tc>
      </w:tr>
      <w:tr w14:paraId="619C6B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1"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51A4CC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4CCB17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3DED34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5BF5F2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250568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4F7DF4B1">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2056" w:author="LV" w:date="2026-07-14T16:43:56Z"/>
                <w:rFonts w:hint="eastAsia" w:ascii="仿宋_GB2312" w:hAnsi="宋体" w:eastAsia="仿宋_GB2312" w:cs="仿宋_GB2312"/>
                <w:kern w:val="0"/>
                <w:sz w:val="18"/>
                <w:szCs w:val="18"/>
                <w:lang w:bidi="ar"/>
              </w:rPr>
            </w:pPr>
          </w:p>
          <w:p w14:paraId="13B8E81E">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2057" w:author="LV" w:date="2026-07-14T16:43:58Z"/>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关闭、破坏1台（套或处）直接关系生产安全的监控、报警、防护、救生设备、设施。</w:t>
            </w:r>
          </w:p>
          <w:p w14:paraId="5B0CB84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tc>
        <w:tc>
          <w:tcPr>
            <w:tcW w:w="2655" w:type="dxa"/>
            <w:tcBorders>
              <w:tl2br w:val="nil"/>
              <w:tr2bl w:val="nil"/>
            </w:tcBorders>
            <w:shd w:val="clear" w:color="auto" w:fill="auto"/>
            <w:tcMar>
              <w:top w:w="15" w:type="dxa"/>
              <w:left w:w="15" w:type="dxa"/>
              <w:right w:w="15" w:type="dxa"/>
            </w:tcMar>
            <w:vAlign w:val="center"/>
          </w:tcPr>
          <w:p w14:paraId="27D093C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处2万元以下的罚款。</w:t>
            </w:r>
          </w:p>
        </w:tc>
      </w:tr>
      <w:tr w14:paraId="6131DE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1"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C78CE6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8C6C27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99D572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0EABA6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4CAAD8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587E23A0">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2058" w:author="LV" w:date="2026-07-14T16:43:59Z"/>
                <w:rFonts w:hint="eastAsia" w:ascii="仿宋_GB2312" w:hAnsi="宋体" w:eastAsia="仿宋_GB2312" w:cs="仿宋_GB2312"/>
                <w:kern w:val="0"/>
                <w:sz w:val="18"/>
                <w:szCs w:val="18"/>
                <w:lang w:bidi="ar"/>
              </w:rPr>
            </w:pPr>
          </w:p>
          <w:p w14:paraId="5304B425">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2059" w:author="LV" w:date="2026-07-14T16:44:00Z"/>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关闭、破坏2台（套或处）直接关系生产安全的监控、报警、防护、救生设备、设施。</w:t>
            </w:r>
          </w:p>
          <w:p w14:paraId="6E28AE4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tc>
        <w:tc>
          <w:tcPr>
            <w:tcW w:w="2655" w:type="dxa"/>
            <w:tcBorders>
              <w:tl2br w:val="nil"/>
              <w:tr2bl w:val="nil"/>
            </w:tcBorders>
            <w:shd w:val="clear" w:color="auto" w:fill="auto"/>
            <w:tcMar>
              <w:top w:w="15" w:type="dxa"/>
              <w:left w:w="15" w:type="dxa"/>
              <w:right w:w="15" w:type="dxa"/>
            </w:tcMar>
            <w:vAlign w:val="center"/>
          </w:tcPr>
          <w:p w14:paraId="47FD257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处2万元以上4万元以下的罚款。</w:t>
            </w:r>
          </w:p>
        </w:tc>
      </w:tr>
      <w:tr w14:paraId="6306E2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2060" w:author="LV" w:date="2026-07-14T16:43:48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wBefore w:w="0" w:type="auto"/>
          <w:trHeight w:val="1505" w:hRule="atLeast"/>
          <w:jc w:val="center"/>
          <w:trPrChange w:id="2060" w:author="LV" w:date="2026-07-14T16:43:48Z">
            <w:trPr>
              <w:gridBefore w:val="2"/>
              <w:wBefore w:w="15" w:type="dxa"/>
              <w:trHeight w:val="1361" w:hRule="atLeast"/>
              <w:jc w:val="center"/>
            </w:trPr>
          </w:trPrChange>
        </w:trPr>
        <w:tc>
          <w:tcPr>
            <w:tcW w:w="418" w:type="dxa"/>
            <w:vMerge w:val="continue"/>
            <w:tcBorders>
              <w:tl2br w:val="nil"/>
              <w:tr2bl w:val="nil"/>
            </w:tcBorders>
            <w:shd w:val="clear" w:color="auto" w:fill="auto"/>
            <w:noWrap/>
            <w:tcMar>
              <w:top w:w="15" w:type="dxa"/>
              <w:left w:w="15" w:type="dxa"/>
              <w:right w:w="15" w:type="dxa"/>
            </w:tcMar>
            <w:vAlign w:val="center"/>
            <w:tcPrChange w:id="2061" w:author="LV" w:date="2026-07-14T16:43:48Z">
              <w:tcPr>
                <w:tcW w:w="418" w:type="dxa"/>
                <w:gridSpan w:val="3"/>
                <w:vMerge w:val="continue"/>
                <w:tcBorders>
                  <w:tl2br w:val="nil"/>
                  <w:tr2bl w:val="nil"/>
                </w:tcBorders>
                <w:shd w:val="clear" w:color="auto" w:fill="auto"/>
                <w:noWrap/>
                <w:tcMar>
                  <w:top w:w="15" w:type="dxa"/>
                  <w:left w:w="15" w:type="dxa"/>
                  <w:right w:w="15" w:type="dxa"/>
                </w:tcMar>
                <w:vAlign w:val="center"/>
              </w:tcPr>
            </w:tcPrChange>
          </w:tcPr>
          <w:p w14:paraId="686D5BB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Change w:id="2062" w:author="LV" w:date="2026-07-14T16:43:48Z">
              <w:tcPr>
                <w:tcW w:w="1005" w:type="dxa"/>
                <w:gridSpan w:val="3"/>
                <w:vMerge w:val="continue"/>
                <w:tcBorders>
                  <w:tl2br w:val="nil"/>
                  <w:tr2bl w:val="nil"/>
                </w:tcBorders>
                <w:shd w:val="clear" w:color="auto" w:fill="auto"/>
                <w:tcMar>
                  <w:top w:w="15" w:type="dxa"/>
                  <w:left w:w="15" w:type="dxa"/>
                  <w:right w:w="15" w:type="dxa"/>
                </w:tcMar>
                <w:vAlign w:val="center"/>
              </w:tcPr>
            </w:tcPrChange>
          </w:tcPr>
          <w:p w14:paraId="30CC6D0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Change w:id="2063" w:author="LV" w:date="2026-07-14T16:43:48Z">
              <w:tcPr>
                <w:tcW w:w="3667" w:type="dxa"/>
                <w:gridSpan w:val="3"/>
                <w:vMerge w:val="continue"/>
                <w:tcBorders>
                  <w:tl2br w:val="nil"/>
                  <w:tr2bl w:val="nil"/>
                </w:tcBorders>
                <w:shd w:val="clear" w:color="auto" w:fill="auto"/>
                <w:tcMar>
                  <w:top w:w="15" w:type="dxa"/>
                  <w:left w:w="15" w:type="dxa"/>
                  <w:right w:w="15" w:type="dxa"/>
                </w:tcMar>
                <w:vAlign w:val="center"/>
              </w:tcPr>
            </w:tcPrChange>
          </w:tcPr>
          <w:p w14:paraId="0E48173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Change w:id="2064" w:author="LV" w:date="2026-07-14T16:43:48Z">
              <w:tcPr>
                <w:tcW w:w="4082" w:type="dxa"/>
                <w:gridSpan w:val="3"/>
                <w:vMerge w:val="continue"/>
                <w:tcBorders>
                  <w:tl2br w:val="nil"/>
                  <w:tr2bl w:val="nil"/>
                </w:tcBorders>
                <w:shd w:val="clear" w:color="auto" w:fill="auto"/>
                <w:tcMar>
                  <w:top w:w="15" w:type="dxa"/>
                  <w:left w:w="15" w:type="dxa"/>
                  <w:right w:w="15" w:type="dxa"/>
                </w:tcMar>
                <w:vAlign w:val="center"/>
              </w:tcPr>
            </w:tcPrChange>
          </w:tcPr>
          <w:p w14:paraId="0FE75C3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Change w:id="2065" w:author="LV" w:date="2026-07-14T16:43:48Z">
              <w:tcPr>
                <w:tcW w:w="459" w:type="dxa"/>
                <w:gridSpan w:val="3"/>
                <w:tcBorders>
                  <w:tl2br w:val="nil"/>
                  <w:tr2bl w:val="nil"/>
                </w:tcBorders>
                <w:shd w:val="clear" w:color="auto" w:fill="auto"/>
                <w:noWrap/>
                <w:tcMar>
                  <w:top w:w="15" w:type="dxa"/>
                  <w:left w:w="15" w:type="dxa"/>
                  <w:right w:w="15" w:type="dxa"/>
                </w:tcMar>
                <w:vAlign w:val="center"/>
              </w:tcPr>
            </w:tcPrChange>
          </w:tcPr>
          <w:p w14:paraId="626E328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left"/>
              <w:textAlignment w:val="center"/>
              <w:rPr>
                <w:rFonts w:hint="eastAsia" w:ascii="仿宋_GB2312" w:hAnsi="宋体" w:eastAsia="仿宋_GB2312" w:cs="仿宋_GB2312"/>
                <w:kern w:val="0"/>
                <w:sz w:val="18"/>
                <w:szCs w:val="18"/>
                <w:lang w:bidi="ar"/>
                <w:rPrChange w:id="2067" w:author="LV" w:date="2026-07-14T16:43:31Z">
                  <w:rPr>
                    <w:rFonts w:ascii="仿宋_GB2312" w:hAnsi="宋体" w:eastAsia="仿宋_GB2312" w:cs="仿宋_GB2312"/>
                    <w:sz w:val="18"/>
                    <w:szCs w:val="18"/>
                  </w:rPr>
                </w:rPrChange>
              </w:rPr>
              <w:pPrChange w:id="2066" w:author="LV" w:date="2026-07-14T16:43:31Z">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pPr>
              </w:pPrChange>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Change w:id="2068" w:author="LV" w:date="2026-07-14T16:43:48Z">
              <w:tcPr>
                <w:tcW w:w="1829" w:type="dxa"/>
                <w:gridSpan w:val="3"/>
                <w:tcBorders>
                  <w:tl2br w:val="nil"/>
                  <w:tr2bl w:val="nil"/>
                </w:tcBorders>
                <w:shd w:val="clear" w:color="auto" w:fill="auto"/>
                <w:tcMar>
                  <w:top w:w="15" w:type="dxa"/>
                  <w:left w:w="15" w:type="dxa"/>
                  <w:right w:w="15" w:type="dxa"/>
                </w:tcMar>
                <w:vAlign w:val="center"/>
              </w:tcPr>
            </w:tcPrChange>
          </w:tcPr>
          <w:p w14:paraId="1717C12B">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2069" w:author="LV" w:date="2026-07-14T16:44:02Z"/>
                <w:rFonts w:hint="eastAsia" w:ascii="仿宋_GB2312" w:hAnsi="宋体" w:eastAsia="仿宋_GB2312" w:cs="仿宋_GB2312"/>
                <w:kern w:val="0"/>
                <w:sz w:val="18"/>
                <w:szCs w:val="18"/>
                <w:lang w:val="en-US" w:eastAsia="zh-CN" w:bidi="ar"/>
              </w:rPr>
            </w:pPr>
          </w:p>
          <w:p w14:paraId="17E778FC">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2070" w:author="LV" w:date="2026-07-14T16:44:08Z"/>
                <w:rFonts w:hint="eastAsia" w:ascii="仿宋_GB2312" w:hAnsi="宋体" w:eastAsia="仿宋_GB2312" w:cs="仿宋_GB2312"/>
                <w:kern w:val="0"/>
                <w:sz w:val="18"/>
                <w:szCs w:val="18"/>
                <w:lang w:val="en-US" w:eastAsia="zh-CN" w:bidi="ar"/>
              </w:rPr>
            </w:pPr>
          </w:p>
          <w:p w14:paraId="07DED825">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2071" w:author="LV" w:date="2026-07-14T16:44:23Z"/>
                <w:rFonts w:hint="eastAsia" w:ascii="仿宋_GB2312" w:hAnsi="宋体" w:eastAsia="仿宋_GB2312" w:cs="仿宋_GB2312"/>
                <w:kern w:val="0"/>
                <w:sz w:val="18"/>
                <w:szCs w:val="18"/>
                <w:lang w:val="en-US" w:eastAsia="zh-CN" w:bidi="ar"/>
              </w:rPr>
            </w:pPr>
          </w:p>
          <w:p w14:paraId="3F9FE64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eastAsia="zh-CN" w:bidi="ar"/>
                <w:rPrChange w:id="2072" w:author="LV" w:date="2026-07-14T16:43:31Z">
                  <w:rPr>
                    <w:rFonts w:hint="eastAsia" w:ascii="仿宋_GB2312" w:hAnsi="宋体" w:eastAsia="仿宋_GB2312" w:cs="仿宋_GB2312"/>
                    <w:color w:val="FF0000"/>
                    <w:kern w:val="0"/>
                    <w:sz w:val="18"/>
                    <w:szCs w:val="18"/>
                    <w:lang w:eastAsia="zh-CN" w:bidi="ar"/>
                  </w:rPr>
                </w:rPrChange>
              </w:rPr>
            </w:pPr>
            <w:r>
              <w:rPr>
                <w:rFonts w:hint="eastAsia" w:ascii="仿宋_GB2312" w:hAnsi="宋体" w:eastAsia="仿宋_GB2312" w:cs="仿宋_GB2312"/>
                <w:color w:val="auto"/>
                <w:kern w:val="0"/>
                <w:sz w:val="18"/>
                <w:szCs w:val="18"/>
                <w:lang w:val="en-US" w:eastAsia="zh-CN" w:bidi="ar"/>
                <w:rPrChange w:id="2073" w:author="LV" w:date="2026-07-14T16:43:31Z">
                  <w:rPr>
                    <w:rFonts w:hint="eastAsia" w:ascii="仿宋_GB2312" w:hAnsi="宋体" w:eastAsia="仿宋_GB2312" w:cs="仿宋_GB2312"/>
                    <w:color w:val="FF0000"/>
                    <w:kern w:val="0"/>
                    <w:sz w:val="18"/>
                    <w:szCs w:val="18"/>
                    <w:lang w:val="en-US" w:eastAsia="zh-CN" w:bidi="ar"/>
                  </w:rPr>
                </w:rPrChange>
              </w:rPr>
              <w:t>①</w:t>
            </w:r>
            <w:r>
              <w:rPr>
                <w:rFonts w:hint="eastAsia" w:ascii="仿宋_GB2312" w:hAnsi="宋体" w:eastAsia="仿宋_GB2312" w:cs="仿宋_GB2312"/>
                <w:color w:val="auto"/>
                <w:kern w:val="0"/>
                <w:sz w:val="18"/>
                <w:szCs w:val="18"/>
                <w:lang w:bidi="ar"/>
                <w:rPrChange w:id="2074" w:author="LV" w:date="2026-07-14T16:43:31Z">
                  <w:rPr>
                    <w:rFonts w:hint="eastAsia" w:ascii="仿宋_GB2312" w:hAnsi="宋体" w:eastAsia="仿宋_GB2312" w:cs="仿宋_GB2312"/>
                    <w:color w:val="FF0000"/>
                    <w:kern w:val="0"/>
                    <w:sz w:val="18"/>
                    <w:szCs w:val="18"/>
                    <w:lang w:bidi="ar"/>
                  </w:rPr>
                </w:rPrChange>
              </w:rPr>
              <w:t>关闭、破坏3台（套或处）以上直接关系生产安全的监控、报警、防护、救生设备、设施</w:t>
            </w:r>
            <w:r>
              <w:rPr>
                <w:rFonts w:hint="eastAsia" w:ascii="仿宋_GB2312" w:hAnsi="宋体" w:eastAsia="仿宋_GB2312" w:cs="仿宋_GB2312"/>
                <w:color w:val="auto"/>
                <w:kern w:val="0"/>
                <w:sz w:val="18"/>
                <w:szCs w:val="18"/>
                <w:lang w:eastAsia="zh-CN" w:bidi="ar"/>
                <w:rPrChange w:id="2075" w:author="LV" w:date="2026-07-14T16:43:31Z">
                  <w:rPr>
                    <w:rFonts w:hint="eastAsia" w:ascii="仿宋_GB2312" w:hAnsi="宋体" w:eastAsia="仿宋_GB2312" w:cs="仿宋_GB2312"/>
                    <w:color w:val="FF0000"/>
                    <w:kern w:val="0"/>
                    <w:sz w:val="18"/>
                    <w:szCs w:val="18"/>
                    <w:lang w:eastAsia="zh-CN" w:bidi="ar"/>
                  </w:rPr>
                </w:rPrChange>
              </w:rPr>
              <w:t>。</w:t>
            </w:r>
          </w:p>
          <w:p w14:paraId="56618518">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2076" w:author="LV" w:date="2026-07-14T16:44:09Z"/>
                <w:rFonts w:hint="eastAsia" w:ascii="仿宋_GB2312" w:hAnsi="宋体" w:eastAsia="仿宋_GB2312" w:cs="仿宋_GB2312"/>
                <w:kern w:val="0"/>
                <w:sz w:val="18"/>
                <w:szCs w:val="18"/>
                <w:lang w:val="en-US" w:eastAsia="zh-CN" w:bidi="ar"/>
              </w:rPr>
            </w:pPr>
            <w:r>
              <w:rPr>
                <w:rFonts w:hint="eastAsia" w:ascii="仿宋_GB2312" w:hAnsi="宋体" w:eastAsia="仿宋_GB2312" w:cs="仿宋_GB2312"/>
                <w:color w:val="auto"/>
                <w:kern w:val="0"/>
                <w:sz w:val="18"/>
                <w:szCs w:val="18"/>
                <w:lang w:val="en-US" w:eastAsia="zh-CN" w:bidi="ar"/>
                <w:rPrChange w:id="2077" w:author="LV" w:date="2026-07-14T16:43:31Z">
                  <w:rPr>
                    <w:rFonts w:hint="eastAsia" w:ascii="仿宋_GB2312" w:hAnsi="宋体" w:eastAsia="仿宋_GB2312" w:cs="仿宋_GB2312"/>
                    <w:color w:val="FF0000"/>
                    <w:kern w:val="0"/>
                    <w:sz w:val="18"/>
                    <w:szCs w:val="18"/>
                    <w:lang w:val="en-US" w:eastAsia="zh-CN" w:bidi="ar"/>
                  </w:rPr>
                </w:rPrChange>
              </w:rPr>
              <w:t>②情节严重的。</w:t>
            </w:r>
          </w:p>
          <w:p w14:paraId="23683FF4">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2078" w:author="LV" w:date="2026-07-14T16:44:04Z"/>
                <w:rFonts w:hint="eastAsia" w:ascii="仿宋_GB2312" w:hAnsi="宋体" w:eastAsia="仿宋_GB2312" w:cs="仿宋_GB2312"/>
                <w:kern w:val="0"/>
                <w:sz w:val="18"/>
                <w:szCs w:val="18"/>
                <w:lang w:val="en-US" w:eastAsia="zh-CN" w:bidi="ar"/>
              </w:rPr>
            </w:pPr>
          </w:p>
          <w:p w14:paraId="189FF40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Change w:id="2079" w:author="LV" w:date="2026-07-14T16:43:31Z">
                  <w:rPr>
                    <w:rFonts w:ascii="仿宋_GB2312" w:hAnsi="宋体" w:eastAsia="仿宋_GB2312" w:cs="仿宋_GB2312"/>
                    <w:color w:val="FF0000"/>
                    <w:sz w:val="18"/>
                    <w:szCs w:val="18"/>
                  </w:rPr>
                </w:rPrChange>
              </w:rPr>
            </w:pPr>
          </w:p>
        </w:tc>
        <w:tc>
          <w:tcPr>
            <w:tcW w:w="2655" w:type="dxa"/>
            <w:tcBorders>
              <w:tl2br w:val="nil"/>
              <w:tr2bl w:val="nil"/>
            </w:tcBorders>
            <w:shd w:val="clear" w:color="auto" w:fill="auto"/>
            <w:tcMar>
              <w:top w:w="15" w:type="dxa"/>
              <w:left w:w="15" w:type="dxa"/>
              <w:right w:w="15" w:type="dxa"/>
            </w:tcMar>
            <w:vAlign w:val="center"/>
            <w:tcPrChange w:id="2080" w:author="LV" w:date="2026-07-14T16:43:48Z">
              <w:tcPr>
                <w:tcW w:w="2655" w:type="dxa"/>
                <w:gridSpan w:val="3"/>
                <w:tcBorders>
                  <w:tl2br w:val="nil"/>
                  <w:tr2bl w:val="nil"/>
                </w:tcBorders>
                <w:shd w:val="clear" w:color="auto" w:fill="auto"/>
                <w:tcMar>
                  <w:top w:w="15" w:type="dxa"/>
                  <w:left w:w="15" w:type="dxa"/>
                  <w:right w:w="15" w:type="dxa"/>
                </w:tcMar>
                <w:vAlign w:val="center"/>
              </w:tcPr>
            </w:tcPrChange>
          </w:tcPr>
          <w:p w14:paraId="76DF777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Change w:id="2081" w:author="LV" w:date="2026-07-14T16:43:31Z">
                  <w:rPr>
                    <w:rFonts w:hint="eastAsia" w:ascii="仿宋_GB2312" w:hAnsi="宋体" w:eastAsia="仿宋_GB2312" w:cs="仿宋_GB2312"/>
                    <w:color w:val="FF0000"/>
                    <w:kern w:val="0"/>
                    <w:sz w:val="18"/>
                    <w:szCs w:val="18"/>
                    <w:lang w:bidi="ar"/>
                  </w:rPr>
                </w:rPrChange>
              </w:rPr>
            </w:pPr>
            <w:r>
              <w:rPr>
                <w:rFonts w:hint="eastAsia" w:ascii="仿宋_GB2312" w:hAnsi="宋体" w:eastAsia="仿宋_GB2312" w:cs="仿宋_GB2312"/>
                <w:color w:val="auto"/>
                <w:kern w:val="0"/>
                <w:sz w:val="18"/>
                <w:szCs w:val="18"/>
                <w:lang w:val="en-US" w:eastAsia="zh-CN" w:bidi="ar"/>
                <w:rPrChange w:id="2082" w:author="LV" w:date="2026-07-14T16:43:31Z">
                  <w:rPr>
                    <w:rFonts w:hint="eastAsia" w:ascii="仿宋_GB2312" w:hAnsi="宋体" w:eastAsia="仿宋_GB2312" w:cs="仿宋_GB2312"/>
                    <w:color w:val="FF0000"/>
                    <w:kern w:val="0"/>
                    <w:sz w:val="18"/>
                    <w:szCs w:val="18"/>
                    <w:lang w:val="en-US" w:eastAsia="zh-CN" w:bidi="ar"/>
                  </w:rPr>
                </w:rPrChange>
              </w:rPr>
              <w:t>①</w:t>
            </w:r>
            <w:r>
              <w:rPr>
                <w:rFonts w:hint="eastAsia" w:ascii="仿宋_GB2312" w:hAnsi="宋体" w:eastAsia="仿宋_GB2312" w:cs="仿宋_GB2312"/>
                <w:color w:val="auto"/>
                <w:kern w:val="0"/>
                <w:sz w:val="18"/>
                <w:szCs w:val="18"/>
                <w:lang w:bidi="ar"/>
                <w:rPrChange w:id="2083" w:author="LV" w:date="2026-07-14T16:43:31Z">
                  <w:rPr>
                    <w:rFonts w:hint="eastAsia" w:ascii="仿宋_GB2312" w:hAnsi="宋体" w:eastAsia="仿宋_GB2312" w:cs="仿宋_GB2312"/>
                    <w:color w:val="FF0000"/>
                    <w:kern w:val="0"/>
                    <w:sz w:val="18"/>
                    <w:szCs w:val="18"/>
                    <w:lang w:bidi="ar"/>
                  </w:rPr>
                </w:rPrChange>
              </w:rPr>
              <w:t>处4万元以上5万元以下的罚款。</w:t>
            </w:r>
          </w:p>
          <w:p w14:paraId="238F8D4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Change w:id="2084" w:author="LV" w:date="2026-07-14T16:43:31Z">
                  <w:rPr>
                    <w:rFonts w:ascii="仿宋_GB2312" w:hAnsi="宋体" w:eastAsia="仿宋_GB2312" w:cs="仿宋_GB2312"/>
                    <w:color w:val="FF0000"/>
                    <w:sz w:val="18"/>
                    <w:szCs w:val="18"/>
                  </w:rPr>
                </w:rPrChange>
              </w:rPr>
            </w:pPr>
            <w:r>
              <w:rPr>
                <w:rFonts w:hint="eastAsia" w:ascii="仿宋_GB2312" w:hAnsi="宋体" w:eastAsia="仿宋_GB2312" w:cs="仿宋_GB2312"/>
                <w:color w:val="auto"/>
                <w:kern w:val="0"/>
                <w:sz w:val="18"/>
                <w:szCs w:val="18"/>
                <w:lang w:val="en-US" w:eastAsia="zh-CN" w:bidi="ar"/>
                <w:rPrChange w:id="2085" w:author="LV" w:date="2026-07-14T16:43:31Z">
                  <w:rPr>
                    <w:rFonts w:hint="eastAsia" w:ascii="仿宋_GB2312" w:hAnsi="宋体" w:eastAsia="仿宋_GB2312" w:cs="仿宋_GB2312"/>
                    <w:color w:val="FF0000"/>
                    <w:kern w:val="0"/>
                    <w:sz w:val="18"/>
                    <w:szCs w:val="18"/>
                    <w:lang w:val="en-US" w:eastAsia="zh-CN" w:bidi="ar"/>
                  </w:rPr>
                </w:rPrChange>
              </w:rPr>
              <w:t>②</w:t>
            </w:r>
            <w:r>
              <w:rPr>
                <w:rFonts w:hint="eastAsia" w:ascii="仿宋_GB2312" w:hAnsi="宋体" w:eastAsia="仿宋_GB2312" w:cs="仿宋_GB2312"/>
                <w:color w:val="auto"/>
                <w:kern w:val="0"/>
                <w:sz w:val="18"/>
                <w:szCs w:val="18"/>
                <w:lang w:bidi="ar"/>
                <w:rPrChange w:id="2086" w:author="LV" w:date="2026-07-14T16:43:31Z">
                  <w:rPr>
                    <w:rFonts w:hint="eastAsia" w:ascii="仿宋_GB2312" w:hAnsi="宋体" w:eastAsia="仿宋_GB2312" w:cs="仿宋_GB2312"/>
                    <w:color w:val="FF0000"/>
                    <w:kern w:val="0"/>
                    <w:sz w:val="18"/>
                    <w:szCs w:val="18"/>
                    <w:lang w:bidi="ar"/>
                  </w:rPr>
                </w:rPrChange>
              </w:rPr>
              <w:t>情节严重的</w:t>
            </w:r>
            <w:r>
              <w:rPr>
                <w:rFonts w:hint="eastAsia" w:ascii="仿宋_GB2312" w:hAnsi="宋体" w:eastAsia="仿宋_GB2312" w:cs="仿宋_GB2312"/>
                <w:color w:val="auto"/>
                <w:kern w:val="0"/>
                <w:sz w:val="18"/>
                <w:szCs w:val="18"/>
                <w:lang w:eastAsia="zh-CN" w:bidi="ar"/>
                <w:rPrChange w:id="2087" w:author="LV" w:date="2026-07-14T16:43:31Z">
                  <w:rPr>
                    <w:rFonts w:hint="eastAsia" w:ascii="仿宋_GB2312" w:hAnsi="宋体" w:eastAsia="仿宋_GB2312" w:cs="仿宋_GB2312"/>
                    <w:color w:val="FF0000"/>
                    <w:kern w:val="0"/>
                    <w:sz w:val="18"/>
                    <w:szCs w:val="18"/>
                    <w:lang w:eastAsia="zh-CN" w:bidi="ar"/>
                  </w:rPr>
                </w:rPrChange>
              </w:rPr>
              <w:t>，</w:t>
            </w:r>
            <w:r>
              <w:rPr>
                <w:rFonts w:hint="eastAsia" w:ascii="仿宋_GB2312" w:hAnsi="宋体" w:eastAsia="仿宋_GB2312" w:cs="仿宋_GB2312"/>
                <w:color w:val="auto"/>
                <w:kern w:val="0"/>
                <w:sz w:val="18"/>
                <w:szCs w:val="18"/>
                <w:lang w:bidi="ar"/>
                <w:rPrChange w:id="2088" w:author="LV" w:date="2026-07-14T16:43:31Z">
                  <w:rPr>
                    <w:rFonts w:hint="eastAsia" w:ascii="仿宋_GB2312" w:hAnsi="宋体" w:eastAsia="仿宋_GB2312" w:cs="仿宋_GB2312"/>
                    <w:color w:val="FF0000"/>
                    <w:kern w:val="0"/>
                    <w:sz w:val="18"/>
                    <w:szCs w:val="18"/>
                    <w:lang w:bidi="ar"/>
                  </w:rPr>
                </w:rPrChange>
              </w:rPr>
              <w:t>责令停产停业整顿</w:t>
            </w:r>
            <w:r>
              <w:rPr>
                <w:rFonts w:hint="eastAsia" w:ascii="仿宋_GB2312" w:hAnsi="宋体" w:eastAsia="仿宋_GB2312" w:cs="仿宋_GB2312"/>
                <w:color w:val="auto"/>
                <w:kern w:val="0"/>
                <w:sz w:val="18"/>
                <w:szCs w:val="18"/>
                <w:lang w:eastAsia="zh-CN" w:bidi="ar"/>
                <w:rPrChange w:id="2089" w:author="LV" w:date="2026-07-14T16:43:31Z">
                  <w:rPr>
                    <w:rFonts w:hint="eastAsia" w:ascii="仿宋_GB2312" w:hAnsi="宋体" w:eastAsia="仿宋_GB2312" w:cs="仿宋_GB2312"/>
                    <w:color w:val="FF0000"/>
                    <w:kern w:val="0"/>
                    <w:sz w:val="18"/>
                    <w:szCs w:val="18"/>
                    <w:lang w:eastAsia="zh-CN" w:bidi="ar"/>
                  </w:rPr>
                </w:rPrChange>
              </w:rPr>
              <w:t>，</w:t>
            </w:r>
            <w:r>
              <w:rPr>
                <w:rFonts w:hint="eastAsia" w:ascii="仿宋_GB2312" w:hAnsi="宋体" w:eastAsia="仿宋_GB2312" w:cs="仿宋_GB2312"/>
                <w:color w:val="auto"/>
                <w:kern w:val="0"/>
                <w:sz w:val="18"/>
                <w:szCs w:val="18"/>
                <w:lang w:bidi="ar"/>
                <w:rPrChange w:id="2090" w:author="LV" w:date="2026-07-14T16:43:31Z">
                  <w:rPr>
                    <w:rFonts w:hint="eastAsia" w:ascii="仿宋_GB2312" w:hAnsi="宋体" w:eastAsia="仿宋_GB2312" w:cs="仿宋_GB2312"/>
                    <w:color w:val="FF0000"/>
                    <w:kern w:val="0"/>
                    <w:sz w:val="18"/>
                    <w:szCs w:val="18"/>
                    <w:lang w:bidi="ar"/>
                  </w:rPr>
                </w:rPrChange>
              </w:rPr>
              <w:t>处4万元以上5万元以下的罚款。</w:t>
            </w:r>
          </w:p>
        </w:tc>
      </w:tr>
      <w:tr w14:paraId="71B2B5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341114A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del w:id="2091" w:author="LV" w:date="2026-07-14T16:43:43Z">
              <w:r>
                <w:rPr>
                  <w:rFonts w:hint="default" w:ascii="仿宋_GB2312" w:hAnsi="宋体" w:eastAsia="仿宋_GB2312" w:cs="仿宋_GB2312"/>
                  <w:kern w:val="0"/>
                  <w:sz w:val="18"/>
                  <w:szCs w:val="18"/>
                  <w:lang w:val="en-US" w:bidi="ar"/>
                </w:rPr>
                <w:delText>9</w:delText>
              </w:r>
            </w:del>
            <w:del w:id="2092" w:author="LV" w:date="2026-07-14T16:43:43Z">
              <w:r>
                <w:rPr>
                  <w:rFonts w:hint="default" w:ascii="仿宋_GB2312" w:hAnsi="宋体" w:eastAsia="仿宋_GB2312" w:cs="仿宋_GB2312"/>
                  <w:kern w:val="0"/>
                  <w:sz w:val="18"/>
                  <w:szCs w:val="18"/>
                  <w:lang w:val="en-US" w:eastAsia="zh-CN" w:bidi="ar"/>
                </w:rPr>
                <w:delText>8</w:delText>
              </w:r>
            </w:del>
            <w:ins w:id="2093" w:author="LV" w:date="2026-07-14T16:43:43Z">
              <w:r>
                <w:rPr>
                  <w:rFonts w:hint="eastAsia" w:ascii="仿宋_GB2312" w:hAnsi="宋体" w:eastAsia="仿宋_GB2312" w:cs="仿宋_GB2312"/>
                  <w:kern w:val="0"/>
                  <w:sz w:val="18"/>
                  <w:szCs w:val="18"/>
                  <w:lang w:val="en-US" w:eastAsia="zh-CN" w:bidi="ar"/>
                </w:rPr>
                <w:t>1</w:t>
              </w:r>
            </w:ins>
            <w:ins w:id="2094" w:author="LV" w:date="2026-07-14T16:43:44Z">
              <w:r>
                <w:rPr>
                  <w:rFonts w:hint="eastAsia" w:ascii="仿宋_GB2312" w:hAnsi="宋体" w:eastAsia="仿宋_GB2312" w:cs="仿宋_GB2312"/>
                  <w:kern w:val="0"/>
                  <w:sz w:val="18"/>
                  <w:szCs w:val="18"/>
                  <w:lang w:val="en-US" w:eastAsia="zh-CN" w:bidi="ar"/>
                </w:rPr>
                <w:t>05</w:t>
              </w:r>
            </w:ins>
          </w:p>
        </w:tc>
        <w:tc>
          <w:tcPr>
            <w:tcW w:w="1005" w:type="dxa"/>
            <w:vMerge w:val="restart"/>
            <w:tcBorders>
              <w:tl2br w:val="nil"/>
              <w:tr2bl w:val="nil"/>
            </w:tcBorders>
            <w:shd w:val="clear" w:color="auto" w:fill="auto"/>
            <w:tcMar>
              <w:top w:w="15" w:type="dxa"/>
              <w:left w:w="15" w:type="dxa"/>
              <w:right w:w="15" w:type="dxa"/>
            </w:tcMar>
            <w:vAlign w:val="center"/>
          </w:tcPr>
          <w:p w14:paraId="4F9131F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煤矿关闭、破坏直接关系生产安全的监控、报警、防护、救生设备、设施，逾期未改正的</w:t>
            </w:r>
          </w:p>
        </w:tc>
        <w:tc>
          <w:tcPr>
            <w:tcW w:w="3667" w:type="dxa"/>
            <w:vMerge w:val="restart"/>
            <w:tcBorders>
              <w:tl2br w:val="nil"/>
              <w:tr2bl w:val="nil"/>
            </w:tcBorders>
            <w:shd w:val="clear" w:color="auto" w:fill="auto"/>
            <w:tcMar>
              <w:top w:w="15" w:type="dxa"/>
              <w:left w:w="15" w:type="dxa"/>
              <w:right w:w="15" w:type="dxa"/>
            </w:tcMar>
            <w:vAlign w:val="center"/>
          </w:tcPr>
          <w:p w14:paraId="00452B2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bidi="ar"/>
              </w:rPr>
              <w:t>《安全生产法》第三十六条第三款</w:t>
            </w:r>
            <w:r>
              <w:rPr>
                <w:rFonts w:ascii="仿宋_GB2312" w:hAnsi="宋体" w:eastAsia="仿宋_GB2312" w:cs="仿宋_GB2312"/>
                <w:color w:val="auto"/>
                <w:kern w:val="0"/>
                <w:sz w:val="18"/>
                <w:szCs w:val="18"/>
                <w:lang w:bidi="ar"/>
              </w:rPr>
              <w:t xml:space="preserve"> </w:t>
            </w:r>
            <w:r>
              <w:rPr>
                <w:rFonts w:hint="eastAsia" w:ascii="仿宋_GB2312" w:hAnsi="宋体" w:eastAsia="仿宋_GB2312" w:cs="仿宋_GB2312"/>
                <w:color w:val="auto"/>
                <w:kern w:val="0"/>
                <w:sz w:val="18"/>
                <w:szCs w:val="18"/>
                <w:lang w:bidi="ar"/>
              </w:rPr>
              <w:t>生产经营单位不得关闭、破坏直接关系生产安全的监控、报警、防护、救生设备、设施，或者篡改、隐瞒、销毁其相关数据、信息。</w:t>
            </w:r>
          </w:p>
          <w:p w14:paraId="733BB14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bidi="ar"/>
              </w:rPr>
              <w:t>《煤矿安全生产条例》第二十六条第二煤矿企业及其有关人员不得关闭、破坏直接关系生产安全的监控、报警、防护、救生设备、设施，或者篡改、隐瞒、销毁其相关数据、信息，不得以任何方式影响其正常使用。</w:t>
            </w:r>
          </w:p>
        </w:tc>
        <w:tc>
          <w:tcPr>
            <w:tcW w:w="4082" w:type="dxa"/>
            <w:vMerge w:val="restart"/>
            <w:tcBorders>
              <w:tl2br w:val="nil"/>
              <w:tr2bl w:val="nil"/>
            </w:tcBorders>
            <w:shd w:val="clear" w:color="auto" w:fill="auto"/>
            <w:tcMar>
              <w:top w:w="15" w:type="dxa"/>
              <w:left w:w="15" w:type="dxa"/>
              <w:right w:w="15" w:type="dxa"/>
            </w:tcMar>
            <w:vAlign w:val="center"/>
          </w:tcPr>
          <w:p w14:paraId="00CBEBF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bidi="ar"/>
              </w:rPr>
              <w:t>《安全生产法》第九十九条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四）关闭、破坏直接关系生产安全的监控、报警、防护、救生设备、设施，或者篡改、隐瞒、销毁其相关数据、信息的。</w:t>
            </w:r>
          </w:p>
          <w:p w14:paraId="4A2EC79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bidi="ar"/>
              </w:rPr>
              <w:t>《煤矿安全生产条例》第七十一条  有下列情形之一的，依照《中华人民共和国安全生产法》有关规定予以处罚：（四）煤矿企业违反本条例第二十四条第一款、第二十五条第一款和第二款、第二十六条第二款规定的。</w:t>
            </w:r>
          </w:p>
        </w:tc>
        <w:tc>
          <w:tcPr>
            <w:tcW w:w="459" w:type="dxa"/>
            <w:tcBorders>
              <w:tl2br w:val="nil"/>
              <w:tr2bl w:val="nil"/>
            </w:tcBorders>
            <w:shd w:val="clear" w:color="auto" w:fill="auto"/>
            <w:noWrap/>
            <w:tcMar>
              <w:top w:w="15" w:type="dxa"/>
              <w:left w:w="15" w:type="dxa"/>
              <w:right w:w="15" w:type="dxa"/>
            </w:tcMar>
            <w:vAlign w:val="center"/>
          </w:tcPr>
          <w:p w14:paraId="401E5E5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3CC4DEA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3EEAA6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9F0DB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4559FC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A23FD7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734B55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8C33F8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E46785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7C1117B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7A85F60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1294B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6CF734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EF8DBF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FD58A1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0AC62B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1CECFB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3531C54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450A69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F57ED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2095" w:author="LV" w:date="2026-07-14T16:44:42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wBefore w:w="0" w:type="auto"/>
          <w:trHeight w:val="1626" w:hRule="atLeast"/>
          <w:jc w:val="center"/>
          <w:trPrChange w:id="2095" w:author="LV" w:date="2026-07-14T16:44:42Z">
            <w:trPr>
              <w:gridBefore w:val="2"/>
              <w:wBefore w:w="15" w:type="dxa"/>
              <w:trHeight w:val="1956" w:hRule="atLeast"/>
              <w:jc w:val="center"/>
            </w:trPr>
          </w:trPrChange>
        </w:trPr>
        <w:tc>
          <w:tcPr>
            <w:tcW w:w="418" w:type="dxa"/>
            <w:vMerge w:val="continue"/>
            <w:tcBorders>
              <w:tl2br w:val="nil"/>
              <w:tr2bl w:val="nil"/>
            </w:tcBorders>
            <w:shd w:val="clear" w:color="auto" w:fill="auto"/>
            <w:noWrap/>
            <w:tcMar>
              <w:top w:w="15" w:type="dxa"/>
              <w:left w:w="15" w:type="dxa"/>
              <w:right w:w="15" w:type="dxa"/>
            </w:tcMar>
            <w:vAlign w:val="center"/>
            <w:tcPrChange w:id="2096" w:author="LV" w:date="2026-07-14T16:44:42Z">
              <w:tcPr>
                <w:tcW w:w="418" w:type="dxa"/>
                <w:gridSpan w:val="3"/>
                <w:vMerge w:val="continue"/>
                <w:tcBorders>
                  <w:tl2br w:val="nil"/>
                  <w:tr2bl w:val="nil"/>
                </w:tcBorders>
                <w:shd w:val="clear" w:color="auto" w:fill="auto"/>
                <w:noWrap/>
                <w:tcMar>
                  <w:top w:w="15" w:type="dxa"/>
                  <w:left w:w="15" w:type="dxa"/>
                  <w:right w:w="15" w:type="dxa"/>
                </w:tcMar>
                <w:vAlign w:val="center"/>
              </w:tcPr>
            </w:tcPrChange>
          </w:tcPr>
          <w:p w14:paraId="1278474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Change w:id="2097" w:author="LV" w:date="2026-07-14T16:44:42Z">
              <w:tcPr>
                <w:tcW w:w="1005" w:type="dxa"/>
                <w:gridSpan w:val="3"/>
                <w:vMerge w:val="continue"/>
                <w:tcBorders>
                  <w:tl2br w:val="nil"/>
                  <w:tr2bl w:val="nil"/>
                </w:tcBorders>
                <w:shd w:val="clear" w:color="auto" w:fill="auto"/>
                <w:tcMar>
                  <w:top w:w="15" w:type="dxa"/>
                  <w:left w:w="15" w:type="dxa"/>
                  <w:right w:w="15" w:type="dxa"/>
                </w:tcMar>
                <w:vAlign w:val="center"/>
              </w:tcPr>
            </w:tcPrChange>
          </w:tcPr>
          <w:p w14:paraId="25D5FE3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Change w:id="2098" w:author="LV" w:date="2026-07-14T16:44:42Z">
              <w:tcPr>
                <w:tcW w:w="3667" w:type="dxa"/>
                <w:gridSpan w:val="3"/>
                <w:vMerge w:val="continue"/>
                <w:tcBorders>
                  <w:tl2br w:val="nil"/>
                  <w:tr2bl w:val="nil"/>
                </w:tcBorders>
                <w:shd w:val="clear" w:color="auto" w:fill="auto"/>
                <w:tcMar>
                  <w:top w:w="15" w:type="dxa"/>
                  <w:left w:w="15" w:type="dxa"/>
                  <w:right w:w="15" w:type="dxa"/>
                </w:tcMar>
                <w:vAlign w:val="center"/>
              </w:tcPr>
            </w:tcPrChange>
          </w:tcPr>
          <w:p w14:paraId="32635AB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Change w:id="2099" w:author="LV" w:date="2026-07-14T16:44:42Z">
              <w:tcPr>
                <w:tcW w:w="4082" w:type="dxa"/>
                <w:gridSpan w:val="3"/>
                <w:vMerge w:val="continue"/>
                <w:tcBorders>
                  <w:tl2br w:val="nil"/>
                  <w:tr2bl w:val="nil"/>
                </w:tcBorders>
                <w:shd w:val="clear" w:color="auto" w:fill="auto"/>
                <w:tcMar>
                  <w:top w:w="15" w:type="dxa"/>
                  <w:left w:w="15" w:type="dxa"/>
                  <w:right w:w="15" w:type="dxa"/>
                </w:tcMar>
                <w:vAlign w:val="center"/>
              </w:tcPr>
            </w:tcPrChange>
          </w:tcPr>
          <w:p w14:paraId="1F7F71B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Change w:id="2100" w:author="LV" w:date="2026-07-14T16:44:42Z">
              <w:tcPr>
                <w:tcW w:w="459" w:type="dxa"/>
                <w:gridSpan w:val="3"/>
                <w:tcBorders>
                  <w:tl2br w:val="nil"/>
                  <w:tr2bl w:val="nil"/>
                </w:tcBorders>
                <w:shd w:val="clear" w:color="auto" w:fill="auto"/>
                <w:noWrap/>
                <w:tcMar>
                  <w:top w:w="15" w:type="dxa"/>
                  <w:left w:w="15" w:type="dxa"/>
                  <w:right w:w="15" w:type="dxa"/>
                </w:tcMar>
                <w:vAlign w:val="center"/>
              </w:tcPr>
            </w:tcPrChange>
          </w:tcPr>
          <w:p w14:paraId="1448D63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Change w:id="2101" w:author="LV" w:date="2026-07-14T16:44:42Z">
              <w:tcPr>
                <w:tcW w:w="1829" w:type="dxa"/>
                <w:gridSpan w:val="3"/>
                <w:tcBorders>
                  <w:tl2br w:val="nil"/>
                  <w:tr2bl w:val="nil"/>
                </w:tcBorders>
                <w:shd w:val="clear" w:color="auto" w:fill="auto"/>
                <w:tcMar>
                  <w:top w:w="15" w:type="dxa"/>
                  <w:left w:w="15" w:type="dxa"/>
                  <w:right w:w="15" w:type="dxa"/>
                </w:tcMar>
                <w:vAlign w:val="center"/>
              </w:tcPr>
            </w:tcPrChange>
          </w:tcPr>
          <w:p w14:paraId="35BDBF6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关闭、破坏1台（套或处）直接关系生产安全的监控、报警、防护、救生设备、设施，逾期未改正的。</w:t>
            </w:r>
          </w:p>
        </w:tc>
        <w:tc>
          <w:tcPr>
            <w:tcW w:w="2655" w:type="dxa"/>
            <w:tcBorders>
              <w:tl2br w:val="nil"/>
              <w:tr2bl w:val="nil"/>
            </w:tcBorders>
            <w:shd w:val="clear" w:color="auto" w:fill="auto"/>
            <w:tcMar>
              <w:top w:w="15" w:type="dxa"/>
              <w:left w:w="15" w:type="dxa"/>
              <w:right w:w="15" w:type="dxa"/>
            </w:tcMar>
            <w:vAlign w:val="center"/>
            <w:tcPrChange w:id="2102" w:author="LV" w:date="2026-07-14T16:44:42Z">
              <w:tcPr>
                <w:tcW w:w="2655" w:type="dxa"/>
                <w:gridSpan w:val="3"/>
                <w:tcBorders>
                  <w:tl2br w:val="nil"/>
                  <w:tr2bl w:val="nil"/>
                </w:tcBorders>
                <w:shd w:val="clear" w:color="auto" w:fill="auto"/>
                <w:tcMar>
                  <w:top w:w="15" w:type="dxa"/>
                  <w:left w:w="15" w:type="dxa"/>
                  <w:right w:w="15" w:type="dxa"/>
                </w:tcMar>
                <w:vAlign w:val="center"/>
              </w:tcPr>
            </w:tcPrChange>
          </w:tcPr>
          <w:p w14:paraId="18C2C28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对煤矿处5万元以上10万元以下的罚款，对其直接负责的主管人员处1万元以上1.3万元以下的罚款。</w:t>
            </w:r>
          </w:p>
        </w:tc>
      </w:tr>
      <w:tr w14:paraId="70C66B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2103" w:author="LV" w:date="2026-07-14T16:44:46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wBefore w:w="0" w:type="auto"/>
          <w:trHeight w:val="1661" w:hRule="atLeast"/>
          <w:jc w:val="center"/>
          <w:trPrChange w:id="2103" w:author="LV" w:date="2026-07-14T16:44:46Z">
            <w:trPr>
              <w:gridBefore w:val="2"/>
              <w:wBefore w:w="15" w:type="dxa"/>
              <w:trHeight w:val="1956" w:hRule="atLeast"/>
              <w:jc w:val="center"/>
            </w:trPr>
          </w:trPrChange>
        </w:trPr>
        <w:tc>
          <w:tcPr>
            <w:tcW w:w="418" w:type="dxa"/>
            <w:vMerge w:val="continue"/>
            <w:tcBorders>
              <w:tl2br w:val="nil"/>
              <w:tr2bl w:val="nil"/>
            </w:tcBorders>
            <w:shd w:val="clear" w:color="auto" w:fill="auto"/>
            <w:noWrap/>
            <w:tcMar>
              <w:top w:w="15" w:type="dxa"/>
              <w:left w:w="15" w:type="dxa"/>
              <w:right w:w="15" w:type="dxa"/>
            </w:tcMar>
            <w:vAlign w:val="center"/>
            <w:tcPrChange w:id="2104" w:author="LV" w:date="2026-07-14T16:44:46Z">
              <w:tcPr>
                <w:tcW w:w="418" w:type="dxa"/>
                <w:gridSpan w:val="3"/>
                <w:vMerge w:val="continue"/>
                <w:tcBorders>
                  <w:tl2br w:val="nil"/>
                  <w:tr2bl w:val="nil"/>
                </w:tcBorders>
                <w:shd w:val="clear" w:color="auto" w:fill="auto"/>
                <w:noWrap/>
                <w:tcMar>
                  <w:top w:w="15" w:type="dxa"/>
                  <w:left w:w="15" w:type="dxa"/>
                  <w:right w:w="15" w:type="dxa"/>
                </w:tcMar>
                <w:vAlign w:val="center"/>
              </w:tcPr>
            </w:tcPrChange>
          </w:tcPr>
          <w:p w14:paraId="69D563B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Change w:id="2105" w:author="LV" w:date="2026-07-14T16:44:46Z">
              <w:tcPr>
                <w:tcW w:w="1005" w:type="dxa"/>
                <w:gridSpan w:val="3"/>
                <w:vMerge w:val="continue"/>
                <w:tcBorders>
                  <w:tl2br w:val="nil"/>
                  <w:tr2bl w:val="nil"/>
                </w:tcBorders>
                <w:shd w:val="clear" w:color="auto" w:fill="auto"/>
                <w:tcMar>
                  <w:top w:w="15" w:type="dxa"/>
                  <w:left w:w="15" w:type="dxa"/>
                  <w:right w:w="15" w:type="dxa"/>
                </w:tcMar>
                <w:vAlign w:val="center"/>
              </w:tcPr>
            </w:tcPrChange>
          </w:tcPr>
          <w:p w14:paraId="112DFFF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Change w:id="2106" w:author="LV" w:date="2026-07-14T16:44:46Z">
              <w:tcPr>
                <w:tcW w:w="3667" w:type="dxa"/>
                <w:gridSpan w:val="3"/>
                <w:vMerge w:val="continue"/>
                <w:tcBorders>
                  <w:tl2br w:val="nil"/>
                  <w:tr2bl w:val="nil"/>
                </w:tcBorders>
                <w:shd w:val="clear" w:color="auto" w:fill="auto"/>
                <w:tcMar>
                  <w:top w:w="15" w:type="dxa"/>
                  <w:left w:w="15" w:type="dxa"/>
                  <w:right w:w="15" w:type="dxa"/>
                </w:tcMar>
                <w:vAlign w:val="center"/>
              </w:tcPr>
            </w:tcPrChange>
          </w:tcPr>
          <w:p w14:paraId="5BB0140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Change w:id="2107" w:author="LV" w:date="2026-07-14T16:44:46Z">
              <w:tcPr>
                <w:tcW w:w="4082" w:type="dxa"/>
                <w:gridSpan w:val="3"/>
                <w:vMerge w:val="continue"/>
                <w:tcBorders>
                  <w:tl2br w:val="nil"/>
                  <w:tr2bl w:val="nil"/>
                </w:tcBorders>
                <w:shd w:val="clear" w:color="auto" w:fill="auto"/>
                <w:tcMar>
                  <w:top w:w="15" w:type="dxa"/>
                  <w:left w:w="15" w:type="dxa"/>
                  <w:right w:w="15" w:type="dxa"/>
                </w:tcMar>
                <w:vAlign w:val="center"/>
              </w:tcPr>
            </w:tcPrChange>
          </w:tcPr>
          <w:p w14:paraId="75BE01F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Change w:id="2108" w:author="LV" w:date="2026-07-14T16:44:46Z">
              <w:tcPr>
                <w:tcW w:w="459" w:type="dxa"/>
                <w:gridSpan w:val="3"/>
                <w:tcBorders>
                  <w:tl2br w:val="nil"/>
                  <w:tr2bl w:val="nil"/>
                </w:tcBorders>
                <w:shd w:val="clear" w:color="auto" w:fill="auto"/>
                <w:noWrap/>
                <w:tcMar>
                  <w:top w:w="15" w:type="dxa"/>
                  <w:left w:w="15" w:type="dxa"/>
                  <w:right w:w="15" w:type="dxa"/>
                </w:tcMar>
                <w:vAlign w:val="center"/>
              </w:tcPr>
            </w:tcPrChange>
          </w:tcPr>
          <w:p w14:paraId="17ED2B9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left"/>
              <w:textAlignment w:val="center"/>
              <w:rPr>
                <w:rFonts w:hint="eastAsia" w:ascii="仿宋_GB2312" w:hAnsi="宋体" w:eastAsia="仿宋_GB2312" w:cs="仿宋_GB2312"/>
                <w:kern w:val="0"/>
                <w:sz w:val="18"/>
                <w:szCs w:val="18"/>
                <w:lang w:bidi="ar"/>
                <w:rPrChange w:id="2110" w:author="LV" w:date="2026-07-14T16:44:33Z">
                  <w:rPr>
                    <w:rFonts w:ascii="仿宋_GB2312" w:hAnsi="宋体" w:eastAsia="仿宋_GB2312" w:cs="仿宋_GB2312"/>
                    <w:sz w:val="18"/>
                    <w:szCs w:val="18"/>
                  </w:rPr>
                </w:rPrChange>
              </w:rPr>
              <w:pPrChange w:id="2109" w:author="LV" w:date="2026-07-14T16:44:33Z">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pPr>
              </w:pPrChange>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Change w:id="2111" w:author="LV" w:date="2026-07-14T16:44:46Z">
              <w:tcPr>
                <w:tcW w:w="1829" w:type="dxa"/>
                <w:gridSpan w:val="3"/>
                <w:tcBorders>
                  <w:tl2br w:val="nil"/>
                  <w:tr2bl w:val="nil"/>
                </w:tcBorders>
                <w:shd w:val="clear" w:color="auto" w:fill="auto"/>
                <w:tcMar>
                  <w:top w:w="15" w:type="dxa"/>
                  <w:left w:w="15" w:type="dxa"/>
                  <w:right w:w="15" w:type="dxa"/>
                </w:tcMar>
                <w:vAlign w:val="center"/>
              </w:tcPr>
            </w:tcPrChange>
          </w:tcPr>
          <w:p w14:paraId="1D5E895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Change w:id="2112" w:author="LV" w:date="2026-07-14T16:44:33Z">
                  <w:rPr>
                    <w:rFonts w:ascii="仿宋_GB2312" w:hAnsi="宋体" w:eastAsia="仿宋_GB2312" w:cs="仿宋_GB2312"/>
                    <w:color w:val="FF0000"/>
                    <w:sz w:val="18"/>
                    <w:szCs w:val="18"/>
                  </w:rPr>
                </w:rPrChange>
              </w:rPr>
            </w:pPr>
            <w:r>
              <w:rPr>
                <w:rFonts w:hint="eastAsia" w:ascii="仿宋_GB2312" w:hAnsi="宋体" w:eastAsia="仿宋_GB2312" w:cs="仿宋_GB2312"/>
                <w:color w:val="auto"/>
                <w:kern w:val="0"/>
                <w:sz w:val="18"/>
                <w:szCs w:val="18"/>
                <w:lang w:bidi="ar"/>
                <w:rPrChange w:id="2113" w:author="LV" w:date="2026-07-14T16:44:33Z">
                  <w:rPr>
                    <w:rFonts w:hint="eastAsia" w:ascii="仿宋_GB2312" w:hAnsi="宋体" w:eastAsia="仿宋_GB2312" w:cs="仿宋_GB2312"/>
                    <w:color w:val="FF0000"/>
                    <w:kern w:val="0"/>
                    <w:sz w:val="18"/>
                    <w:szCs w:val="18"/>
                    <w:lang w:bidi="ar"/>
                  </w:rPr>
                </w:rPrChange>
              </w:rPr>
              <w:t>关闭、破坏2台（套或处）直接关系生产安全的监控、报警、防护、救生设备、设施，逾期未改正</w:t>
            </w:r>
            <w:r>
              <w:rPr>
                <w:rFonts w:hint="eastAsia" w:ascii="仿宋_GB2312" w:hAnsi="宋体" w:eastAsia="仿宋_GB2312" w:cs="仿宋_GB2312"/>
                <w:color w:val="auto"/>
                <w:kern w:val="0"/>
                <w:sz w:val="18"/>
                <w:szCs w:val="18"/>
                <w:lang w:val="en-US" w:eastAsia="zh-CN" w:bidi="ar"/>
                <w:rPrChange w:id="2114" w:author="LV" w:date="2026-07-14T16:44:33Z">
                  <w:rPr>
                    <w:rFonts w:hint="eastAsia" w:ascii="仿宋_GB2312" w:hAnsi="宋体" w:eastAsia="仿宋_GB2312" w:cs="仿宋_GB2312"/>
                    <w:color w:val="FF0000"/>
                    <w:kern w:val="0"/>
                    <w:sz w:val="18"/>
                    <w:szCs w:val="18"/>
                    <w:lang w:val="en-US" w:eastAsia="zh-CN" w:bidi="ar"/>
                  </w:rPr>
                </w:rPrChange>
              </w:rPr>
              <w:t>1台以上</w:t>
            </w:r>
            <w:r>
              <w:rPr>
                <w:rFonts w:hint="eastAsia" w:ascii="仿宋_GB2312" w:hAnsi="宋体" w:eastAsia="仿宋_GB2312" w:cs="仿宋_GB2312"/>
                <w:color w:val="auto"/>
                <w:kern w:val="0"/>
                <w:sz w:val="18"/>
                <w:szCs w:val="18"/>
                <w:lang w:bidi="ar"/>
                <w:rPrChange w:id="2115" w:author="LV" w:date="2026-07-14T16:44:33Z">
                  <w:rPr>
                    <w:rFonts w:hint="eastAsia" w:ascii="仿宋_GB2312" w:hAnsi="宋体" w:eastAsia="仿宋_GB2312" w:cs="仿宋_GB2312"/>
                    <w:color w:val="FF0000"/>
                    <w:kern w:val="0"/>
                    <w:sz w:val="18"/>
                    <w:szCs w:val="18"/>
                    <w:lang w:bidi="ar"/>
                  </w:rPr>
                </w:rPrChange>
              </w:rPr>
              <w:t>的。</w:t>
            </w:r>
          </w:p>
        </w:tc>
        <w:tc>
          <w:tcPr>
            <w:tcW w:w="2655" w:type="dxa"/>
            <w:tcBorders>
              <w:tl2br w:val="nil"/>
              <w:tr2bl w:val="nil"/>
            </w:tcBorders>
            <w:shd w:val="clear" w:color="auto" w:fill="auto"/>
            <w:tcMar>
              <w:top w:w="15" w:type="dxa"/>
              <w:left w:w="15" w:type="dxa"/>
              <w:right w:w="15" w:type="dxa"/>
            </w:tcMar>
            <w:vAlign w:val="center"/>
            <w:tcPrChange w:id="2116" w:author="LV" w:date="2026-07-14T16:44:46Z">
              <w:tcPr>
                <w:tcW w:w="2655" w:type="dxa"/>
                <w:gridSpan w:val="3"/>
                <w:tcBorders>
                  <w:tl2br w:val="nil"/>
                  <w:tr2bl w:val="nil"/>
                </w:tcBorders>
                <w:shd w:val="clear" w:color="auto" w:fill="auto"/>
                <w:tcMar>
                  <w:top w:w="15" w:type="dxa"/>
                  <w:left w:w="15" w:type="dxa"/>
                  <w:right w:w="15" w:type="dxa"/>
                </w:tcMar>
                <w:vAlign w:val="center"/>
              </w:tcPr>
            </w:tcPrChange>
          </w:tcPr>
          <w:p w14:paraId="6B36C00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Change w:id="2117" w:author="LV" w:date="2026-07-14T16:44:33Z">
                  <w:rPr>
                    <w:rFonts w:ascii="仿宋_GB2312" w:hAnsi="宋体" w:eastAsia="仿宋_GB2312" w:cs="仿宋_GB2312"/>
                    <w:color w:val="FF0000"/>
                    <w:sz w:val="18"/>
                    <w:szCs w:val="18"/>
                  </w:rPr>
                </w:rPrChange>
              </w:rPr>
            </w:pPr>
            <w:r>
              <w:rPr>
                <w:rFonts w:hint="eastAsia" w:ascii="仿宋_GB2312" w:hAnsi="宋体" w:eastAsia="仿宋_GB2312" w:cs="仿宋_GB2312"/>
                <w:color w:val="auto"/>
                <w:kern w:val="0"/>
                <w:sz w:val="18"/>
                <w:szCs w:val="18"/>
                <w:lang w:bidi="ar"/>
                <w:rPrChange w:id="2118" w:author="LV" w:date="2026-07-14T16:44:33Z">
                  <w:rPr>
                    <w:rFonts w:hint="eastAsia" w:ascii="仿宋_GB2312" w:hAnsi="宋体" w:eastAsia="仿宋_GB2312" w:cs="仿宋_GB2312"/>
                    <w:color w:val="FF0000"/>
                    <w:kern w:val="0"/>
                    <w:sz w:val="18"/>
                    <w:szCs w:val="18"/>
                    <w:lang w:bidi="ar"/>
                  </w:rPr>
                </w:rPrChange>
              </w:rPr>
              <w:t>对煤矿处10万元以上15万元以下的罚款，对其直接负责的主管人员处1.3万元以上1.8万元以下的罚款。</w:t>
            </w:r>
          </w:p>
        </w:tc>
      </w:tr>
      <w:tr w14:paraId="55D469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8945F4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974A67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146DDB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5CB67C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641866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left"/>
              <w:textAlignment w:val="center"/>
              <w:rPr>
                <w:rFonts w:hint="eastAsia" w:ascii="仿宋_GB2312" w:hAnsi="宋体" w:eastAsia="仿宋_GB2312" w:cs="仿宋_GB2312"/>
                <w:kern w:val="0"/>
                <w:sz w:val="18"/>
                <w:szCs w:val="18"/>
                <w:lang w:bidi="ar"/>
                <w:rPrChange w:id="2120" w:author="LV" w:date="2026-07-14T16:44:33Z">
                  <w:rPr>
                    <w:rFonts w:ascii="仿宋_GB2312" w:hAnsi="宋体" w:eastAsia="仿宋_GB2312" w:cs="仿宋_GB2312"/>
                    <w:sz w:val="18"/>
                    <w:szCs w:val="18"/>
                  </w:rPr>
                </w:rPrChange>
              </w:rPr>
              <w:pPrChange w:id="2119" w:author="LV" w:date="2026-07-14T16:44:33Z">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pPr>
              </w:pPrChange>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07138A1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Change w:id="2121" w:author="LV" w:date="2026-07-14T16:44:33Z">
                  <w:rPr>
                    <w:rFonts w:hint="eastAsia" w:ascii="仿宋_GB2312" w:hAnsi="宋体" w:eastAsia="仿宋_GB2312" w:cs="仿宋_GB2312"/>
                    <w:color w:val="FF0000"/>
                    <w:kern w:val="0"/>
                    <w:sz w:val="18"/>
                    <w:szCs w:val="18"/>
                    <w:lang w:bidi="ar"/>
                  </w:rPr>
                </w:rPrChange>
              </w:rPr>
            </w:pPr>
            <w:r>
              <w:rPr>
                <w:rFonts w:hint="eastAsia" w:ascii="仿宋_GB2312" w:hAnsi="宋体" w:eastAsia="仿宋_GB2312" w:cs="仿宋_GB2312"/>
                <w:color w:val="auto"/>
                <w:kern w:val="0"/>
                <w:sz w:val="18"/>
                <w:szCs w:val="18"/>
                <w:lang w:val="en-US" w:eastAsia="zh-CN" w:bidi="ar"/>
                <w:rPrChange w:id="2122" w:author="LV" w:date="2026-07-14T16:44:33Z">
                  <w:rPr>
                    <w:rFonts w:hint="eastAsia" w:ascii="仿宋_GB2312" w:hAnsi="宋体" w:eastAsia="仿宋_GB2312" w:cs="仿宋_GB2312"/>
                    <w:color w:val="FF0000"/>
                    <w:kern w:val="0"/>
                    <w:sz w:val="18"/>
                    <w:szCs w:val="18"/>
                    <w:lang w:val="en-US" w:eastAsia="zh-CN" w:bidi="ar"/>
                  </w:rPr>
                </w:rPrChange>
              </w:rPr>
              <w:t>①</w:t>
            </w:r>
            <w:r>
              <w:rPr>
                <w:rFonts w:hint="eastAsia" w:ascii="仿宋_GB2312" w:hAnsi="宋体" w:eastAsia="仿宋_GB2312" w:cs="仿宋_GB2312"/>
                <w:color w:val="auto"/>
                <w:kern w:val="0"/>
                <w:sz w:val="18"/>
                <w:szCs w:val="18"/>
                <w:lang w:bidi="ar"/>
                <w:rPrChange w:id="2123" w:author="LV" w:date="2026-07-14T16:44:33Z">
                  <w:rPr>
                    <w:rFonts w:hint="eastAsia" w:ascii="仿宋_GB2312" w:hAnsi="宋体" w:eastAsia="仿宋_GB2312" w:cs="仿宋_GB2312"/>
                    <w:color w:val="FF0000"/>
                    <w:kern w:val="0"/>
                    <w:sz w:val="18"/>
                    <w:szCs w:val="18"/>
                    <w:lang w:bidi="ar"/>
                  </w:rPr>
                </w:rPrChange>
              </w:rPr>
              <w:t>关闭、破坏3台（套或处）以上直接关系生产安全的监控、报警、防护、救生设备、设施，逾期未改正</w:t>
            </w:r>
            <w:r>
              <w:rPr>
                <w:rFonts w:hint="eastAsia" w:ascii="仿宋_GB2312" w:hAnsi="宋体" w:eastAsia="仿宋_GB2312" w:cs="仿宋_GB2312"/>
                <w:color w:val="auto"/>
                <w:kern w:val="0"/>
                <w:sz w:val="18"/>
                <w:szCs w:val="18"/>
                <w:lang w:val="en-US" w:eastAsia="zh-CN" w:bidi="ar"/>
                <w:rPrChange w:id="2124" w:author="LV" w:date="2026-07-14T16:44:33Z">
                  <w:rPr>
                    <w:rFonts w:hint="eastAsia" w:ascii="仿宋_GB2312" w:hAnsi="宋体" w:eastAsia="仿宋_GB2312" w:cs="仿宋_GB2312"/>
                    <w:color w:val="FF0000"/>
                    <w:kern w:val="0"/>
                    <w:sz w:val="18"/>
                    <w:szCs w:val="18"/>
                    <w:lang w:val="en-US" w:eastAsia="zh-CN" w:bidi="ar"/>
                  </w:rPr>
                </w:rPrChange>
              </w:rPr>
              <w:t>1台以上</w:t>
            </w:r>
            <w:r>
              <w:rPr>
                <w:rFonts w:hint="eastAsia" w:ascii="仿宋_GB2312" w:hAnsi="宋体" w:eastAsia="仿宋_GB2312" w:cs="仿宋_GB2312"/>
                <w:color w:val="auto"/>
                <w:kern w:val="0"/>
                <w:sz w:val="18"/>
                <w:szCs w:val="18"/>
                <w:lang w:bidi="ar"/>
                <w:rPrChange w:id="2125" w:author="LV" w:date="2026-07-14T16:44:33Z">
                  <w:rPr>
                    <w:rFonts w:hint="eastAsia" w:ascii="仿宋_GB2312" w:hAnsi="宋体" w:eastAsia="仿宋_GB2312" w:cs="仿宋_GB2312"/>
                    <w:color w:val="FF0000"/>
                    <w:kern w:val="0"/>
                    <w:sz w:val="18"/>
                    <w:szCs w:val="18"/>
                    <w:lang w:bidi="ar"/>
                  </w:rPr>
                </w:rPrChange>
              </w:rPr>
              <w:t>的</w:t>
            </w:r>
            <w:r>
              <w:rPr>
                <w:rFonts w:hint="eastAsia" w:ascii="仿宋_GB2312" w:hAnsi="宋体" w:eastAsia="仿宋_GB2312" w:cs="仿宋_GB2312"/>
                <w:color w:val="auto"/>
                <w:kern w:val="0"/>
                <w:sz w:val="18"/>
                <w:szCs w:val="18"/>
                <w:lang w:eastAsia="zh-CN" w:bidi="ar"/>
                <w:rPrChange w:id="2126" w:author="LV" w:date="2026-07-14T16:44:33Z">
                  <w:rPr>
                    <w:rFonts w:hint="eastAsia" w:ascii="仿宋_GB2312" w:hAnsi="宋体" w:eastAsia="仿宋_GB2312" w:cs="仿宋_GB2312"/>
                    <w:color w:val="FF0000"/>
                    <w:kern w:val="0"/>
                    <w:sz w:val="18"/>
                    <w:szCs w:val="18"/>
                    <w:lang w:eastAsia="zh-CN" w:bidi="ar"/>
                  </w:rPr>
                </w:rPrChange>
              </w:rPr>
              <w:t>。</w:t>
            </w:r>
          </w:p>
          <w:p w14:paraId="4AD936B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Change w:id="2127" w:author="LV" w:date="2026-07-14T16:44:33Z">
                  <w:rPr>
                    <w:rFonts w:ascii="仿宋_GB2312" w:hAnsi="宋体" w:eastAsia="仿宋_GB2312" w:cs="仿宋_GB2312"/>
                    <w:color w:val="FF0000"/>
                    <w:sz w:val="18"/>
                    <w:szCs w:val="18"/>
                  </w:rPr>
                </w:rPrChange>
              </w:rPr>
            </w:pPr>
            <w:r>
              <w:rPr>
                <w:rFonts w:hint="eastAsia" w:ascii="仿宋_GB2312" w:hAnsi="宋体" w:eastAsia="仿宋_GB2312" w:cs="仿宋_GB2312"/>
                <w:color w:val="auto"/>
                <w:kern w:val="0"/>
                <w:sz w:val="18"/>
                <w:szCs w:val="18"/>
                <w:lang w:val="en-US" w:eastAsia="zh-CN" w:bidi="ar"/>
                <w:rPrChange w:id="2128" w:author="LV" w:date="2026-07-14T16:44:33Z">
                  <w:rPr>
                    <w:rFonts w:hint="eastAsia" w:ascii="仿宋_GB2312" w:hAnsi="宋体" w:eastAsia="仿宋_GB2312" w:cs="仿宋_GB2312"/>
                    <w:color w:val="FF0000"/>
                    <w:kern w:val="0"/>
                    <w:sz w:val="18"/>
                    <w:szCs w:val="18"/>
                    <w:lang w:val="en-US" w:eastAsia="zh-CN" w:bidi="ar"/>
                  </w:rPr>
                </w:rPrChange>
              </w:rPr>
              <w:t>②</w:t>
            </w:r>
            <w:r>
              <w:rPr>
                <w:rFonts w:hint="eastAsia" w:ascii="仿宋_GB2312" w:hAnsi="宋体" w:eastAsia="仿宋_GB2312" w:cs="仿宋_GB2312"/>
                <w:color w:val="auto"/>
                <w:kern w:val="0"/>
                <w:sz w:val="18"/>
                <w:szCs w:val="18"/>
                <w:lang w:bidi="ar"/>
                <w:rPrChange w:id="2129" w:author="LV" w:date="2026-07-14T16:44:33Z">
                  <w:rPr>
                    <w:rFonts w:hint="eastAsia" w:ascii="仿宋_GB2312" w:hAnsi="宋体" w:eastAsia="仿宋_GB2312" w:cs="仿宋_GB2312"/>
                    <w:color w:val="FF0000"/>
                    <w:kern w:val="0"/>
                    <w:sz w:val="18"/>
                    <w:szCs w:val="18"/>
                    <w:lang w:bidi="ar"/>
                  </w:rPr>
                </w:rPrChange>
              </w:rPr>
              <w:t>情节严重的。</w:t>
            </w:r>
          </w:p>
        </w:tc>
        <w:tc>
          <w:tcPr>
            <w:tcW w:w="2655" w:type="dxa"/>
            <w:tcBorders>
              <w:tl2br w:val="nil"/>
              <w:tr2bl w:val="nil"/>
            </w:tcBorders>
            <w:shd w:val="clear" w:color="auto" w:fill="auto"/>
            <w:tcMar>
              <w:top w:w="15" w:type="dxa"/>
              <w:left w:w="15" w:type="dxa"/>
              <w:right w:w="15" w:type="dxa"/>
            </w:tcMar>
            <w:vAlign w:val="center"/>
          </w:tcPr>
          <w:p w14:paraId="613325D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Change w:id="2130" w:author="LV" w:date="2026-07-14T16:44:33Z">
                  <w:rPr>
                    <w:rFonts w:hint="eastAsia" w:ascii="仿宋_GB2312" w:hAnsi="宋体" w:eastAsia="仿宋_GB2312" w:cs="仿宋_GB2312"/>
                    <w:color w:val="FF0000"/>
                    <w:kern w:val="0"/>
                    <w:sz w:val="18"/>
                    <w:szCs w:val="18"/>
                    <w:lang w:bidi="ar"/>
                  </w:rPr>
                </w:rPrChange>
              </w:rPr>
            </w:pPr>
            <w:r>
              <w:rPr>
                <w:rFonts w:hint="eastAsia" w:ascii="仿宋_GB2312" w:hAnsi="宋体" w:eastAsia="仿宋_GB2312" w:cs="仿宋_GB2312"/>
                <w:color w:val="auto"/>
                <w:kern w:val="0"/>
                <w:sz w:val="18"/>
                <w:szCs w:val="18"/>
                <w:lang w:bidi="ar"/>
                <w:rPrChange w:id="2131" w:author="LV" w:date="2026-07-14T16:44:33Z">
                  <w:rPr>
                    <w:rFonts w:hint="eastAsia" w:ascii="仿宋_GB2312" w:hAnsi="宋体" w:eastAsia="仿宋_GB2312" w:cs="仿宋_GB2312"/>
                    <w:color w:val="FF0000"/>
                    <w:kern w:val="0"/>
                    <w:sz w:val="18"/>
                    <w:szCs w:val="18"/>
                    <w:lang w:bidi="ar"/>
                  </w:rPr>
                </w:rPrChange>
              </w:rPr>
              <w:t>对煤矿处15万元以上20万元以下的罚款，对其直接负责的主管人员和其他直接责任人员处1.8万元以上2万元以下的罚款。</w:t>
            </w:r>
          </w:p>
          <w:p w14:paraId="185EBAE5">
            <w:pPr>
              <w:keepNext w:val="0"/>
              <w:keepLines w:val="0"/>
              <w:pageBreakBefore w:val="0"/>
              <w:widowControl w:val="0"/>
              <w:kinsoku/>
              <w:wordWrap/>
              <w:overflowPunct w:val="0"/>
              <w:topLinePunct w:val="0"/>
              <w:autoSpaceDE/>
              <w:autoSpaceDN/>
              <w:bidi w:val="0"/>
              <w:adjustRightInd/>
              <w:snapToGrid/>
              <w:spacing w:line="280" w:lineRule="exact"/>
              <w:textAlignment w:val="center"/>
              <w:rPr>
                <w:del w:id="2132" w:author="LV" w:date="2026-07-14T16:44:57Z"/>
                <w:rFonts w:hint="eastAsia" w:ascii="仿宋_GB2312" w:hAnsi="宋体" w:eastAsia="仿宋_GB2312" w:cs="仿宋_GB2312"/>
                <w:color w:val="auto"/>
                <w:kern w:val="0"/>
                <w:sz w:val="18"/>
                <w:szCs w:val="18"/>
                <w:lang w:bidi="ar"/>
                <w:rPrChange w:id="2133" w:author="LV" w:date="2026-07-14T16:44:33Z">
                  <w:rPr>
                    <w:del w:id="2134" w:author="LV" w:date="2026-07-14T16:44:57Z"/>
                    <w:rFonts w:hint="eastAsia" w:ascii="仿宋_GB2312" w:hAnsi="宋体" w:eastAsia="仿宋_GB2312" w:cs="仿宋_GB2312"/>
                    <w:color w:val="FF0000"/>
                    <w:kern w:val="0"/>
                    <w:sz w:val="18"/>
                    <w:szCs w:val="18"/>
                    <w:lang w:bidi="ar"/>
                  </w:rPr>
                </w:rPrChange>
              </w:rPr>
            </w:pPr>
            <w:r>
              <w:rPr>
                <w:rFonts w:hint="eastAsia" w:ascii="仿宋_GB2312" w:hAnsi="宋体" w:eastAsia="仿宋_GB2312" w:cs="仿宋_GB2312"/>
                <w:color w:val="auto"/>
                <w:kern w:val="0"/>
                <w:sz w:val="18"/>
                <w:szCs w:val="18"/>
                <w:lang w:val="en-US" w:eastAsia="zh-CN" w:bidi="ar"/>
                <w:rPrChange w:id="2135" w:author="LV" w:date="2026-07-14T16:44:33Z">
                  <w:rPr>
                    <w:rFonts w:hint="eastAsia" w:ascii="仿宋_GB2312" w:hAnsi="宋体" w:eastAsia="仿宋_GB2312" w:cs="仿宋_GB2312"/>
                    <w:color w:val="FF0000"/>
                    <w:kern w:val="0"/>
                    <w:sz w:val="18"/>
                    <w:szCs w:val="18"/>
                    <w:lang w:val="en-US" w:eastAsia="zh-CN" w:bidi="ar"/>
                  </w:rPr>
                </w:rPrChange>
              </w:rPr>
              <w:t>②</w:t>
            </w:r>
            <w:r>
              <w:rPr>
                <w:rFonts w:hint="eastAsia" w:ascii="仿宋_GB2312" w:hAnsi="宋体" w:eastAsia="仿宋_GB2312" w:cs="仿宋_GB2312"/>
                <w:color w:val="auto"/>
                <w:kern w:val="0"/>
                <w:sz w:val="18"/>
                <w:szCs w:val="18"/>
                <w:lang w:bidi="ar"/>
                <w:rPrChange w:id="2136" w:author="LV" w:date="2026-07-14T16:44:33Z">
                  <w:rPr>
                    <w:rFonts w:hint="eastAsia" w:ascii="仿宋_GB2312" w:hAnsi="宋体" w:eastAsia="仿宋_GB2312" w:cs="仿宋_GB2312"/>
                    <w:color w:val="FF0000"/>
                    <w:kern w:val="0"/>
                    <w:sz w:val="18"/>
                    <w:szCs w:val="18"/>
                    <w:lang w:bidi="ar"/>
                  </w:rPr>
                </w:rPrChange>
              </w:rPr>
              <w:t>情节严重的</w:t>
            </w:r>
            <w:r>
              <w:rPr>
                <w:rFonts w:hint="eastAsia" w:ascii="仿宋_GB2312" w:hAnsi="宋体" w:eastAsia="仿宋_GB2312" w:cs="仿宋_GB2312"/>
                <w:color w:val="auto"/>
                <w:kern w:val="0"/>
                <w:sz w:val="18"/>
                <w:szCs w:val="18"/>
                <w:lang w:eastAsia="zh-CN" w:bidi="ar"/>
                <w:rPrChange w:id="2137" w:author="LV" w:date="2026-07-14T16:44:33Z">
                  <w:rPr>
                    <w:rFonts w:hint="eastAsia" w:ascii="仿宋_GB2312" w:hAnsi="宋体" w:eastAsia="仿宋_GB2312" w:cs="仿宋_GB2312"/>
                    <w:color w:val="FF0000"/>
                    <w:kern w:val="0"/>
                    <w:sz w:val="18"/>
                    <w:szCs w:val="18"/>
                    <w:lang w:eastAsia="zh-CN" w:bidi="ar"/>
                  </w:rPr>
                </w:rPrChange>
              </w:rPr>
              <w:t>，</w:t>
            </w:r>
            <w:r>
              <w:rPr>
                <w:rFonts w:hint="eastAsia" w:ascii="仿宋_GB2312" w:hAnsi="宋体" w:eastAsia="仿宋_GB2312" w:cs="仿宋_GB2312"/>
                <w:color w:val="auto"/>
                <w:kern w:val="0"/>
                <w:sz w:val="18"/>
                <w:szCs w:val="18"/>
                <w:lang w:bidi="ar"/>
                <w:rPrChange w:id="2138" w:author="LV" w:date="2026-07-14T16:44:33Z">
                  <w:rPr>
                    <w:rFonts w:hint="eastAsia" w:ascii="仿宋_GB2312" w:hAnsi="宋体" w:eastAsia="仿宋_GB2312" w:cs="仿宋_GB2312"/>
                    <w:color w:val="FF0000"/>
                    <w:kern w:val="0"/>
                    <w:sz w:val="18"/>
                    <w:szCs w:val="18"/>
                    <w:lang w:bidi="ar"/>
                  </w:rPr>
                </w:rPrChange>
              </w:rPr>
              <w:t>责令煤矿停产停业整顿</w:t>
            </w:r>
            <w:r>
              <w:rPr>
                <w:rFonts w:hint="eastAsia" w:ascii="仿宋_GB2312" w:hAnsi="宋体" w:eastAsia="仿宋_GB2312" w:cs="仿宋_GB2312"/>
                <w:color w:val="auto"/>
                <w:kern w:val="0"/>
                <w:sz w:val="18"/>
                <w:szCs w:val="18"/>
                <w:lang w:eastAsia="zh-CN" w:bidi="ar"/>
                <w:rPrChange w:id="2139" w:author="LV" w:date="2026-07-14T16:44:33Z">
                  <w:rPr>
                    <w:rFonts w:hint="eastAsia" w:ascii="仿宋_GB2312" w:hAnsi="宋体" w:eastAsia="仿宋_GB2312" w:cs="仿宋_GB2312"/>
                    <w:color w:val="FF0000"/>
                    <w:kern w:val="0"/>
                    <w:sz w:val="18"/>
                    <w:szCs w:val="18"/>
                    <w:lang w:eastAsia="zh-CN" w:bidi="ar"/>
                  </w:rPr>
                </w:rPrChange>
              </w:rPr>
              <w:t>，</w:t>
            </w:r>
            <w:r>
              <w:rPr>
                <w:rFonts w:hint="eastAsia" w:ascii="仿宋_GB2312" w:hAnsi="宋体" w:eastAsia="仿宋_GB2312" w:cs="仿宋_GB2312"/>
                <w:color w:val="auto"/>
                <w:kern w:val="0"/>
                <w:sz w:val="18"/>
                <w:szCs w:val="18"/>
                <w:lang w:bidi="ar"/>
                <w:rPrChange w:id="2140" w:author="LV" w:date="2026-07-14T16:44:33Z">
                  <w:rPr>
                    <w:rFonts w:hint="eastAsia" w:ascii="仿宋_GB2312" w:hAnsi="宋体" w:eastAsia="仿宋_GB2312" w:cs="仿宋_GB2312"/>
                    <w:color w:val="FF0000"/>
                    <w:kern w:val="0"/>
                    <w:sz w:val="18"/>
                    <w:szCs w:val="18"/>
                    <w:lang w:bidi="ar"/>
                  </w:rPr>
                </w:rPrChange>
              </w:rPr>
              <w:t>处15万元以上20万元以下的罚款，对其直接负责的主管人员和其他直接责任人员处1.8万元以上2万元以下的罚款。</w:t>
            </w:r>
          </w:p>
          <w:p w14:paraId="11FC9EA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Change w:id="2141" w:author="LV" w:date="2026-07-14T16:44:33Z">
                  <w:rPr>
                    <w:rFonts w:ascii="仿宋_GB2312" w:hAnsi="宋体" w:eastAsia="仿宋_GB2312" w:cs="仿宋_GB2312"/>
                    <w:color w:val="FF0000"/>
                    <w:sz w:val="18"/>
                    <w:szCs w:val="18"/>
                  </w:rPr>
                </w:rPrChange>
              </w:rPr>
            </w:pPr>
            <w:del w:id="2142" w:author="LV" w:date="2026-07-14T16:44:56Z">
              <w:r>
                <w:rPr>
                  <w:rFonts w:hint="eastAsia" w:ascii="仿宋_GB2312" w:hAnsi="宋体" w:eastAsia="仿宋_GB2312" w:cs="仿宋_GB2312"/>
                  <w:color w:val="auto"/>
                  <w:kern w:val="0"/>
                  <w:sz w:val="18"/>
                  <w:szCs w:val="18"/>
                  <w:lang w:bidi="ar"/>
                  <w:rPrChange w:id="2143" w:author="LV" w:date="2026-07-14T16:44:33Z">
                    <w:rPr>
                      <w:rFonts w:hint="eastAsia" w:ascii="仿宋_GB2312" w:hAnsi="宋体" w:eastAsia="仿宋_GB2312" w:cs="仿宋_GB2312"/>
                      <w:color w:val="FF0000"/>
                      <w:kern w:val="0"/>
                      <w:sz w:val="18"/>
                      <w:szCs w:val="18"/>
                      <w:lang w:bidi="ar"/>
                    </w:rPr>
                  </w:rPrChange>
                </w:rPr>
                <w:delText>。</w:delText>
              </w:r>
            </w:del>
          </w:p>
        </w:tc>
      </w:tr>
      <w:tr w14:paraId="74DFE8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6F6F5DE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del w:id="2144" w:author="LV" w:date="2026-07-14T16:45:03Z">
              <w:r>
                <w:rPr>
                  <w:rFonts w:hint="default" w:ascii="仿宋_GB2312" w:hAnsi="宋体" w:eastAsia="仿宋_GB2312" w:cs="仿宋_GB2312"/>
                  <w:kern w:val="0"/>
                  <w:sz w:val="18"/>
                  <w:szCs w:val="18"/>
                  <w:lang w:val="en-US" w:bidi="ar"/>
                </w:rPr>
                <w:delText>9</w:delText>
              </w:r>
            </w:del>
            <w:del w:id="2145" w:author="LV" w:date="2026-07-14T16:45:03Z">
              <w:r>
                <w:rPr>
                  <w:rFonts w:hint="default" w:ascii="仿宋_GB2312" w:hAnsi="宋体" w:eastAsia="仿宋_GB2312" w:cs="仿宋_GB2312"/>
                  <w:kern w:val="0"/>
                  <w:sz w:val="18"/>
                  <w:szCs w:val="18"/>
                  <w:lang w:val="en-US" w:eastAsia="zh-CN" w:bidi="ar"/>
                </w:rPr>
                <w:delText>9</w:delText>
              </w:r>
            </w:del>
            <w:ins w:id="2146" w:author="LV" w:date="2026-07-14T16:45:03Z">
              <w:r>
                <w:rPr>
                  <w:rFonts w:hint="eastAsia" w:ascii="仿宋_GB2312" w:hAnsi="宋体" w:eastAsia="仿宋_GB2312" w:cs="仿宋_GB2312"/>
                  <w:kern w:val="0"/>
                  <w:sz w:val="18"/>
                  <w:szCs w:val="18"/>
                  <w:lang w:val="en-US" w:eastAsia="zh-CN" w:bidi="ar"/>
                </w:rPr>
                <w:t>106</w:t>
              </w:r>
            </w:ins>
          </w:p>
        </w:tc>
        <w:tc>
          <w:tcPr>
            <w:tcW w:w="1005" w:type="dxa"/>
            <w:vMerge w:val="restart"/>
            <w:tcBorders>
              <w:tl2br w:val="nil"/>
              <w:tr2bl w:val="nil"/>
            </w:tcBorders>
            <w:shd w:val="clear" w:color="auto" w:fill="auto"/>
            <w:tcMar>
              <w:top w:w="15" w:type="dxa"/>
              <w:left w:w="15" w:type="dxa"/>
              <w:right w:w="15" w:type="dxa"/>
            </w:tcMar>
            <w:vAlign w:val="center"/>
          </w:tcPr>
          <w:p w14:paraId="29B0BAA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煤矿篡改、隐瞒、销毁直接关系生产安全的监控、报警、防护、救生设备、设施相关数据、信息的</w:t>
            </w:r>
          </w:p>
        </w:tc>
        <w:tc>
          <w:tcPr>
            <w:tcW w:w="3667" w:type="dxa"/>
            <w:vMerge w:val="restart"/>
            <w:tcBorders>
              <w:tl2br w:val="nil"/>
              <w:tr2bl w:val="nil"/>
            </w:tcBorders>
            <w:shd w:val="clear" w:color="auto" w:fill="auto"/>
            <w:tcMar>
              <w:top w:w="15" w:type="dxa"/>
              <w:left w:w="15" w:type="dxa"/>
              <w:right w:w="15" w:type="dxa"/>
            </w:tcMar>
            <w:vAlign w:val="center"/>
          </w:tcPr>
          <w:p w14:paraId="51F5FBC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《安全生产法》第三十六条第三款</w:t>
            </w:r>
            <w:r>
              <w:rPr>
                <w:rFonts w:ascii="仿宋_GB2312" w:hAnsi="宋体" w:eastAsia="仿宋_GB2312" w:cs="仿宋_GB2312"/>
                <w:kern w:val="0"/>
                <w:sz w:val="18"/>
                <w:szCs w:val="18"/>
                <w:lang w:bidi="ar"/>
              </w:rPr>
              <w:t xml:space="preserve"> </w:t>
            </w:r>
            <w:r>
              <w:rPr>
                <w:rFonts w:hint="eastAsia" w:ascii="仿宋_GB2312" w:hAnsi="宋体" w:eastAsia="仿宋_GB2312" w:cs="仿宋_GB2312"/>
                <w:kern w:val="0"/>
                <w:sz w:val="18"/>
                <w:szCs w:val="18"/>
                <w:lang w:bidi="ar"/>
              </w:rPr>
              <w:t>生产经营单位不得关闭、破坏直接关系生产安全的监控、报警、防护、救生设备、设施，或者篡改、隐瞒、销毁其相关数据、信息。</w:t>
            </w:r>
          </w:p>
          <w:p w14:paraId="3CB0ABB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《煤矿安全生产条例》第二十六条第二款  煤矿企业及其有关人员不得关闭、破坏直接关系生产安全的监控、报警、防护、救生设备、设施，或者篡改、隐瞒、销毁其相关数据、信息，不得以任何方式影响其正常使用。</w:t>
            </w:r>
          </w:p>
        </w:tc>
        <w:tc>
          <w:tcPr>
            <w:tcW w:w="4082" w:type="dxa"/>
            <w:vMerge w:val="restart"/>
            <w:tcBorders>
              <w:tl2br w:val="nil"/>
              <w:tr2bl w:val="nil"/>
            </w:tcBorders>
            <w:shd w:val="clear" w:color="auto" w:fill="auto"/>
            <w:tcMar>
              <w:top w:w="15" w:type="dxa"/>
              <w:left w:w="15" w:type="dxa"/>
              <w:right w:w="15" w:type="dxa"/>
            </w:tcMar>
            <w:vAlign w:val="center"/>
          </w:tcPr>
          <w:p w14:paraId="31FF9B5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四）关闭、破坏直接关系生产安全的监控、报警、防护、救生设备、设施，或者篡改、隐瞒、销毁其相关数据、信息的。</w:t>
            </w:r>
          </w:p>
          <w:p w14:paraId="666FFFC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《煤矿安全生产条例》第七十一条  有下列情形之一的，依照《中华人民共和国安全生产法》有关规定予以处罚：（四）煤矿企业违反本条例第二十四条第一款、第二十五条第一款和第二款、第二十六条第二款规定的。</w:t>
            </w:r>
          </w:p>
        </w:tc>
        <w:tc>
          <w:tcPr>
            <w:tcW w:w="459" w:type="dxa"/>
            <w:tcBorders>
              <w:tl2br w:val="nil"/>
              <w:tr2bl w:val="nil"/>
            </w:tcBorders>
            <w:shd w:val="clear" w:color="auto" w:fill="auto"/>
            <w:noWrap/>
            <w:tcMar>
              <w:top w:w="15" w:type="dxa"/>
              <w:left w:w="15" w:type="dxa"/>
              <w:right w:w="15" w:type="dxa"/>
            </w:tcMar>
            <w:vAlign w:val="center"/>
          </w:tcPr>
          <w:p w14:paraId="07C947E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4A242FF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221C55F">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A7297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86E952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49B81F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C42E7E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3486DE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1923BF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7730683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5B6223E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B8C5F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56BA8F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C4BB0C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6765A3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1DD91A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D729C2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7AA1025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31C525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D245F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80B3D0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F04BD3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758D02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6634A0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6DA51D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33BDB33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篡改、隐瞒、销毁直接关系生产安全的监控、报警、防护、救生设备、设施1处相关数据、信息的。</w:t>
            </w:r>
          </w:p>
        </w:tc>
        <w:tc>
          <w:tcPr>
            <w:tcW w:w="2655" w:type="dxa"/>
            <w:tcBorders>
              <w:tl2br w:val="nil"/>
              <w:tr2bl w:val="nil"/>
            </w:tcBorders>
            <w:shd w:val="clear" w:color="auto" w:fill="auto"/>
            <w:tcMar>
              <w:top w:w="15" w:type="dxa"/>
              <w:left w:w="15" w:type="dxa"/>
              <w:right w:w="15" w:type="dxa"/>
            </w:tcMar>
            <w:vAlign w:val="center"/>
          </w:tcPr>
          <w:p w14:paraId="4317695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处2万元以下的罚款。</w:t>
            </w:r>
          </w:p>
        </w:tc>
      </w:tr>
      <w:tr w14:paraId="4F3532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F0C01F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06C413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92DE5E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61BA54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44375C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2CF64A8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Change w:id="2147" w:author="LV" w:date="2026-07-14T15:51:56Z">
                  <w:rPr>
                    <w:rFonts w:ascii="仿宋_GB2312" w:hAnsi="宋体" w:eastAsia="仿宋_GB2312" w:cs="仿宋_GB2312"/>
                    <w:color w:val="FF0000"/>
                    <w:sz w:val="18"/>
                    <w:szCs w:val="18"/>
                  </w:rPr>
                </w:rPrChange>
              </w:rPr>
            </w:pPr>
            <w:r>
              <w:rPr>
                <w:rFonts w:hint="eastAsia" w:ascii="仿宋_GB2312" w:hAnsi="宋体" w:eastAsia="仿宋_GB2312" w:cs="仿宋_GB2312"/>
                <w:color w:val="auto"/>
                <w:kern w:val="0"/>
                <w:sz w:val="18"/>
                <w:szCs w:val="18"/>
                <w:lang w:bidi="ar"/>
                <w:rPrChange w:id="2148" w:author="LV" w:date="2026-07-14T15:51:56Z">
                  <w:rPr>
                    <w:rFonts w:hint="eastAsia" w:ascii="仿宋_GB2312" w:hAnsi="宋体" w:eastAsia="仿宋_GB2312" w:cs="仿宋_GB2312"/>
                    <w:color w:val="FF0000"/>
                    <w:kern w:val="0"/>
                    <w:sz w:val="18"/>
                    <w:szCs w:val="18"/>
                    <w:lang w:bidi="ar"/>
                  </w:rPr>
                </w:rPrChange>
              </w:rPr>
              <w:t>篡改、隐瞒、销毁直接关系生产安全的监控、报警、防护、救生设备、设施2处相关数据、信息的。</w:t>
            </w:r>
          </w:p>
        </w:tc>
        <w:tc>
          <w:tcPr>
            <w:tcW w:w="2655" w:type="dxa"/>
            <w:tcBorders>
              <w:tl2br w:val="nil"/>
              <w:tr2bl w:val="nil"/>
            </w:tcBorders>
            <w:shd w:val="clear" w:color="auto" w:fill="auto"/>
            <w:tcMar>
              <w:top w:w="15" w:type="dxa"/>
              <w:left w:w="15" w:type="dxa"/>
              <w:right w:w="15" w:type="dxa"/>
            </w:tcMar>
            <w:vAlign w:val="center"/>
          </w:tcPr>
          <w:p w14:paraId="06BB3A7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Change w:id="2149" w:author="LV" w:date="2026-07-14T15:51:56Z">
                  <w:rPr>
                    <w:rFonts w:ascii="仿宋_GB2312" w:hAnsi="宋体" w:eastAsia="仿宋_GB2312" w:cs="仿宋_GB2312"/>
                    <w:color w:val="FF0000"/>
                    <w:sz w:val="18"/>
                    <w:szCs w:val="18"/>
                  </w:rPr>
                </w:rPrChange>
              </w:rPr>
            </w:pPr>
            <w:r>
              <w:rPr>
                <w:rFonts w:hint="eastAsia" w:ascii="仿宋_GB2312" w:hAnsi="宋体" w:eastAsia="仿宋_GB2312" w:cs="仿宋_GB2312"/>
                <w:color w:val="auto"/>
                <w:kern w:val="0"/>
                <w:sz w:val="18"/>
                <w:szCs w:val="18"/>
                <w:lang w:bidi="ar"/>
                <w:rPrChange w:id="2150" w:author="LV" w:date="2026-07-14T15:51:56Z">
                  <w:rPr>
                    <w:rFonts w:hint="eastAsia" w:ascii="仿宋_GB2312" w:hAnsi="宋体" w:eastAsia="仿宋_GB2312" w:cs="仿宋_GB2312"/>
                    <w:color w:val="FF0000"/>
                    <w:kern w:val="0"/>
                    <w:sz w:val="18"/>
                    <w:szCs w:val="18"/>
                    <w:lang w:bidi="ar"/>
                  </w:rPr>
                </w:rPrChange>
              </w:rPr>
              <w:t>处2万元以上4万元以下的罚款。</w:t>
            </w:r>
          </w:p>
        </w:tc>
      </w:tr>
      <w:tr w14:paraId="754BF5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A40318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DC3EB8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C7B997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A8F170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B4DEA6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001B790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eastAsia="zh-CN" w:bidi="ar"/>
                <w:rPrChange w:id="2151" w:author="LV" w:date="2026-07-14T15:51:56Z">
                  <w:rPr>
                    <w:rFonts w:hint="eastAsia" w:ascii="仿宋_GB2312" w:hAnsi="宋体" w:eastAsia="仿宋_GB2312" w:cs="仿宋_GB2312"/>
                    <w:color w:val="FF0000"/>
                    <w:kern w:val="0"/>
                    <w:sz w:val="18"/>
                    <w:szCs w:val="18"/>
                    <w:lang w:eastAsia="zh-CN" w:bidi="ar"/>
                  </w:rPr>
                </w:rPrChange>
              </w:rPr>
            </w:pPr>
            <w:r>
              <w:rPr>
                <w:rFonts w:hint="eastAsia" w:ascii="仿宋_GB2312" w:hAnsi="宋体" w:eastAsia="仿宋_GB2312" w:cs="仿宋_GB2312"/>
                <w:color w:val="auto"/>
                <w:kern w:val="0"/>
                <w:sz w:val="18"/>
                <w:szCs w:val="18"/>
                <w:lang w:val="en-US" w:eastAsia="zh-CN" w:bidi="ar"/>
                <w:rPrChange w:id="2152" w:author="LV" w:date="2026-07-14T15:51:56Z">
                  <w:rPr>
                    <w:rFonts w:hint="eastAsia" w:ascii="仿宋_GB2312" w:hAnsi="宋体" w:eastAsia="仿宋_GB2312" w:cs="仿宋_GB2312"/>
                    <w:color w:val="FF0000"/>
                    <w:kern w:val="0"/>
                    <w:sz w:val="18"/>
                    <w:szCs w:val="18"/>
                    <w:lang w:val="en-US" w:eastAsia="zh-CN" w:bidi="ar"/>
                  </w:rPr>
                </w:rPrChange>
              </w:rPr>
              <w:t>①</w:t>
            </w:r>
            <w:r>
              <w:rPr>
                <w:rFonts w:hint="eastAsia" w:ascii="仿宋_GB2312" w:hAnsi="宋体" w:eastAsia="仿宋_GB2312" w:cs="仿宋_GB2312"/>
                <w:color w:val="auto"/>
                <w:kern w:val="0"/>
                <w:sz w:val="18"/>
                <w:szCs w:val="18"/>
                <w:lang w:bidi="ar"/>
                <w:rPrChange w:id="2153" w:author="LV" w:date="2026-07-14T15:51:56Z">
                  <w:rPr>
                    <w:rFonts w:hint="eastAsia" w:ascii="仿宋_GB2312" w:hAnsi="宋体" w:eastAsia="仿宋_GB2312" w:cs="仿宋_GB2312"/>
                    <w:color w:val="FF0000"/>
                    <w:kern w:val="0"/>
                    <w:sz w:val="18"/>
                    <w:szCs w:val="18"/>
                    <w:lang w:bidi="ar"/>
                  </w:rPr>
                </w:rPrChange>
              </w:rPr>
              <w:t>篡改、隐瞒、销毁直接关系生产安全的监控、报警、防护、救生设备、设施3处以上相关数据、信息的</w:t>
            </w:r>
            <w:r>
              <w:rPr>
                <w:rFonts w:hint="eastAsia" w:ascii="仿宋_GB2312" w:hAnsi="宋体" w:eastAsia="仿宋_GB2312" w:cs="仿宋_GB2312"/>
                <w:color w:val="auto"/>
                <w:kern w:val="0"/>
                <w:sz w:val="18"/>
                <w:szCs w:val="18"/>
                <w:lang w:eastAsia="zh-CN" w:bidi="ar"/>
                <w:rPrChange w:id="2154" w:author="LV" w:date="2026-07-14T15:51:56Z">
                  <w:rPr>
                    <w:rFonts w:hint="eastAsia" w:ascii="仿宋_GB2312" w:hAnsi="宋体" w:eastAsia="仿宋_GB2312" w:cs="仿宋_GB2312"/>
                    <w:color w:val="FF0000"/>
                    <w:kern w:val="0"/>
                    <w:sz w:val="18"/>
                    <w:szCs w:val="18"/>
                    <w:lang w:eastAsia="zh-CN" w:bidi="ar"/>
                  </w:rPr>
                </w:rPrChange>
              </w:rPr>
              <w:t>。</w:t>
            </w:r>
          </w:p>
          <w:p w14:paraId="189F4DE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Change w:id="2155" w:author="LV" w:date="2026-07-14T15:51:56Z">
                  <w:rPr>
                    <w:rFonts w:ascii="仿宋_GB2312" w:hAnsi="宋体" w:eastAsia="仿宋_GB2312" w:cs="仿宋_GB2312"/>
                    <w:color w:val="FF0000"/>
                    <w:sz w:val="18"/>
                    <w:szCs w:val="18"/>
                  </w:rPr>
                </w:rPrChange>
              </w:rPr>
            </w:pPr>
            <w:r>
              <w:rPr>
                <w:rFonts w:hint="eastAsia" w:ascii="仿宋_GB2312" w:hAnsi="宋体" w:eastAsia="仿宋_GB2312" w:cs="仿宋_GB2312"/>
                <w:color w:val="auto"/>
                <w:kern w:val="0"/>
                <w:sz w:val="18"/>
                <w:szCs w:val="18"/>
                <w:lang w:val="en-US" w:eastAsia="zh-CN" w:bidi="ar"/>
                <w:rPrChange w:id="2156" w:author="LV" w:date="2026-07-14T15:51:56Z">
                  <w:rPr>
                    <w:rFonts w:hint="eastAsia" w:ascii="仿宋_GB2312" w:hAnsi="宋体" w:eastAsia="仿宋_GB2312" w:cs="仿宋_GB2312"/>
                    <w:color w:val="FF0000"/>
                    <w:kern w:val="0"/>
                    <w:sz w:val="18"/>
                    <w:szCs w:val="18"/>
                    <w:lang w:val="en-US" w:eastAsia="zh-CN" w:bidi="ar"/>
                  </w:rPr>
                </w:rPrChange>
              </w:rPr>
              <w:t>②情节严重的。</w:t>
            </w:r>
          </w:p>
        </w:tc>
        <w:tc>
          <w:tcPr>
            <w:tcW w:w="2655" w:type="dxa"/>
            <w:tcBorders>
              <w:tl2br w:val="nil"/>
              <w:tr2bl w:val="nil"/>
            </w:tcBorders>
            <w:shd w:val="clear" w:color="auto" w:fill="auto"/>
            <w:tcMar>
              <w:top w:w="15" w:type="dxa"/>
              <w:left w:w="15" w:type="dxa"/>
              <w:right w:w="15" w:type="dxa"/>
            </w:tcMar>
            <w:vAlign w:val="center"/>
          </w:tcPr>
          <w:p w14:paraId="185A0C0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Change w:id="2157" w:author="LV" w:date="2026-07-14T15:51:56Z">
                  <w:rPr>
                    <w:rFonts w:hint="eastAsia" w:ascii="仿宋_GB2312" w:hAnsi="宋体" w:eastAsia="仿宋_GB2312" w:cs="仿宋_GB2312"/>
                    <w:color w:val="FF0000"/>
                    <w:kern w:val="0"/>
                    <w:sz w:val="18"/>
                    <w:szCs w:val="18"/>
                    <w:lang w:bidi="ar"/>
                  </w:rPr>
                </w:rPrChange>
              </w:rPr>
            </w:pPr>
            <w:r>
              <w:rPr>
                <w:rFonts w:hint="eastAsia" w:ascii="仿宋_GB2312" w:hAnsi="宋体" w:eastAsia="仿宋_GB2312" w:cs="仿宋_GB2312"/>
                <w:color w:val="auto"/>
                <w:kern w:val="0"/>
                <w:sz w:val="18"/>
                <w:szCs w:val="18"/>
                <w:lang w:val="en-US" w:eastAsia="zh-CN" w:bidi="ar"/>
                <w:rPrChange w:id="2158" w:author="LV" w:date="2026-07-14T15:51:56Z">
                  <w:rPr>
                    <w:rFonts w:hint="eastAsia" w:ascii="仿宋_GB2312" w:hAnsi="宋体" w:eastAsia="仿宋_GB2312" w:cs="仿宋_GB2312"/>
                    <w:color w:val="FF0000"/>
                    <w:kern w:val="0"/>
                    <w:sz w:val="18"/>
                    <w:szCs w:val="18"/>
                    <w:lang w:val="en-US" w:eastAsia="zh-CN" w:bidi="ar"/>
                  </w:rPr>
                </w:rPrChange>
              </w:rPr>
              <w:t>①</w:t>
            </w:r>
            <w:r>
              <w:rPr>
                <w:rFonts w:hint="eastAsia" w:ascii="仿宋_GB2312" w:hAnsi="宋体" w:eastAsia="仿宋_GB2312" w:cs="仿宋_GB2312"/>
                <w:color w:val="auto"/>
                <w:kern w:val="0"/>
                <w:sz w:val="18"/>
                <w:szCs w:val="18"/>
                <w:lang w:bidi="ar"/>
                <w:rPrChange w:id="2159" w:author="LV" w:date="2026-07-14T15:51:56Z">
                  <w:rPr>
                    <w:rFonts w:hint="eastAsia" w:ascii="仿宋_GB2312" w:hAnsi="宋体" w:eastAsia="仿宋_GB2312" w:cs="仿宋_GB2312"/>
                    <w:color w:val="FF0000"/>
                    <w:kern w:val="0"/>
                    <w:sz w:val="18"/>
                    <w:szCs w:val="18"/>
                    <w:lang w:bidi="ar"/>
                  </w:rPr>
                </w:rPrChange>
              </w:rPr>
              <w:t>处4万元以上5万元以下的罚款。</w:t>
            </w:r>
          </w:p>
          <w:p w14:paraId="392BEDA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Change w:id="2160" w:author="LV" w:date="2026-07-14T15:51:56Z">
                  <w:rPr>
                    <w:rFonts w:ascii="仿宋_GB2312" w:hAnsi="宋体" w:eastAsia="仿宋_GB2312" w:cs="仿宋_GB2312"/>
                    <w:color w:val="FF0000"/>
                    <w:sz w:val="18"/>
                    <w:szCs w:val="18"/>
                  </w:rPr>
                </w:rPrChange>
              </w:rPr>
            </w:pPr>
            <w:r>
              <w:rPr>
                <w:rFonts w:hint="eastAsia" w:ascii="仿宋_GB2312" w:hAnsi="宋体" w:eastAsia="仿宋_GB2312" w:cs="仿宋_GB2312"/>
                <w:color w:val="auto"/>
                <w:kern w:val="0"/>
                <w:sz w:val="18"/>
                <w:szCs w:val="18"/>
                <w:lang w:val="en-US" w:eastAsia="zh-CN" w:bidi="ar"/>
                <w:rPrChange w:id="2161" w:author="LV" w:date="2026-07-14T15:51:56Z">
                  <w:rPr>
                    <w:rFonts w:hint="eastAsia" w:ascii="仿宋_GB2312" w:hAnsi="宋体" w:eastAsia="仿宋_GB2312" w:cs="仿宋_GB2312"/>
                    <w:color w:val="FF0000"/>
                    <w:kern w:val="0"/>
                    <w:sz w:val="18"/>
                    <w:szCs w:val="18"/>
                    <w:lang w:val="en-US" w:eastAsia="zh-CN" w:bidi="ar"/>
                  </w:rPr>
                </w:rPrChange>
              </w:rPr>
              <w:t>②</w:t>
            </w:r>
            <w:r>
              <w:rPr>
                <w:rFonts w:hint="eastAsia" w:ascii="仿宋_GB2312" w:hAnsi="宋体" w:eastAsia="仿宋_GB2312" w:cs="仿宋_GB2312"/>
                <w:color w:val="auto"/>
                <w:kern w:val="0"/>
                <w:sz w:val="18"/>
                <w:szCs w:val="18"/>
                <w:lang w:bidi="ar"/>
                <w:rPrChange w:id="2162" w:author="LV" w:date="2026-07-14T15:51:56Z">
                  <w:rPr>
                    <w:rFonts w:hint="eastAsia" w:ascii="仿宋_GB2312" w:hAnsi="宋体" w:eastAsia="仿宋_GB2312" w:cs="仿宋_GB2312"/>
                    <w:color w:val="FF0000"/>
                    <w:kern w:val="0"/>
                    <w:sz w:val="18"/>
                    <w:szCs w:val="18"/>
                    <w:lang w:bidi="ar"/>
                  </w:rPr>
                </w:rPrChange>
              </w:rPr>
              <w:t>情节严重的</w:t>
            </w:r>
            <w:r>
              <w:rPr>
                <w:rFonts w:hint="eastAsia" w:ascii="仿宋_GB2312" w:hAnsi="宋体" w:eastAsia="仿宋_GB2312" w:cs="仿宋_GB2312"/>
                <w:color w:val="auto"/>
                <w:kern w:val="0"/>
                <w:sz w:val="18"/>
                <w:szCs w:val="18"/>
                <w:lang w:eastAsia="zh-CN" w:bidi="ar"/>
                <w:rPrChange w:id="2163" w:author="LV" w:date="2026-07-14T15:51:56Z">
                  <w:rPr>
                    <w:rFonts w:hint="eastAsia" w:ascii="仿宋_GB2312" w:hAnsi="宋体" w:eastAsia="仿宋_GB2312" w:cs="仿宋_GB2312"/>
                    <w:color w:val="FF0000"/>
                    <w:kern w:val="0"/>
                    <w:sz w:val="18"/>
                    <w:szCs w:val="18"/>
                    <w:lang w:eastAsia="zh-CN" w:bidi="ar"/>
                  </w:rPr>
                </w:rPrChange>
              </w:rPr>
              <w:t>，</w:t>
            </w:r>
            <w:r>
              <w:rPr>
                <w:rFonts w:hint="eastAsia" w:ascii="仿宋_GB2312" w:hAnsi="宋体" w:eastAsia="仿宋_GB2312" w:cs="仿宋_GB2312"/>
                <w:color w:val="auto"/>
                <w:kern w:val="0"/>
                <w:sz w:val="18"/>
                <w:szCs w:val="18"/>
                <w:lang w:val="en-US" w:eastAsia="zh-CN" w:bidi="ar"/>
                <w:rPrChange w:id="2164" w:author="LV" w:date="2026-07-14T15:51:56Z">
                  <w:rPr>
                    <w:rFonts w:hint="eastAsia" w:ascii="仿宋_GB2312" w:hAnsi="宋体" w:eastAsia="仿宋_GB2312" w:cs="仿宋_GB2312"/>
                    <w:color w:val="FF0000"/>
                    <w:kern w:val="0"/>
                    <w:sz w:val="18"/>
                    <w:szCs w:val="18"/>
                    <w:lang w:val="en-US" w:eastAsia="zh-CN" w:bidi="ar"/>
                  </w:rPr>
                </w:rPrChange>
              </w:rPr>
              <w:t>责令停产停业整顿，</w:t>
            </w:r>
            <w:r>
              <w:rPr>
                <w:rFonts w:hint="eastAsia" w:ascii="仿宋_GB2312" w:hAnsi="宋体" w:eastAsia="仿宋_GB2312" w:cs="仿宋_GB2312"/>
                <w:color w:val="auto"/>
                <w:kern w:val="0"/>
                <w:sz w:val="18"/>
                <w:szCs w:val="18"/>
                <w:lang w:bidi="ar"/>
                <w:rPrChange w:id="2165" w:author="LV" w:date="2026-07-14T15:51:56Z">
                  <w:rPr>
                    <w:rFonts w:hint="eastAsia" w:ascii="仿宋_GB2312" w:hAnsi="宋体" w:eastAsia="仿宋_GB2312" w:cs="仿宋_GB2312"/>
                    <w:color w:val="FF0000"/>
                    <w:kern w:val="0"/>
                    <w:sz w:val="18"/>
                    <w:szCs w:val="18"/>
                    <w:lang w:bidi="ar"/>
                  </w:rPr>
                </w:rPrChange>
              </w:rPr>
              <w:t>处4万元以上5万元以下的罚款。</w:t>
            </w:r>
            <w:del w:id="2166" w:author="LV" w:date="2026-07-14T16:45:10Z">
              <w:r>
                <w:rPr>
                  <w:rFonts w:hint="eastAsia" w:ascii="仿宋_GB2312" w:hAnsi="宋体" w:eastAsia="仿宋_GB2312" w:cs="仿宋_GB2312"/>
                  <w:color w:val="auto"/>
                  <w:kern w:val="0"/>
                  <w:sz w:val="18"/>
                  <w:szCs w:val="18"/>
                  <w:lang w:bidi="ar"/>
                  <w:rPrChange w:id="2167" w:author="LV" w:date="2026-07-14T15:51:56Z">
                    <w:rPr>
                      <w:rFonts w:hint="eastAsia" w:ascii="仿宋_GB2312" w:hAnsi="宋体" w:eastAsia="仿宋_GB2312" w:cs="仿宋_GB2312"/>
                      <w:color w:val="FF0000"/>
                      <w:kern w:val="0"/>
                      <w:sz w:val="18"/>
                      <w:szCs w:val="18"/>
                      <w:lang w:bidi="ar"/>
                    </w:rPr>
                  </w:rPrChange>
                </w:rPr>
                <w:delText>。</w:delText>
              </w:r>
            </w:del>
          </w:p>
        </w:tc>
      </w:tr>
      <w:tr w14:paraId="6A1C3D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5D772DC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val="en-US" w:eastAsia="zh-CN" w:bidi="ar"/>
              </w:rPr>
              <w:t>10</w:t>
            </w:r>
            <w:del w:id="2168" w:author="LV" w:date="2026-07-14T16:45:27Z">
              <w:r>
                <w:rPr>
                  <w:rFonts w:hint="default" w:ascii="仿宋_GB2312" w:hAnsi="宋体" w:eastAsia="仿宋_GB2312" w:cs="仿宋_GB2312"/>
                  <w:kern w:val="0"/>
                  <w:sz w:val="18"/>
                  <w:szCs w:val="18"/>
                  <w:lang w:val="en-US" w:eastAsia="zh-CN" w:bidi="ar"/>
                </w:rPr>
                <w:delText>0</w:delText>
              </w:r>
            </w:del>
            <w:ins w:id="2169" w:author="LV" w:date="2026-07-14T16:45:27Z">
              <w:r>
                <w:rPr>
                  <w:rFonts w:hint="eastAsia" w:ascii="仿宋_GB2312" w:hAnsi="宋体" w:eastAsia="仿宋_GB2312" w:cs="仿宋_GB2312"/>
                  <w:kern w:val="0"/>
                  <w:sz w:val="18"/>
                  <w:szCs w:val="18"/>
                  <w:lang w:val="en-US" w:eastAsia="zh-CN" w:bidi="ar"/>
                </w:rPr>
                <w:t>7</w:t>
              </w:r>
            </w:ins>
          </w:p>
        </w:tc>
        <w:tc>
          <w:tcPr>
            <w:tcW w:w="1005" w:type="dxa"/>
            <w:vMerge w:val="restart"/>
            <w:tcBorders>
              <w:tl2br w:val="nil"/>
              <w:tr2bl w:val="nil"/>
            </w:tcBorders>
            <w:shd w:val="clear" w:color="auto" w:fill="auto"/>
            <w:tcMar>
              <w:top w:w="15" w:type="dxa"/>
              <w:left w:w="15" w:type="dxa"/>
              <w:right w:w="15" w:type="dxa"/>
            </w:tcMar>
            <w:vAlign w:val="center"/>
          </w:tcPr>
          <w:p w14:paraId="5F2E980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煤矿篡改、隐瞒、销毁直接关系生产安全的监控、报警、防护、救生设备、设施相关数据、信息，逾期未改正的</w:t>
            </w:r>
          </w:p>
        </w:tc>
        <w:tc>
          <w:tcPr>
            <w:tcW w:w="3667" w:type="dxa"/>
            <w:vMerge w:val="restart"/>
            <w:tcBorders>
              <w:tl2br w:val="nil"/>
              <w:tr2bl w:val="nil"/>
            </w:tcBorders>
            <w:shd w:val="clear" w:color="auto" w:fill="auto"/>
            <w:tcMar>
              <w:top w:w="15" w:type="dxa"/>
              <w:left w:w="15" w:type="dxa"/>
              <w:right w:w="15" w:type="dxa"/>
            </w:tcMar>
            <w:vAlign w:val="center"/>
          </w:tcPr>
          <w:p w14:paraId="3BD7475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bidi="ar"/>
              </w:rPr>
              <w:t>《安全生产法》第三十六条第三款</w:t>
            </w:r>
            <w:r>
              <w:rPr>
                <w:rFonts w:ascii="仿宋_GB2312" w:hAnsi="宋体" w:eastAsia="仿宋_GB2312" w:cs="仿宋_GB2312"/>
                <w:color w:val="auto"/>
                <w:kern w:val="0"/>
                <w:sz w:val="18"/>
                <w:szCs w:val="18"/>
                <w:lang w:bidi="ar"/>
              </w:rPr>
              <w:t xml:space="preserve"> </w:t>
            </w:r>
            <w:r>
              <w:rPr>
                <w:rFonts w:hint="eastAsia" w:ascii="仿宋_GB2312" w:hAnsi="宋体" w:eastAsia="仿宋_GB2312" w:cs="仿宋_GB2312"/>
                <w:color w:val="auto"/>
                <w:kern w:val="0"/>
                <w:sz w:val="18"/>
                <w:szCs w:val="18"/>
                <w:lang w:bidi="ar"/>
              </w:rPr>
              <w:t>生产经营单位不得关闭、破坏直接关系生产安全的监控、报警、防护、救生设备、设施，或者篡改、隐瞒、销毁其相关数据、信息。</w:t>
            </w:r>
          </w:p>
          <w:p w14:paraId="6B39523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bidi="ar"/>
              </w:rPr>
              <w:t>《煤矿安全生产条例》第二十六条第二款  煤矿企业及其有关人员不得关闭、破坏直接关系生产安全的监控、报警、防护、救生设备、设施，或者篡改、隐瞒、销毁其相关数据、信息，不得以任何方式影响其正常使用。</w:t>
            </w:r>
          </w:p>
        </w:tc>
        <w:tc>
          <w:tcPr>
            <w:tcW w:w="4082" w:type="dxa"/>
            <w:vMerge w:val="restart"/>
            <w:tcBorders>
              <w:tl2br w:val="nil"/>
              <w:tr2bl w:val="nil"/>
            </w:tcBorders>
            <w:shd w:val="clear" w:color="auto" w:fill="auto"/>
            <w:tcMar>
              <w:top w:w="15" w:type="dxa"/>
              <w:left w:w="15" w:type="dxa"/>
              <w:right w:w="15" w:type="dxa"/>
            </w:tcMar>
            <w:vAlign w:val="center"/>
          </w:tcPr>
          <w:p w14:paraId="3D266EA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四）关闭、破坏直接关系生产安全的监控、报警、防护、救生设备、设施，或者篡改、隐瞒、销毁其相关数据、信息的。</w:t>
            </w:r>
          </w:p>
          <w:p w14:paraId="490801E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val="en-US" w:eastAsia="zh-CN" w:bidi="ar"/>
              </w:rPr>
              <w:t>《煤矿安全生产条例》第七十一条  有下列情形之一的，依照《中华人民共和国安全生产法》有关规定予以处罚：（四）煤矿企业违反本条例第二十四条第一款、第二十五条第一款和第二款、第二十六条第二款规定的。</w:t>
            </w:r>
          </w:p>
        </w:tc>
        <w:tc>
          <w:tcPr>
            <w:tcW w:w="459" w:type="dxa"/>
            <w:tcBorders>
              <w:tl2br w:val="nil"/>
              <w:tr2bl w:val="nil"/>
            </w:tcBorders>
            <w:shd w:val="clear" w:color="auto" w:fill="auto"/>
            <w:noWrap/>
            <w:tcMar>
              <w:top w:w="15" w:type="dxa"/>
              <w:left w:w="15" w:type="dxa"/>
              <w:right w:w="15" w:type="dxa"/>
            </w:tcMar>
            <w:vAlign w:val="center"/>
          </w:tcPr>
          <w:p w14:paraId="7FC459B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59B4A36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49E438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91CA0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3344EA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851460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960AD9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60422C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BD34E5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5854E52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3F08346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EC541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0011D9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034627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F8D344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83F8C4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FBC88F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7E8EB82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FFCE4C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D2937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2170" w:author="LV" w:date="2026-07-14T16:45:38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wBefore w:w="0" w:type="auto"/>
          <w:trHeight w:val="1556" w:hRule="atLeast"/>
          <w:jc w:val="center"/>
          <w:trPrChange w:id="2170" w:author="LV" w:date="2026-07-14T16:45:38Z">
            <w:trPr>
              <w:gridBefore w:val="2"/>
              <w:wBefore w:w="15" w:type="dxa"/>
              <w:trHeight w:val="1956" w:hRule="atLeast"/>
              <w:jc w:val="center"/>
            </w:trPr>
          </w:trPrChange>
        </w:trPr>
        <w:tc>
          <w:tcPr>
            <w:tcW w:w="418" w:type="dxa"/>
            <w:vMerge w:val="continue"/>
            <w:tcBorders>
              <w:tl2br w:val="nil"/>
              <w:tr2bl w:val="nil"/>
            </w:tcBorders>
            <w:shd w:val="clear" w:color="auto" w:fill="auto"/>
            <w:noWrap/>
            <w:tcMar>
              <w:top w:w="15" w:type="dxa"/>
              <w:left w:w="15" w:type="dxa"/>
              <w:right w:w="15" w:type="dxa"/>
            </w:tcMar>
            <w:vAlign w:val="center"/>
            <w:tcPrChange w:id="2171" w:author="LV" w:date="2026-07-14T16:45:38Z">
              <w:tcPr>
                <w:tcW w:w="418" w:type="dxa"/>
                <w:gridSpan w:val="3"/>
                <w:vMerge w:val="continue"/>
                <w:tcBorders>
                  <w:tl2br w:val="nil"/>
                  <w:tr2bl w:val="nil"/>
                </w:tcBorders>
                <w:shd w:val="clear" w:color="auto" w:fill="auto"/>
                <w:noWrap/>
                <w:tcMar>
                  <w:top w:w="15" w:type="dxa"/>
                  <w:left w:w="15" w:type="dxa"/>
                  <w:right w:w="15" w:type="dxa"/>
                </w:tcMar>
                <w:vAlign w:val="center"/>
              </w:tcPr>
            </w:tcPrChange>
          </w:tcPr>
          <w:p w14:paraId="21D3A2D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Change w:id="2172" w:author="LV" w:date="2026-07-14T16:45:38Z">
              <w:tcPr>
                <w:tcW w:w="1005" w:type="dxa"/>
                <w:gridSpan w:val="3"/>
                <w:vMerge w:val="continue"/>
                <w:tcBorders>
                  <w:tl2br w:val="nil"/>
                  <w:tr2bl w:val="nil"/>
                </w:tcBorders>
                <w:shd w:val="clear" w:color="auto" w:fill="auto"/>
                <w:tcMar>
                  <w:top w:w="15" w:type="dxa"/>
                  <w:left w:w="15" w:type="dxa"/>
                  <w:right w:w="15" w:type="dxa"/>
                </w:tcMar>
                <w:vAlign w:val="center"/>
              </w:tcPr>
            </w:tcPrChange>
          </w:tcPr>
          <w:p w14:paraId="4221D37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Change w:id="2173" w:author="LV" w:date="2026-07-14T16:45:38Z">
              <w:tcPr>
                <w:tcW w:w="3667" w:type="dxa"/>
                <w:gridSpan w:val="3"/>
                <w:vMerge w:val="continue"/>
                <w:tcBorders>
                  <w:tl2br w:val="nil"/>
                  <w:tr2bl w:val="nil"/>
                </w:tcBorders>
                <w:shd w:val="clear" w:color="auto" w:fill="auto"/>
                <w:tcMar>
                  <w:top w:w="15" w:type="dxa"/>
                  <w:left w:w="15" w:type="dxa"/>
                  <w:right w:w="15" w:type="dxa"/>
                </w:tcMar>
                <w:vAlign w:val="center"/>
              </w:tcPr>
            </w:tcPrChange>
          </w:tcPr>
          <w:p w14:paraId="07C6A31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Change w:id="2174" w:author="LV" w:date="2026-07-14T16:45:38Z">
              <w:tcPr>
                <w:tcW w:w="4082" w:type="dxa"/>
                <w:gridSpan w:val="3"/>
                <w:vMerge w:val="continue"/>
                <w:tcBorders>
                  <w:tl2br w:val="nil"/>
                  <w:tr2bl w:val="nil"/>
                </w:tcBorders>
                <w:shd w:val="clear" w:color="auto" w:fill="auto"/>
                <w:tcMar>
                  <w:top w:w="15" w:type="dxa"/>
                  <w:left w:w="15" w:type="dxa"/>
                  <w:right w:w="15" w:type="dxa"/>
                </w:tcMar>
                <w:vAlign w:val="center"/>
              </w:tcPr>
            </w:tcPrChange>
          </w:tcPr>
          <w:p w14:paraId="6EB4884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Change w:id="2175" w:author="LV" w:date="2026-07-14T16:45:38Z">
              <w:tcPr>
                <w:tcW w:w="459" w:type="dxa"/>
                <w:gridSpan w:val="3"/>
                <w:tcBorders>
                  <w:tl2br w:val="nil"/>
                  <w:tr2bl w:val="nil"/>
                </w:tcBorders>
                <w:shd w:val="clear" w:color="auto" w:fill="auto"/>
                <w:noWrap/>
                <w:tcMar>
                  <w:top w:w="15" w:type="dxa"/>
                  <w:left w:w="15" w:type="dxa"/>
                  <w:right w:w="15" w:type="dxa"/>
                </w:tcMar>
                <w:vAlign w:val="center"/>
              </w:tcPr>
            </w:tcPrChange>
          </w:tcPr>
          <w:p w14:paraId="51CB7EA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Change w:id="2176" w:author="LV" w:date="2026-07-14T16:45:38Z">
              <w:tcPr>
                <w:tcW w:w="1829" w:type="dxa"/>
                <w:gridSpan w:val="3"/>
                <w:tcBorders>
                  <w:tl2br w:val="nil"/>
                  <w:tr2bl w:val="nil"/>
                </w:tcBorders>
                <w:shd w:val="clear" w:color="auto" w:fill="auto"/>
                <w:tcMar>
                  <w:top w:w="15" w:type="dxa"/>
                  <w:left w:w="15" w:type="dxa"/>
                  <w:right w:w="15" w:type="dxa"/>
                </w:tcMar>
                <w:vAlign w:val="center"/>
              </w:tcPr>
            </w:tcPrChange>
          </w:tcPr>
          <w:p w14:paraId="37E34A5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篡改、隐瞒、销毁直接关系生产安全的监控、报警、防护、救生设备、设施1处相关数据、信息，逾期未改正的。</w:t>
            </w:r>
          </w:p>
        </w:tc>
        <w:tc>
          <w:tcPr>
            <w:tcW w:w="2655" w:type="dxa"/>
            <w:tcBorders>
              <w:tl2br w:val="nil"/>
              <w:tr2bl w:val="nil"/>
            </w:tcBorders>
            <w:shd w:val="clear" w:color="auto" w:fill="auto"/>
            <w:tcMar>
              <w:top w:w="15" w:type="dxa"/>
              <w:left w:w="15" w:type="dxa"/>
              <w:right w:w="15" w:type="dxa"/>
            </w:tcMar>
            <w:vAlign w:val="center"/>
            <w:tcPrChange w:id="2177" w:author="LV" w:date="2026-07-14T16:45:38Z">
              <w:tcPr>
                <w:tcW w:w="2655" w:type="dxa"/>
                <w:gridSpan w:val="3"/>
                <w:tcBorders>
                  <w:tl2br w:val="nil"/>
                  <w:tr2bl w:val="nil"/>
                </w:tcBorders>
                <w:shd w:val="clear" w:color="auto" w:fill="auto"/>
                <w:tcMar>
                  <w:top w:w="15" w:type="dxa"/>
                  <w:left w:w="15" w:type="dxa"/>
                  <w:right w:w="15" w:type="dxa"/>
                </w:tcMar>
                <w:vAlign w:val="center"/>
              </w:tcPr>
            </w:tcPrChange>
          </w:tcPr>
          <w:p w14:paraId="6942DA9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对煤矿处5万元以上10万元以下的罚款，对其直接负责的主管人员处1万元以上1.3万元以下的罚款。</w:t>
            </w:r>
          </w:p>
        </w:tc>
      </w:tr>
      <w:tr w14:paraId="731207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2178" w:author="LV" w:date="2026-07-14T16:45:35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wBefore w:w="0" w:type="auto"/>
          <w:trHeight w:val="1606" w:hRule="atLeast"/>
          <w:jc w:val="center"/>
          <w:trPrChange w:id="2178" w:author="LV" w:date="2026-07-14T16:45:35Z">
            <w:trPr>
              <w:gridBefore w:val="2"/>
              <w:wBefore w:w="15" w:type="dxa"/>
              <w:trHeight w:val="1956" w:hRule="atLeast"/>
              <w:jc w:val="center"/>
            </w:trPr>
          </w:trPrChange>
        </w:trPr>
        <w:tc>
          <w:tcPr>
            <w:tcW w:w="418" w:type="dxa"/>
            <w:vMerge w:val="continue"/>
            <w:tcBorders>
              <w:tl2br w:val="nil"/>
              <w:tr2bl w:val="nil"/>
            </w:tcBorders>
            <w:shd w:val="clear" w:color="auto" w:fill="auto"/>
            <w:noWrap/>
            <w:tcMar>
              <w:top w:w="15" w:type="dxa"/>
              <w:left w:w="15" w:type="dxa"/>
              <w:right w:w="15" w:type="dxa"/>
            </w:tcMar>
            <w:vAlign w:val="center"/>
            <w:tcPrChange w:id="2179" w:author="LV" w:date="2026-07-14T16:45:35Z">
              <w:tcPr>
                <w:tcW w:w="418" w:type="dxa"/>
                <w:gridSpan w:val="3"/>
                <w:vMerge w:val="continue"/>
                <w:tcBorders>
                  <w:tl2br w:val="nil"/>
                  <w:tr2bl w:val="nil"/>
                </w:tcBorders>
                <w:shd w:val="clear" w:color="auto" w:fill="auto"/>
                <w:noWrap/>
                <w:tcMar>
                  <w:top w:w="15" w:type="dxa"/>
                  <w:left w:w="15" w:type="dxa"/>
                  <w:right w:w="15" w:type="dxa"/>
                </w:tcMar>
                <w:vAlign w:val="center"/>
              </w:tcPr>
            </w:tcPrChange>
          </w:tcPr>
          <w:p w14:paraId="790AAD4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Change w:id="2180" w:author="LV" w:date="2026-07-14T16:45:35Z">
              <w:tcPr>
                <w:tcW w:w="1005" w:type="dxa"/>
                <w:gridSpan w:val="3"/>
                <w:vMerge w:val="continue"/>
                <w:tcBorders>
                  <w:tl2br w:val="nil"/>
                  <w:tr2bl w:val="nil"/>
                </w:tcBorders>
                <w:shd w:val="clear" w:color="auto" w:fill="auto"/>
                <w:tcMar>
                  <w:top w:w="15" w:type="dxa"/>
                  <w:left w:w="15" w:type="dxa"/>
                  <w:right w:w="15" w:type="dxa"/>
                </w:tcMar>
                <w:vAlign w:val="center"/>
              </w:tcPr>
            </w:tcPrChange>
          </w:tcPr>
          <w:p w14:paraId="5B4C9EF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Change w:id="2181" w:author="LV" w:date="2026-07-14T16:45:35Z">
              <w:tcPr>
                <w:tcW w:w="3667" w:type="dxa"/>
                <w:gridSpan w:val="3"/>
                <w:vMerge w:val="continue"/>
                <w:tcBorders>
                  <w:tl2br w:val="nil"/>
                  <w:tr2bl w:val="nil"/>
                </w:tcBorders>
                <w:shd w:val="clear" w:color="auto" w:fill="auto"/>
                <w:tcMar>
                  <w:top w:w="15" w:type="dxa"/>
                  <w:left w:w="15" w:type="dxa"/>
                  <w:right w:w="15" w:type="dxa"/>
                </w:tcMar>
                <w:vAlign w:val="center"/>
              </w:tcPr>
            </w:tcPrChange>
          </w:tcPr>
          <w:p w14:paraId="6AB8DD2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Change w:id="2182" w:author="LV" w:date="2026-07-14T16:45:35Z">
              <w:tcPr>
                <w:tcW w:w="4082" w:type="dxa"/>
                <w:gridSpan w:val="3"/>
                <w:vMerge w:val="continue"/>
                <w:tcBorders>
                  <w:tl2br w:val="nil"/>
                  <w:tr2bl w:val="nil"/>
                </w:tcBorders>
                <w:shd w:val="clear" w:color="auto" w:fill="auto"/>
                <w:tcMar>
                  <w:top w:w="15" w:type="dxa"/>
                  <w:left w:w="15" w:type="dxa"/>
                  <w:right w:w="15" w:type="dxa"/>
                </w:tcMar>
                <w:vAlign w:val="center"/>
              </w:tcPr>
            </w:tcPrChange>
          </w:tcPr>
          <w:p w14:paraId="611F8A6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Change w:id="2183" w:author="LV" w:date="2026-07-14T16:45:35Z">
              <w:tcPr>
                <w:tcW w:w="459" w:type="dxa"/>
                <w:gridSpan w:val="3"/>
                <w:tcBorders>
                  <w:tl2br w:val="nil"/>
                  <w:tr2bl w:val="nil"/>
                </w:tcBorders>
                <w:shd w:val="clear" w:color="auto" w:fill="auto"/>
                <w:noWrap/>
                <w:tcMar>
                  <w:top w:w="15" w:type="dxa"/>
                  <w:left w:w="15" w:type="dxa"/>
                  <w:right w:w="15" w:type="dxa"/>
                </w:tcMar>
                <w:vAlign w:val="center"/>
              </w:tcPr>
            </w:tcPrChange>
          </w:tcPr>
          <w:p w14:paraId="0F9CCB1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Change w:id="2184" w:author="LV" w:date="2026-07-14T16:45:35Z">
              <w:tcPr>
                <w:tcW w:w="1829" w:type="dxa"/>
                <w:gridSpan w:val="3"/>
                <w:tcBorders>
                  <w:tl2br w:val="nil"/>
                  <w:tr2bl w:val="nil"/>
                </w:tcBorders>
                <w:shd w:val="clear" w:color="auto" w:fill="auto"/>
                <w:tcMar>
                  <w:top w:w="15" w:type="dxa"/>
                  <w:left w:w="15" w:type="dxa"/>
                  <w:right w:w="15" w:type="dxa"/>
                </w:tcMar>
                <w:vAlign w:val="center"/>
              </w:tcPr>
            </w:tcPrChange>
          </w:tcPr>
          <w:p w14:paraId="21BFC7B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篡改、隐瞒、销毁直接关系生产安全的监控、报警、防护、救生设备、设施2处相关数据、信息，逾期未改正1处的。</w:t>
            </w:r>
          </w:p>
        </w:tc>
        <w:tc>
          <w:tcPr>
            <w:tcW w:w="2655" w:type="dxa"/>
            <w:tcBorders>
              <w:tl2br w:val="nil"/>
              <w:tr2bl w:val="nil"/>
            </w:tcBorders>
            <w:shd w:val="clear" w:color="auto" w:fill="auto"/>
            <w:tcMar>
              <w:top w:w="15" w:type="dxa"/>
              <w:left w:w="15" w:type="dxa"/>
              <w:right w:w="15" w:type="dxa"/>
            </w:tcMar>
            <w:vAlign w:val="center"/>
            <w:tcPrChange w:id="2185" w:author="LV" w:date="2026-07-14T16:45:35Z">
              <w:tcPr>
                <w:tcW w:w="2655" w:type="dxa"/>
                <w:gridSpan w:val="3"/>
                <w:tcBorders>
                  <w:tl2br w:val="nil"/>
                  <w:tr2bl w:val="nil"/>
                </w:tcBorders>
                <w:shd w:val="clear" w:color="auto" w:fill="auto"/>
                <w:tcMar>
                  <w:top w:w="15" w:type="dxa"/>
                  <w:left w:w="15" w:type="dxa"/>
                  <w:right w:w="15" w:type="dxa"/>
                </w:tcMar>
                <w:vAlign w:val="center"/>
              </w:tcPr>
            </w:tcPrChange>
          </w:tcPr>
          <w:p w14:paraId="522DB32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对煤矿处10万元以上15万元以下的罚款，对其直接负责的主管人员处1.3万元以上1.8万元以下的罚款。</w:t>
            </w:r>
          </w:p>
        </w:tc>
      </w:tr>
      <w:tr w14:paraId="3F3C1C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A738CA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1CD4E4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A5CFED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C5B34D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62F635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left"/>
              <w:textAlignment w:val="center"/>
              <w:rPr>
                <w:rFonts w:hint="eastAsia" w:ascii="仿宋_GB2312" w:hAnsi="宋体" w:eastAsia="仿宋_GB2312" w:cs="仿宋_GB2312"/>
                <w:kern w:val="0"/>
                <w:sz w:val="18"/>
                <w:szCs w:val="18"/>
                <w:lang w:bidi="ar"/>
                <w:rPrChange w:id="2187" w:author="LV" w:date="2026-07-14T16:45:20Z">
                  <w:rPr>
                    <w:rFonts w:ascii="仿宋_GB2312" w:hAnsi="宋体" w:eastAsia="仿宋_GB2312" w:cs="仿宋_GB2312"/>
                    <w:sz w:val="18"/>
                    <w:szCs w:val="18"/>
                  </w:rPr>
                </w:rPrChange>
              </w:rPr>
              <w:pPrChange w:id="2186" w:author="LV" w:date="2026-07-14T16:45:20Z">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pPr>
              </w:pPrChange>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2A6764E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Change w:id="2188" w:author="LV" w:date="2026-07-14T16:45:20Z">
                  <w:rPr>
                    <w:rFonts w:hint="eastAsia" w:ascii="仿宋_GB2312" w:hAnsi="宋体" w:eastAsia="仿宋_GB2312" w:cs="仿宋_GB2312"/>
                    <w:color w:val="FF0000"/>
                    <w:kern w:val="0"/>
                    <w:sz w:val="18"/>
                    <w:szCs w:val="18"/>
                    <w:lang w:bidi="ar"/>
                  </w:rPr>
                </w:rPrChange>
              </w:rPr>
            </w:pPr>
            <w:r>
              <w:rPr>
                <w:rFonts w:hint="eastAsia" w:ascii="仿宋_GB2312" w:hAnsi="宋体" w:eastAsia="仿宋_GB2312" w:cs="仿宋_GB2312"/>
                <w:color w:val="auto"/>
                <w:kern w:val="0"/>
                <w:sz w:val="18"/>
                <w:szCs w:val="18"/>
                <w:lang w:val="en-US" w:eastAsia="zh-CN" w:bidi="ar"/>
                <w:rPrChange w:id="2189" w:author="LV" w:date="2026-07-14T16:45:20Z">
                  <w:rPr>
                    <w:rFonts w:hint="eastAsia" w:ascii="仿宋_GB2312" w:hAnsi="宋体" w:eastAsia="仿宋_GB2312" w:cs="仿宋_GB2312"/>
                    <w:color w:val="FF0000"/>
                    <w:kern w:val="0"/>
                    <w:sz w:val="18"/>
                    <w:szCs w:val="18"/>
                    <w:lang w:val="en-US" w:eastAsia="zh-CN" w:bidi="ar"/>
                  </w:rPr>
                </w:rPrChange>
              </w:rPr>
              <w:t>①</w:t>
            </w:r>
            <w:r>
              <w:rPr>
                <w:rFonts w:hint="eastAsia" w:ascii="仿宋_GB2312" w:hAnsi="宋体" w:eastAsia="仿宋_GB2312" w:cs="仿宋_GB2312"/>
                <w:color w:val="auto"/>
                <w:kern w:val="0"/>
                <w:sz w:val="18"/>
                <w:szCs w:val="18"/>
                <w:lang w:bidi="ar"/>
                <w:rPrChange w:id="2190" w:author="LV" w:date="2026-07-14T16:45:20Z">
                  <w:rPr>
                    <w:rFonts w:hint="eastAsia" w:ascii="仿宋_GB2312" w:hAnsi="宋体" w:eastAsia="仿宋_GB2312" w:cs="仿宋_GB2312"/>
                    <w:color w:val="FF0000"/>
                    <w:kern w:val="0"/>
                    <w:sz w:val="18"/>
                    <w:szCs w:val="18"/>
                    <w:lang w:bidi="ar"/>
                  </w:rPr>
                </w:rPrChange>
              </w:rPr>
              <w:t>篡改、隐瞒、销毁直接关系生产安全的监控、报警、防护、救生设备、设施3处以上相关数据、信息，逾期未改正</w:t>
            </w:r>
            <w:r>
              <w:rPr>
                <w:rFonts w:hint="eastAsia" w:ascii="仿宋_GB2312" w:hAnsi="宋体" w:eastAsia="仿宋_GB2312" w:cs="仿宋_GB2312"/>
                <w:color w:val="auto"/>
                <w:kern w:val="0"/>
                <w:sz w:val="18"/>
                <w:szCs w:val="18"/>
                <w:lang w:val="en-US" w:eastAsia="zh-CN" w:bidi="ar"/>
                <w:rPrChange w:id="2191" w:author="LV" w:date="2026-07-14T16:45:20Z">
                  <w:rPr>
                    <w:rFonts w:hint="eastAsia" w:ascii="仿宋_GB2312" w:hAnsi="宋体" w:eastAsia="仿宋_GB2312" w:cs="仿宋_GB2312"/>
                    <w:color w:val="FF0000"/>
                    <w:kern w:val="0"/>
                    <w:sz w:val="18"/>
                    <w:szCs w:val="18"/>
                    <w:lang w:val="en-US" w:eastAsia="zh-CN" w:bidi="ar"/>
                  </w:rPr>
                </w:rPrChange>
              </w:rPr>
              <w:t>1处以上</w:t>
            </w:r>
            <w:r>
              <w:rPr>
                <w:rFonts w:hint="eastAsia" w:ascii="仿宋_GB2312" w:hAnsi="宋体" w:eastAsia="仿宋_GB2312" w:cs="仿宋_GB2312"/>
                <w:color w:val="auto"/>
                <w:kern w:val="0"/>
                <w:sz w:val="18"/>
                <w:szCs w:val="18"/>
                <w:lang w:bidi="ar"/>
                <w:rPrChange w:id="2192" w:author="LV" w:date="2026-07-14T16:45:20Z">
                  <w:rPr>
                    <w:rFonts w:hint="eastAsia" w:ascii="仿宋_GB2312" w:hAnsi="宋体" w:eastAsia="仿宋_GB2312" w:cs="仿宋_GB2312"/>
                    <w:color w:val="FF0000"/>
                    <w:kern w:val="0"/>
                    <w:sz w:val="18"/>
                    <w:szCs w:val="18"/>
                    <w:lang w:bidi="ar"/>
                  </w:rPr>
                </w:rPrChange>
              </w:rPr>
              <w:t>的。</w:t>
            </w:r>
          </w:p>
          <w:p w14:paraId="3565E74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Change w:id="2193" w:author="LV" w:date="2026-07-14T16:45:20Z">
                  <w:rPr>
                    <w:rFonts w:ascii="仿宋_GB2312" w:hAnsi="宋体" w:eastAsia="仿宋_GB2312" w:cs="仿宋_GB2312"/>
                    <w:color w:val="FF0000"/>
                    <w:sz w:val="18"/>
                    <w:szCs w:val="18"/>
                  </w:rPr>
                </w:rPrChange>
              </w:rPr>
            </w:pPr>
            <w:r>
              <w:rPr>
                <w:rFonts w:hint="eastAsia" w:ascii="仿宋_GB2312" w:hAnsi="宋体" w:eastAsia="仿宋_GB2312" w:cs="仿宋_GB2312"/>
                <w:color w:val="auto"/>
                <w:kern w:val="0"/>
                <w:sz w:val="18"/>
                <w:szCs w:val="18"/>
                <w:lang w:val="en-US" w:eastAsia="zh-CN" w:bidi="ar"/>
                <w:rPrChange w:id="2194" w:author="LV" w:date="2026-07-14T16:45:20Z">
                  <w:rPr>
                    <w:rFonts w:hint="eastAsia" w:ascii="仿宋_GB2312" w:hAnsi="宋体" w:eastAsia="仿宋_GB2312" w:cs="仿宋_GB2312"/>
                    <w:color w:val="FF0000"/>
                    <w:kern w:val="0"/>
                    <w:sz w:val="18"/>
                    <w:szCs w:val="18"/>
                    <w:lang w:val="en-US" w:eastAsia="zh-CN" w:bidi="ar"/>
                  </w:rPr>
                </w:rPrChange>
              </w:rPr>
              <w:t>②</w:t>
            </w:r>
            <w:r>
              <w:rPr>
                <w:rFonts w:hint="eastAsia" w:ascii="仿宋_GB2312" w:hAnsi="宋体" w:eastAsia="仿宋_GB2312" w:cs="仿宋_GB2312"/>
                <w:color w:val="auto"/>
                <w:kern w:val="0"/>
                <w:sz w:val="18"/>
                <w:szCs w:val="18"/>
                <w:lang w:bidi="ar"/>
                <w:rPrChange w:id="2195" w:author="LV" w:date="2026-07-14T16:45:20Z">
                  <w:rPr>
                    <w:rFonts w:hint="eastAsia" w:ascii="仿宋_GB2312" w:hAnsi="宋体" w:eastAsia="仿宋_GB2312" w:cs="仿宋_GB2312"/>
                    <w:color w:val="FF0000"/>
                    <w:kern w:val="0"/>
                    <w:sz w:val="18"/>
                    <w:szCs w:val="18"/>
                    <w:lang w:bidi="ar"/>
                  </w:rPr>
                </w:rPrChange>
              </w:rPr>
              <w:t>情节严重的。</w:t>
            </w:r>
          </w:p>
        </w:tc>
        <w:tc>
          <w:tcPr>
            <w:tcW w:w="2655" w:type="dxa"/>
            <w:tcBorders>
              <w:tl2br w:val="nil"/>
              <w:tr2bl w:val="nil"/>
            </w:tcBorders>
            <w:shd w:val="clear" w:color="auto" w:fill="auto"/>
            <w:tcMar>
              <w:top w:w="15" w:type="dxa"/>
              <w:left w:w="15" w:type="dxa"/>
              <w:right w:w="15" w:type="dxa"/>
            </w:tcMar>
            <w:vAlign w:val="center"/>
          </w:tcPr>
          <w:p w14:paraId="2EC8315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Change w:id="2196" w:author="LV" w:date="2026-07-14T16:45:20Z">
                  <w:rPr>
                    <w:rFonts w:hint="eastAsia" w:ascii="仿宋_GB2312" w:hAnsi="宋体" w:eastAsia="仿宋_GB2312" w:cs="仿宋_GB2312"/>
                    <w:color w:val="FF0000"/>
                    <w:kern w:val="0"/>
                    <w:sz w:val="18"/>
                    <w:szCs w:val="18"/>
                    <w:lang w:bidi="ar"/>
                  </w:rPr>
                </w:rPrChange>
              </w:rPr>
            </w:pPr>
            <w:r>
              <w:rPr>
                <w:rFonts w:hint="eastAsia" w:ascii="仿宋_GB2312" w:hAnsi="宋体" w:eastAsia="仿宋_GB2312" w:cs="仿宋_GB2312"/>
                <w:color w:val="auto"/>
                <w:kern w:val="0"/>
                <w:sz w:val="18"/>
                <w:szCs w:val="18"/>
                <w:lang w:val="en-US" w:eastAsia="zh-CN" w:bidi="ar"/>
                <w:rPrChange w:id="2197" w:author="LV" w:date="2026-07-14T16:45:20Z">
                  <w:rPr>
                    <w:rFonts w:hint="eastAsia" w:ascii="仿宋_GB2312" w:hAnsi="宋体" w:eastAsia="仿宋_GB2312" w:cs="仿宋_GB2312"/>
                    <w:color w:val="FF0000"/>
                    <w:kern w:val="0"/>
                    <w:sz w:val="18"/>
                    <w:szCs w:val="18"/>
                    <w:lang w:val="en-US" w:eastAsia="zh-CN" w:bidi="ar"/>
                  </w:rPr>
                </w:rPrChange>
              </w:rPr>
              <w:t>①</w:t>
            </w:r>
            <w:r>
              <w:rPr>
                <w:rFonts w:hint="eastAsia" w:ascii="仿宋_GB2312" w:hAnsi="宋体" w:eastAsia="仿宋_GB2312" w:cs="仿宋_GB2312"/>
                <w:color w:val="auto"/>
                <w:kern w:val="0"/>
                <w:sz w:val="18"/>
                <w:szCs w:val="18"/>
                <w:lang w:bidi="ar"/>
                <w:rPrChange w:id="2198" w:author="LV" w:date="2026-07-14T16:45:20Z">
                  <w:rPr>
                    <w:rFonts w:hint="eastAsia" w:ascii="仿宋_GB2312" w:hAnsi="宋体" w:eastAsia="仿宋_GB2312" w:cs="仿宋_GB2312"/>
                    <w:color w:val="FF0000"/>
                    <w:kern w:val="0"/>
                    <w:sz w:val="18"/>
                    <w:szCs w:val="18"/>
                    <w:lang w:bidi="ar"/>
                  </w:rPr>
                </w:rPrChange>
              </w:rPr>
              <w:t>对煤矿处15万元以上20万元以下的罚款，对其直接负责的主管人员和其他直接责任人员处1.8万元以上2万元以下的罚款。</w:t>
            </w:r>
          </w:p>
          <w:p w14:paraId="270BF96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Change w:id="2199" w:author="LV" w:date="2026-07-14T16:45:20Z">
                  <w:rPr>
                    <w:rFonts w:ascii="仿宋_GB2312" w:hAnsi="宋体" w:eastAsia="仿宋_GB2312" w:cs="仿宋_GB2312"/>
                    <w:color w:val="FF0000"/>
                    <w:sz w:val="18"/>
                    <w:szCs w:val="18"/>
                  </w:rPr>
                </w:rPrChange>
              </w:rPr>
            </w:pPr>
            <w:r>
              <w:rPr>
                <w:rFonts w:hint="eastAsia" w:ascii="仿宋_GB2312" w:hAnsi="宋体" w:eastAsia="仿宋_GB2312" w:cs="仿宋_GB2312"/>
                <w:color w:val="auto"/>
                <w:kern w:val="0"/>
                <w:sz w:val="18"/>
                <w:szCs w:val="18"/>
                <w:lang w:val="en-US" w:eastAsia="zh-CN" w:bidi="ar"/>
                <w:rPrChange w:id="2200" w:author="LV" w:date="2026-07-14T16:45:20Z">
                  <w:rPr>
                    <w:rFonts w:hint="eastAsia" w:ascii="仿宋_GB2312" w:hAnsi="宋体" w:eastAsia="仿宋_GB2312" w:cs="仿宋_GB2312"/>
                    <w:color w:val="FF0000"/>
                    <w:kern w:val="0"/>
                    <w:sz w:val="18"/>
                    <w:szCs w:val="18"/>
                    <w:lang w:val="en-US" w:eastAsia="zh-CN" w:bidi="ar"/>
                  </w:rPr>
                </w:rPrChange>
              </w:rPr>
              <w:t>②</w:t>
            </w:r>
            <w:r>
              <w:rPr>
                <w:rFonts w:hint="eastAsia" w:ascii="仿宋_GB2312" w:hAnsi="宋体" w:eastAsia="仿宋_GB2312" w:cs="仿宋_GB2312"/>
                <w:color w:val="auto"/>
                <w:kern w:val="0"/>
                <w:sz w:val="18"/>
                <w:szCs w:val="18"/>
                <w:lang w:bidi="ar"/>
                <w:rPrChange w:id="2201" w:author="LV" w:date="2026-07-14T16:45:20Z">
                  <w:rPr>
                    <w:rFonts w:hint="eastAsia" w:ascii="仿宋_GB2312" w:hAnsi="宋体" w:eastAsia="仿宋_GB2312" w:cs="仿宋_GB2312"/>
                    <w:color w:val="FF0000"/>
                    <w:kern w:val="0"/>
                    <w:sz w:val="18"/>
                    <w:szCs w:val="18"/>
                    <w:lang w:bidi="ar"/>
                  </w:rPr>
                </w:rPrChange>
              </w:rPr>
              <w:t>情节严重的</w:t>
            </w:r>
            <w:r>
              <w:rPr>
                <w:rFonts w:hint="eastAsia" w:ascii="仿宋_GB2312" w:hAnsi="宋体" w:eastAsia="仿宋_GB2312" w:cs="仿宋_GB2312"/>
                <w:color w:val="auto"/>
                <w:kern w:val="0"/>
                <w:sz w:val="18"/>
                <w:szCs w:val="18"/>
                <w:lang w:eastAsia="zh-CN" w:bidi="ar"/>
                <w:rPrChange w:id="2202" w:author="LV" w:date="2026-07-14T16:45:20Z">
                  <w:rPr>
                    <w:rFonts w:hint="eastAsia" w:ascii="仿宋_GB2312" w:hAnsi="宋体" w:eastAsia="仿宋_GB2312" w:cs="仿宋_GB2312"/>
                    <w:color w:val="FF0000"/>
                    <w:kern w:val="0"/>
                    <w:sz w:val="18"/>
                    <w:szCs w:val="18"/>
                    <w:lang w:eastAsia="zh-CN" w:bidi="ar"/>
                  </w:rPr>
                </w:rPrChange>
              </w:rPr>
              <w:t>，</w:t>
            </w:r>
            <w:r>
              <w:rPr>
                <w:rFonts w:hint="eastAsia" w:ascii="仿宋_GB2312" w:hAnsi="宋体" w:eastAsia="仿宋_GB2312" w:cs="仿宋_GB2312"/>
                <w:color w:val="auto"/>
                <w:kern w:val="0"/>
                <w:sz w:val="18"/>
                <w:szCs w:val="18"/>
                <w:lang w:bidi="ar"/>
                <w:rPrChange w:id="2203" w:author="LV" w:date="2026-07-14T16:45:20Z">
                  <w:rPr>
                    <w:rFonts w:hint="eastAsia" w:ascii="仿宋_GB2312" w:hAnsi="宋体" w:eastAsia="仿宋_GB2312" w:cs="仿宋_GB2312"/>
                    <w:color w:val="FF0000"/>
                    <w:kern w:val="0"/>
                    <w:sz w:val="18"/>
                    <w:szCs w:val="18"/>
                    <w:lang w:bidi="ar"/>
                  </w:rPr>
                </w:rPrChange>
              </w:rPr>
              <w:t>责令停产停业整顿</w:t>
            </w:r>
            <w:r>
              <w:rPr>
                <w:rFonts w:hint="eastAsia" w:ascii="仿宋_GB2312" w:hAnsi="宋体" w:eastAsia="仿宋_GB2312" w:cs="仿宋_GB2312"/>
                <w:color w:val="auto"/>
                <w:kern w:val="0"/>
                <w:sz w:val="18"/>
                <w:szCs w:val="18"/>
                <w:lang w:eastAsia="zh-CN" w:bidi="ar"/>
                <w:rPrChange w:id="2204" w:author="LV" w:date="2026-07-14T16:45:20Z">
                  <w:rPr>
                    <w:rFonts w:hint="eastAsia" w:ascii="仿宋_GB2312" w:hAnsi="宋体" w:eastAsia="仿宋_GB2312" w:cs="仿宋_GB2312"/>
                    <w:color w:val="FF0000"/>
                    <w:kern w:val="0"/>
                    <w:sz w:val="18"/>
                    <w:szCs w:val="18"/>
                    <w:lang w:eastAsia="zh-CN" w:bidi="ar"/>
                  </w:rPr>
                </w:rPrChange>
              </w:rPr>
              <w:t>，</w:t>
            </w:r>
            <w:r>
              <w:rPr>
                <w:rFonts w:hint="eastAsia" w:ascii="仿宋_GB2312" w:hAnsi="宋体" w:eastAsia="仿宋_GB2312" w:cs="仿宋_GB2312"/>
                <w:color w:val="auto"/>
                <w:kern w:val="0"/>
                <w:sz w:val="18"/>
                <w:szCs w:val="18"/>
                <w:lang w:bidi="ar"/>
                <w:rPrChange w:id="2205" w:author="LV" w:date="2026-07-14T16:45:20Z">
                  <w:rPr>
                    <w:rFonts w:hint="eastAsia" w:ascii="仿宋_GB2312" w:hAnsi="宋体" w:eastAsia="仿宋_GB2312" w:cs="仿宋_GB2312"/>
                    <w:color w:val="FF0000"/>
                    <w:kern w:val="0"/>
                    <w:sz w:val="18"/>
                    <w:szCs w:val="18"/>
                    <w:lang w:bidi="ar"/>
                  </w:rPr>
                </w:rPrChange>
              </w:rPr>
              <w:t>对煤矿处15万元以上20万元以下的罚款，对其直接负责的主管人员和其他直接责任人员处1.8万元以上2万元以下的罚款。</w:t>
            </w:r>
          </w:p>
        </w:tc>
      </w:tr>
      <w:tr w14:paraId="0E4F94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2206" w:author="LV" w:date="2026-07-14T16:45:57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wBefore w:w="0" w:type="auto"/>
          <w:trHeight w:val="445" w:hRule="atLeast"/>
          <w:jc w:val="center"/>
          <w:trPrChange w:id="2206" w:author="LV" w:date="2026-07-14T16:45:57Z">
            <w:trPr>
              <w:gridBefore w:val="2"/>
              <w:wBefore w:w="15" w:type="dxa"/>
              <w:trHeight w:val="510" w:hRule="atLeast"/>
              <w:jc w:val="center"/>
            </w:trPr>
          </w:trPrChange>
        </w:trPr>
        <w:tc>
          <w:tcPr>
            <w:tcW w:w="418" w:type="dxa"/>
            <w:vMerge w:val="restart"/>
            <w:tcBorders>
              <w:tl2br w:val="nil"/>
              <w:tr2bl w:val="nil"/>
            </w:tcBorders>
            <w:shd w:val="clear" w:color="auto" w:fill="auto"/>
            <w:noWrap/>
            <w:tcMar>
              <w:top w:w="15" w:type="dxa"/>
              <w:left w:w="15" w:type="dxa"/>
              <w:right w:w="15" w:type="dxa"/>
            </w:tcMar>
            <w:vAlign w:val="center"/>
            <w:tcPrChange w:id="2207" w:author="LV" w:date="2026-07-14T16:45:57Z">
              <w:tcPr>
                <w:tcW w:w="418" w:type="dxa"/>
                <w:gridSpan w:val="3"/>
                <w:vMerge w:val="restart"/>
                <w:tcBorders>
                  <w:tl2br w:val="nil"/>
                  <w:tr2bl w:val="nil"/>
                </w:tcBorders>
                <w:shd w:val="clear" w:color="auto" w:fill="auto"/>
                <w:noWrap/>
                <w:tcMar>
                  <w:top w:w="15" w:type="dxa"/>
                  <w:left w:w="15" w:type="dxa"/>
                  <w:right w:w="15" w:type="dxa"/>
                </w:tcMar>
                <w:vAlign w:val="center"/>
              </w:tcPr>
            </w:tcPrChange>
          </w:tcPr>
          <w:p w14:paraId="05B8886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z w:val="18"/>
                <w:szCs w:val="18"/>
                <w:lang w:eastAsia="zh-CN"/>
              </w:rPr>
            </w:pPr>
            <w:r>
              <w:rPr>
                <w:rFonts w:hint="eastAsia" w:ascii="仿宋_GB2312" w:hAnsi="宋体" w:eastAsia="仿宋_GB2312" w:cs="仿宋_GB2312"/>
                <w:kern w:val="0"/>
                <w:sz w:val="18"/>
                <w:szCs w:val="18"/>
                <w:lang w:bidi="ar"/>
              </w:rPr>
              <w:t>10</w:t>
            </w:r>
            <w:del w:id="2208" w:author="LV" w:date="2026-07-14T16:45:44Z">
              <w:r>
                <w:rPr>
                  <w:rFonts w:hint="default" w:ascii="仿宋_GB2312" w:hAnsi="宋体" w:eastAsia="仿宋_GB2312" w:cs="仿宋_GB2312"/>
                  <w:kern w:val="0"/>
                  <w:sz w:val="18"/>
                  <w:szCs w:val="18"/>
                  <w:lang w:val="en-US" w:eastAsia="zh-CN" w:bidi="ar"/>
                </w:rPr>
                <w:delText>1</w:delText>
              </w:r>
            </w:del>
            <w:ins w:id="2209" w:author="LV" w:date="2026-07-14T16:45:44Z">
              <w:r>
                <w:rPr>
                  <w:rFonts w:hint="eastAsia" w:ascii="仿宋_GB2312" w:hAnsi="宋体" w:eastAsia="仿宋_GB2312" w:cs="仿宋_GB2312"/>
                  <w:kern w:val="0"/>
                  <w:sz w:val="18"/>
                  <w:szCs w:val="18"/>
                  <w:lang w:val="en-US" w:eastAsia="zh-CN" w:bidi="ar"/>
                </w:rPr>
                <w:t>8</w:t>
              </w:r>
            </w:ins>
          </w:p>
        </w:tc>
        <w:tc>
          <w:tcPr>
            <w:tcW w:w="1005" w:type="dxa"/>
            <w:vMerge w:val="restart"/>
            <w:tcBorders>
              <w:tl2br w:val="nil"/>
              <w:tr2bl w:val="nil"/>
            </w:tcBorders>
            <w:shd w:val="clear" w:color="auto" w:fill="auto"/>
            <w:tcMar>
              <w:top w:w="15" w:type="dxa"/>
              <w:left w:w="15" w:type="dxa"/>
              <w:right w:w="15" w:type="dxa"/>
            </w:tcMar>
            <w:vAlign w:val="center"/>
            <w:tcPrChange w:id="2210" w:author="LV" w:date="2026-07-14T16:45:57Z">
              <w:tcPr>
                <w:tcW w:w="1005" w:type="dxa"/>
                <w:gridSpan w:val="3"/>
                <w:vMerge w:val="restart"/>
                <w:tcBorders>
                  <w:tl2br w:val="nil"/>
                  <w:tr2bl w:val="nil"/>
                </w:tcBorders>
                <w:shd w:val="clear" w:color="auto" w:fill="auto"/>
                <w:tcMar>
                  <w:top w:w="15" w:type="dxa"/>
                  <w:left w:w="15" w:type="dxa"/>
                  <w:right w:w="15" w:type="dxa"/>
                </w:tcMar>
                <w:vAlign w:val="center"/>
              </w:tcPr>
            </w:tcPrChange>
          </w:tcPr>
          <w:p w14:paraId="442BD52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煤矿井下特种设备未经具有专业资质的机构检测、检验合格，取得安全使用证或者安全标志，投入使用的</w:t>
            </w:r>
          </w:p>
        </w:tc>
        <w:tc>
          <w:tcPr>
            <w:tcW w:w="3667" w:type="dxa"/>
            <w:vMerge w:val="restart"/>
            <w:tcBorders>
              <w:tl2br w:val="nil"/>
              <w:tr2bl w:val="nil"/>
            </w:tcBorders>
            <w:shd w:val="clear" w:color="auto" w:fill="auto"/>
            <w:tcMar>
              <w:top w:w="15" w:type="dxa"/>
              <w:left w:w="15" w:type="dxa"/>
              <w:right w:w="15" w:type="dxa"/>
            </w:tcMar>
            <w:vAlign w:val="center"/>
            <w:tcPrChange w:id="2211" w:author="LV" w:date="2026-07-14T16:45:57Z">
              <w:tcPr>
                <w:tcW w:w="3667" w:type="dxa"/>
                <w:gridSpan w:val="3"/>
                <w:vMerge w:val="restart"/>
                <w:tcBorders>
                  <w:tl2br w:val="nil"/>
                  <w:tr2bl w:val="nil"/>
                </w:tcBorders>
                <w:shd w:val="clear" w:color="auto" w:fill="auto"/>
                <w:tcMar>
                  <w:top w:w="15" w:type="dxa"/>
                  <w:left w:w="15" w:type="dxa"/>
                  <w:right w:w="15" w:type="dxa"/>
                </w:tcMar>
                <w:vAlign w:val="center"/>
              </w:tcPr>
            </w:tcPrChange>
          </w:tcPr>
          <w:p w14:paraId="7A6114C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《安全生产法》第三十七条 生产经营单位使用的危险物品的容器、运输工具，以及涉及人身安全、危险性较大的海洋石油开采特种设备和矿山井下特种设备，必须按照国家有关规定，由专业生产单位生产，并经具有专业资质的检测、检验机构检测、检验合格，取得安全使用证或者安全标志，方可投入使用。检测、检验机构对检测、检验结果责。</w:t>
            </w:r>
          </w:p>
        </w:tc>
        <w:tc>
          <w:tcPr>
            <w:tcW w:w="4082" w:type="dxa"/>
            <w:vMerge w:val="restart"/>
            <w:tcBorders>
              <w:tl2br w:val="nil"/>
              <w:tr2bl w:val="nil"/>
            </w:tcBorders>
            <w:shd w:val="clear" w:color="auto" w:fill="auto"/>
            <w:tcMar>
              <w:top w:w="15" w:type="dxa"/>
              <w:left w:w="15" w:type="dxa"/>
              <w:right w:w="15" w:type="dxa"/>
            </w:tcMar>
            <w:vAlign w:val="center"/>
            <w:tcPrChange w:id="2212" w:author="LV" w:date="2026-07-14T16:45:57Z">
              <w:tcPr>
                <w:tcW w:w="4082" w:type="dxa"/>
                <w:gridSpan w:val="3"/>
                <w:vMerge w:val="restart"/>
                <w:tcBorders>
                  <w:tl2br w:val="nil"/>
                  <w:tr2bl w:val="nil"/>
                </w:tcBorders>
                <w:shd w:val="clear" w:color="auto" w:fill="auto"/>
                <w:tcMar>
                  <w:top w:w="15" w:type="dxa"/>
                  <w:left w:w="15" w:type="dxa"/>
                  <w:right w:w="15" w:type="dxa"/>
                </w:tcMar>
                <w:vAlign w:val="center"/>
              </w:tcPr>
            </w:tcPrChange>
          </w:tcPr>
          <w:p w14:paraId="7699F5A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《安全生产法》第九十九条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六）危险物品的容器、运输工具，以及涉及人身安全、危险性较大的海洋石油开采特种设备和矿山井下特种设备未经具有专业资质的机构检测、检验合格，取得安全使用证或者安全标志，投入使用的。</w:t>
            </w:r>
          </w:p>
        </w:tc>
        <w:tc>
          <w:tcPr>
            <w:tcW w:w="459" w:type="dxa"/>
            <w:tcBorders>
              <w:tl2br w:val="nil"/>
              <w:tr2bl w:val="nil"/>
            </w:tcBorders>
            <w:shd w:val="clear" w:color="auto" w:fill="auto"/>
            <w:noWrap/>
            <w:tcMar>
              <w:top w:w="15" w:type="dxa"/>
              <w:left w:w="15" w:type="dxa"/>
              <w:right w:w="15" w:type="dxa"/>
            </w:tcMar>
            <w:vAlign w:val="center"/>
            <w:tcPrChange w:id="2213" w:author="LV" w:date="2026-07-14T16:45:57Z">
              <w:tcPr>
                <w:tcW w:w="459" w:type="dxa"/>
                <w:gridSpan w:val="3"/>
                <w:tcBorders>
                  <w:tl2br w:val="nil"/>
                  <w:tr2bl w:val="nil"/>
                </w:tcBorders>
                <w:shd w:val="clear" w:color="auto" w:fill="auto"/>
                <w:noWrap/>
                <w:tcMar>
                  <w:top w:w="15" w:type="dxa"/>
                  <w:left w:w="15" w:type="dxa"/>
                  <w:right w:w="15" w:type="dxa"/>
                </w:tcMar>
                <w:vAlign w:val="center"/>
              </w:tcPr>
            </w:tcPrChange>
          </w:tcPr>
          <w:p w14:paraId="74F307C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Change w:id="2214" w:author="LV" w:date="2026-07-14T16:45:57Z">
              <w:tcPr>
                <w:tcW w:w="1829" w:type="dxa"/>
                <w:gridSpan w:val="3"/>
                <w:tcBorders>
                  <w:tl2br w:val="nil"/>
                  <w:tr2bl w:val="nil"/>
                </w:tcBorders>
                <w:shd w:val="clear" w:color="auto" w:fill="auto"/>
                <w:tcMar>
                  <w:top w:w="15" w:type="dxa"/>
                  <w:left w:w="15" w:type="dxa"/>
                  <w:right w:w="15" w:type="dxa"/>
                </w:tcMar>
                <w:vAlign w:val="center"/>
              </w:tcPr>
            </w:tcPrChange>
          </w:tcPr>
          <w:p w14:paraId="43EBF9F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Change w:id="2215" w:author="LV" w:date="2026-07-14T16:45:57Z">
              <w:tcPr>
                <w:tcW w:w="2655" w:type="dxa"/>
                <w:gridSpan w:val="3"/>
                <w:tcBorders>
                  <w:tl2br w:val="nil"/>
                  <w:tr2bl w:val="nil"/>
                </w:tcBorders>
                <w:shd w:val="clear" w:color="auto" w:fill="auto"/>
                <w:tcMar>
                  <w:top w:w="15" w:type="dxa"/>
                  <w:left w:w="15" w:type="dxa"/>
                  <w:right w:w="15" w:type="dxa"/>
                </w:tcMar>
                <w:vAlign w:val="center"/>
              </w:tcPr>
            </w:tcPrChange>
          </w:tcPr>
          <w:p w14:paraId="4DD8596D">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9747F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2216" w:author="LV" w:date="2026-07-14T16:46:00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wBefore w:w="0" w:type="auto"/>
          <w:trHeight w:val="475" w:hRule="atLeast"/>
          <w:jc w:val="center"/>
          <w:trPrChange w:id="2216" w:author="LV" w:date="2026-07-14T16:46:00Z">
            <w:trPr>
              <w:gridBefore w:val="2"/>
              <w:wBefore w:w="15" w:type="dxa"/>
              <w:trHeight w:val="510" w:hRule="atLeast"/>
              <w:jc w:val="center"/>
            </w:trPr>
          </w:trPrChange>
        </w:trPr>
        <w:tc>
          <w:tcPr>
            <w:tcW w:w="418" w:type="dxa"/>
            <w:vMerge w:val="continue"/>
            <w:tcBorders>
              <w:tl2br w:val="nil"/>
              <w:tr2bl w:val="nil"/>
            </w:tcBorders>
            <w:shd w:val="clear" w:color="auto" w:fill="auto"/>
            <w:noWrap/>
            <w:tcMar>
              <w:top w:w="15" w:type="dxa"/>
              <w:left w:w="15" w:type="dxa"/>
              <w:right w:w="15" w:type="dxa"/>
            </w:tcMar>
            <w:vAlign w:val="center"/>
            <w:tcPrChange w:id="2217" w:author="LV" w:date="2026-07-14T16:46:00Z">
              <w:tcPr>
                <w:tcW w:w="418" w:type="dxa"/>
                <w:gridSpan w:val="3"/>
                <w:vMerge w:val="continue"/>
                <w:tcBorders>
                  <w:tl2br w:val="nil"/>
                  <w:tr2bl w:val="nil"/>
                </w:tcBorders>
                <w:shd w:val="clear" w:color="auto" w:fill="auto"/>
                <w:noWrap/>
                <w:tcMar>
                  <w:top w:w="15" w:type="dxa"/>
                  <w:left w:w="15" w:type="dxa"/>
                  <w:right w:w="15" w:type="dxa"/>
                </w:tcMar>
                <w:vAlign w:val="center"/>
              </w:tcPr>
            </w:tcPrChange>
          </w:tcPr>
          <w:p w14:paraId="560227D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Change w:id="2218" w:author="LV" w:date="2026-07-14T16:46:00Z">
              <w:tcPr>
                <w:tcW w:w="1005" w:type="dxa"/>
                <w:gridSpan w:val="3"/>
                <w:vMerge w:val="continue"/>
                <w:tcBorders>
                  <w:tl2br w:val="nil"/>
                  <w:tr2bl w:val="nil"/>
                </w:tcBorders>
                <w:shd w:val="clear" w:color="auto" w:fill="auto"/>
                <w:tcMar>
                  <w:top w:w="15" w:type="dxa"/>
                  <w:left w:w="15" w:type="dxa"/>
                  <w:right w:w="15" w:type="dxa"/>
                </w:tcMar>
                <w:vAlign w:val="center"/>
              </w:tcPr>
            </w:tcPrChange>
          </w:tcPr>
          <w:p w14:paraId="06A4A05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Change w:id="2219" w:author="LV" w:date="2026-07-14T16:46:00Z">
              <w:tcPr>
                <w:tcW w:w="3667" w:type="dxa"/>
                <w:gridSpan w:val="3"/>
                <w:vMerge w:val="continue"/>
                <w:tcBorders>
                  <w:tl2br w:val="nil"/>
                  <w:tr2bl w:val="nil"/>
                </w:tcBorders>
                <w:shd w:val="clear" w:color="auto" w:fill="auto"/>
                <w:tcMar>
                  <w:top w:w="15" w:type="dxa"/>
                  <w:left w:w="15" w:type="dxa"/>
                  <w:right w:w="15" w:type="dxa"/>
                </w:tcMar>
                <w:vAlign w:val="center"/>
              </w:tcPr>
            </w:tcPrChange>
          </w:tcPr>
          <w:p w14:paraId="05C4698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Change w:id="2220" w:author="LV" w:date="2026-07-14T16:46:00Z">
              <w:tcPr>
                <w:tcW w:w="4082" w:type="dxa"/>
                <w:gridSpan w:val="3"/>
                <w:vMerge w:val="continue"/>
                <w:tcBorders>
                  <w:tl2br w:val="nil"/>
                  <w:tr2bl w:val="nil"/>
                </w:tcBorders>
                <w:shd w:val="clear" w:color="auto" w:fill="auto"/>
                <w:tcMar>
                  <w:top w:w="15" w:type="dxa"/>
                  <w:left w:w="15" w:type="dxa"/>
                  <w:right w:w="15" w:type="dxa"/>
                </w:tcMar>
                <w:vAlign w:val="center"/>
              </w:tcPr>
            </w:tcPrChange>
          </w:tcPr>
          <w:p w14:paraId="0C97684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Change w:id="2221" w:author="LV" w:date="2026-07-14T16:46:00Z">
              <w:tcPr>
                <w:tcW w:w="459" w:type="dxa"/>
                <w:gridSpan w:val="3"/>
                <w:tcBorders>
                  <w:tl2br w:val="nil"/>
                  <w:tr2bl w:val="nil"/>
                </w:tcBorders>
                <w:shd w:val="clear" w:color="auto" w:fill="auto"/>
                <w:noWrap/>
                <w:tcMar>
                  <w:top w:w="15" w:type="dxa"/>
                  <w:left w:w="15" w:type="dxa"/>
                  <w:right w:w="15" w:type="dxa"/>
                </w:tcMar>
                <w:vAlign w:val="center"/>
              </w:tcPr>
            </w:tcPrChange>
          </w:tcPr>
          <w:p w14:paraId="48A92CA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Change w:id="2222" w:author="LV" w:date="2026-07-14T16:46:00Z">
              <w:tcPr>
                <w:tcW w:w="1829" w:type="dxa"/>
                <w:gridSpan w:val="3"/>
                <w:tcBorders>
                  <w:tl2br w:val="nil"/>
                  <w:tr2bl w:val="nil"/>
                </w:tcBorders>
                <w:shd w:val="clear" w:color="auto" w:fill="auto"/>
                <w:tcMar>
                  <w:top w:w="15" w:type="dxa"/>
                  <w:left w:w="15" w:type="dxa"/>
                  <w:right w:w="15" w:type="dxa"/>
                </w:tcMar>
                <w:vAlign w:val="center"/>
              </w:tcPr>
            </w:tcPrChange>
          </w:tcPr>
          <w:p w14:paraId="34120E4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Change w:id="2223" w:author="LV" w:date="2026-07-14T16:46:00Z">
              <w:tcPr>
                <w:tcW w:w="2655" w:type="dxa"/>
                <w:gridSpan w:val="3"/>
                <w:tcBorders>
                  <w:tl2br w:val="nil"/>
                  <w:tr2bl w:val="nil"/>
                </w:tcBorders>
                <w:shd w:val="clear" w:color="auto" w:fill="auto"/>
                <w:tcMar>
                  <w:top w:w="15" w:type="dxa"/>
                  <w:left w:w="15" w:type="dxa"/>
                  <w:right w:w="15" w:type="dxa"/>
                </w:tcMar>
                <w:vAlign w:val="center"/>
              </w:tcPr>
            </w:tcPrChange>
          </w:tcPr>
          <w:p w14:paraId="4F8A120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87164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2224" w:author="LV" w:date="2026-07-14T16:46:01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wBefore w:w="0" w:type="auto"/>
          <w:trHeight w:val="365" w:hRule="atLeast"/>
          <w:jc w:val="center"/>
          <w:trPrChange w:id="2224" w:author="LV" w:date="2026-07-14T16:46:01Z">
            <w:trPr>
              <w:gridBefore w:val="2"/>
              <w:wBefore w:w="15" w:type="dxa"/>
              <w:trHeight w:val="510" w:hRule="atLeast"/>
              <w:jc w:val="center"/>
            </w:trPr>
          </w:trPrChange>
        </w:trPr>
        <w:tc>
          <w:tcPr>
            <w:tcW w:w="418" w:type="dxa"/>
            <w:vMerge w:val="continue"/>
            <w:tcBorders>
              <w:tl2br w:val="nil"/>
              <w:tr2bl w:val="nil"/>
            </w:tcBorders>
            <w:shd w:val="clear" w:color="auto" w:fill="auto"/>
            <w:noWrap/>
            <w:tcMar>
              <w:top w:w="15" w:type="dxa"/>
              <w:left w:w="15" w:type="dxa"/>
              <w:right w:w="15" w:type="dxa"/>
            </w:tcMar>
            <w:vAlign w:val="center"/>
            <w:tcPrChange w:id="2225" w:author="LV" w:date="2026-07-14T16:46:01Z">
              <w:tcPr>
                <w:tcW w:w="418" w:type="dxa"/>
                <w:gridSpan w:val="3"/>
                <w:vMerge w:val="continue"/>
                <w:tcBorders>
                  <w:tl2br w:val="nil"/>
                  <w:tr2bl w:val="nil"/>
                </w:tcBorders>
                <w:shd w:val="clear" w:color="auto" w:fill="auto"/>
                <w:noWrap/>
                <w:tcMar>
                  <w:top w:w="15" w:type="dxa"/>
                  <w:left w:w="15" w:type="dxa"/>
                  <w:right w:w="15" w:type="dxa"/>
                </w:tcMar>
                <w:vAlign w:val="center"/>
              </w:tcPr>
            </w:tcPrChange>
          </w:tcPr>
          <w:p w14:paraId="33E89EF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Change w:id="2226" w:author="LV" w:date="2026-07-14T16:46:01Z">
              <w:tcPr>
                <w:tcW w:w="1005" w:type="dxa"/>
                <w:gridSpan w:val="3"/>
                <w:vMerge w:val="continue"/>
                <w:tcBorders>
                  <w:tl2br w:val="nil"/>
                  <w:tr2bl w:val="nil"/>
                </w:tcBorders>
                <w:shd w:val="clear" w:color="auto" w:fill="auto"/>
                <w:tcMar>
                  <w:top w:w="15" w:type="dxa"/>
                  <w:left w:w="15" w:type="dxa"/>
                  <w:right w:w="15" w:type="dxa"/>
                </w:tcMar>
                <w:vAlign w:val="center"/>
              </w:tcPr>
            </w:tcPrChange>
          </w:tcPr>
          <w:p w14:paraId="221EAE7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Change w:id="2227" w:author="LV" w:date="2026-07-14T16:46:01Z">
              <w:tcPr>
                <w:tcW w:w="3667" w:type="dxa"/>
                <w:gridSpan w:val="3"/>
                <w:vMerge w:val="continue"/>
                <w:tcBorders>
                  <w:tl2br w:val="nil"/>
                  <w:tr2bl w:val="nil"/>
                </w:tcBorders>
                <w:shd w:val="clear" w:color="auto" w:fill="auto"/>
                <w:tcMar>
                  <w:top w:w="15" w:type="dxa"/>
                  <w:left w:w="15" w:type="dxa"/>
                  <w:right w:w="15" w:type="dxa"/>
                </w:tcMar>
                <w:vAlign w:val="center"/>
              </w:tcPr>
            </w:tcPrChange>
          </w:tcPr>
          <w:p w14:paraId="3E52770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Change w:id="2228" w:author="LV" w:date="2026-07-14T16:46:01Z">
              <w:tcPr>
                <w:tcW w:w="4082" w:type="dxa"/>
                <w:gridSpan w:val="3"/>
                <w:vMerge w:val="continue"/>
                <w:tcBorders>
                  <w:tl2br w:val="nil"/>
                  <w:tr2bl w:val="nil"/>
                </w:tcBorders>
                <w:shd w:val="clear" w:color="auto" w:fill="auto"/>
                <w:tcMar>
                  <w:top w:w="15" w:type="dxa"/>
                  <w:left w:w="15" w:type="dxa"/>
                  <w:right w:w="15" w:type="dxa"/>
                </w:tcMar>
                <w:vAlign w:val="center"/>
              </w:tcPr>
            </w:tcPrChange>
          </w:tcPr>
          <w:p w14:paraId="17FBA37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Change w:id="2229" w:author="LV" w:date="2026-07-14T16:46:01Z">
              <w:tcPr>
                <w:tcW w:w="459" w:type="dxa"/>
                <w:gridSpan w:val="3"/>
                <w:tcBorders>
                  <w:tl2br w:val="nil"/>
                  <w:tr2bl w:val="nil"/>
                </w:tcBorders>
                <w:shd w:val="clear" w:color="auto" w:fill="auto"/>
                <w:noWrap/>
                <w:tcMar>
                  <w:top w:w="15" w:type="dxa"/>
                  <w:left w:w="15" w:type="dxa"/>
                  <w:right w:w="15" w:type="dxa"/>
                </w:tcMar>
                <w:vAlign w:val="center"/>
              </w:tcPr>
            </w:tcPrChange>
          </w:tcPr>
          <w:p w14:paraId="1F12AC2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Change w:id="2230" w:author="LV" w:date="2026-07-14T16:46:01Z">
              <w:tcPr>
                <w:tcW w:w="1829" w:type="dxa"/>
                <w:gridSpan w:val="3"/>
                <w:tcBorders>
                  <w:tl2br w:val="nil"/>
                  <w:tr2bl w:val="nil"/>
                </w:tcBorders>
                <w:shd w:val="clear" w:color="auto" w:fill="auto"/>
                <w:tcMar>
                  <w:top w:w="15" w:type="dxa"/>
                  <w:left w:w="15" w:type="dxa"/>
                  <w:right w:w="15" w:type="dxa"/>
                </w:tcMar>
                <w:vAlign w:val="center"/>
              </w:tcPr>
            </w:tcPrChange>
          </w:tcPr>
          <w:p w14:paraId="30F85BD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Change w:id="2231" w:author="LV" w:date="2026-07-14T16:46:01Z">
              <w:tcPr>
                <w:tcW w:w="2655" w:type="dxa"/>
                <w:gridSpan w:val="3"/>
                <w:tcBorders>
                  <w:tl2br w:val="nil"/>
                  <w:tr2bl w:val="nil"/>
                </w:tcBorders>
                <w:shd w:val="clear" w:color="auto" w:fill="auto"/>
                <w:tcMar>
                  <w:top w:w="15" w:type="dxa"/>
                  <w:left w:w="15" w:type="dxa"/>
                  <w:right w:w="15" w:type="dxa"/>
                </w:tcMar>
                <w:vAlign w:val="center"/>
              </w:tcPr>
            </w:tcPrChange>
          </w:tcPr>
          <w:p w14:paraId="56A769E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B4849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85C35C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7EBD5E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61F39C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C71431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C217D4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44C23C5E">
            <w:pPr>
              <w:keepNext w:val="0"/>
              <w:keepLines w:val="0"/>
              <w:pageBreakBefore w:val="0"/>
              <w:widowControl w:val="0"/>
              <w:kinsoku/>
              <w:wordWrap/>
              <w:overflowPunct w:val="0"/>
              <w:topLinePunct w:val="0"/>
              <w:autoSpaceDE/>
              <w:autoSpaceDN/>
              <w:bidi w:val="0"/>
              <w:adjustRightInd/>
              <w:snapToGrid/>
              <w:spacing w:line="21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1处危险物品的容器、运输工具，以及涉及人身安全、危险性较大的海洋石油开采特种设备和矿山井下特种设备未经具有专业资质的机构检测、检验合格，取得安全使用证或者安全标志，投入使用的。</w:t>
            </w:r>
          </w:p>
        </w:tc>
        <w:tc>
          <w:tcPr>
            <w:tcW w:w="2655" w:type="dxa"/>
            <w:tcBorders>
              <w:tl2br w:val="nil"/>
              <w:tr2bl w:val="nil"/>
            </w:tcBorders>
            <w:shd w:val="clear" w:color="auto" w:fill="auto"/>
            <w:tcMar>
              <w:top w:w="15" w:type="dxa"/>
              <w:left w:w="15" w:type="dxa"/>
              <w:right w:w="15" w:type="dxa"/>
            </w:tcMar>
            <w:vAlign w:val="center"/>
          </w:tcPr>
          <w:p w14:paraId="2FB0C26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处1万元以下的罚款。</w:t>
            </w:r>
          </w:p>
        </w:tc>
      </w:tr>
      <w:tr w14:paraId="307921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E83835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74053F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721784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689E59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C9CE861">
            <w:pPr>
              <w:keepNext w:val="0"/>
              <w:keepLines w:val="0"/>
              <w:pageBreakBefore w:val="0"/>
              <w:widowControl w:val="0"/>
              <w:kinsoku/>
              <w:wordWrap/>
              <w:overflowPunct w:val="0"/>
              <w:topLinePunct w:val="0"/>
              <w:autoSpaceDE/>
              <w:autoSpaceDN/>
              <w:bidi w:val="0"/>
              <w:adjustRightInd/>
              <w:snapToGrid/>
              <w:spacing w:line="210" w:lineRule="exact"/>
              <w:ind w:left="0" w:leftChars="0" w:right="0" w:rightChars="0" w:firstLine="0" w:firstLineChars="0"/>
              <w:jc w:val="left"/>
              <w:textAlignment w:val="center"/>
              <w:rPr>
                <w:rFonts w:hint="eastAsia" w:ascii="仿宋_GB2312" w:hAnsi="宋体" w:eastAsia="仿宋_GB2312" w:cs="仿宋_GB2312"/>
                <w:color w:val="auto"/>
                <w:kern w:val="0"/>
                <w:sz w:val="18"/>
                <w:szCs w:val="18"/>
                <w:lang w:bidi="ar"/>
                <w:rPrChange w:id="2233" w:author="LV" w:date="2026-07-14T16:46:14Z">
                  <w:rPr>
                    <w:rFonts w:ascii="仿宋_GB2312" w:hAnsi="宋体" w:eastAsia="仿宋_GB2312" w:cs="仿宋_GB2312"/>
                    <w:color w:val="auto"/>
                    <w:sz w:val="18"/>
                    <w:szCs w:val="18"/>
                  </w:rPr>
                </w:rPrChange>
              </w:rPr>
              <w:pPrChange w:id="2232" w:author="LV" w:date="2026-07-14T16:46:14Z">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pPr>
              </w:pPrChange>
            </w:pPr>
            <w:r>
              <w:rPr>
                <w:rFonts w:hint="eastAsia" w:ascii="仿宋_GB2312" w:hAnsi="宋体" w:eastAsia="仿宋_GB2312" w:cs="仿宋_GB2312"/>
                <w:color w:val="auto"/>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65C8AA1A">
            <w:pPr>
              <w:keepNext w:val="0"/>
              <w:keepLines w:val="0"/>
              <w:pageBreakBefore w:val="0"/>
              <w:widowControl w:val="0"/>
              <w:kinsoku/>
              <w:wordWrap/>
              <w:overflowPunct w:val="0"/>
              <w:topLinePunct w:val="0"/>
              <w:autoSpaceDE/>
              <w:autoSpaceDN/>
              <w:bidi w:val="0"/>
              <w:adjustRightInd/>
              <w:snapToGrid/>
              <w:spacing w:line="210" w:lineRule="exact"/>
              <w:textAlignment w:val="center"/>
              <w:rPr>
                <w:rFonts w:hint="eastAsia" w:ascii="仿宋_GB2312" w:hAnsi="宋体" w:eastAsia="仿宋_GB2312" w:cs="仿宋_GB2312"/>
                <w:color w:val="auto"/>
                <w:kern w:val="0"/>
                <w:sz w:val="18"/>
                <w:szCs w:val="18"/>
                <w:lang w:bidi="ar"/>
                <w:rPrChange w:id="2234" w:author="LV" w:date="2026-07-14T16:46:14Z">
                  <w:rPr>
                    <w:rFonts w:ascii="仿宋_GB2312" w:hAnsi="宋体" w:eastAsia="仿宋_GB2312" w:cs="仿宋_GB2312"/>
                    <w:color w:val="FF0000"/>
                    <w:sz w:val="18"/>
                    <w:szCs w:val="18"/>
                  </w:rPr>
                </w:rPrChange>
              </w:rPr>
            </w:pPr>
            <w:r>
              <w:rPr>
                <w:rFonts w:hint="eastAsia" w:ascii="仿宋_GB2312" w:hAnsi="宋体" w:eastAsia="仿宋_GB2312" w:cs="仿宋_GB2312"/>
                <w:color w:val="auto"/>
                <w:kern w:val="0"/>
                <w:sz w:val="18"/>
                <w:szCs w:val="18"/>
                <w:lang w:bidi="ar"/>
                <w:rPrChange w:id="2235" w:author="LV" w:date="2026-07-14T16:46:14Z">
                  <w:rPr>
                    <w:rFonts w:hint="eastAsia" w:ascii="仿宋_GB2312" w:hAnsi="宋体" w:eastAsia="仿宋_GB2312" w:cs="仿宋_GB2312"/>
                    <w:color w:val="FF0000"/>
                    <w:kern w:val="0"/>
                    <w:sz w:val="18"/>
                    <w:szCs w:val="18"/>
                    <w:lang w:bidi="ar"/>
                  </w:rPr>
                </w:rPrChange>
              </w:rPr>
              <w:t>2处危险物品的容器、运输工具，以及涉及人身安全、危险性较大的海洋石油开采特种设备和矿山井下特种设备未经具有专业资质的机构检测、检验合格，取得安全使用证或者安全标志，投入使用的。</w:t>
            </w:r>
          </w:p>
        </w:tc>
        <w:tc>
          <w:tcPr>
            <w:tcW w:w="2655" w:type="dxa"/>
            <w:tcBorders>
              <w:tl2br w:val="nil"/>
              <w:tr2bl w:val="nil"/>
            </w:tcBorders>
            <w:shd w:val="clear" w:color="auto" w:fill="auto"/>
            <w:tcMar>
              <w:top w:w="15" w:type="dxa"/>
              <w:left w:w="15" w:type="dxa"/>
              <w:right w:w="15" w:type="dxa"/>
            </w:tcMar>
            <w:vAlign w:val="center"/>
          </w:tcPr>
          <w:p w14:paraId="2970E5FF">
            <w:pPr>
              <w:keepNext w:val="0"/>
              <w:keepLines w:val="0"/>
              <w:pageBreakBefore w:val="0"/>
              <w:widowControl w:val="0"/>
              <w:kinsoku/>
              <w:wordWrap/>
              <w:overflowPunct w:val="0"/>
              <w:topLinePunct w:val="0"/>
              <w:autoSpaceDE/>
              <w:autoSpaceDN/>
              <w:bidi w:val="0"/>
              <w:adjustRightInd/>
              <w:snapToGrid/>
              <w:spacing w:line="210" w:lineRule="exact"/>
              <w:textAlignment w:val="center"/>
              <w:rPr>
                <w:rFonts w:hint="eastAsia" w:ascii="仿宋_GB2312" w:hAnsi="宋体" w:eastAsia="仿宋_GB2312" w:cs="仿宋_GB2312"/>
                <w:color w:val="auto"/>
                <w:kern w:val="0"/>
                <w:sz w:val="18"/>
                <w:szCs w:val="18"/>
                <w:lang w:bidi="ar"/>
                <w:rPrChange w:id="2237" w:author="LV" w:date="2026-07-14T16:46:14Z">
                  <w:rPr>
                    <w:rFonts w:ascii="仿宋_GB2312" w:hAnsi="宋体" w:eastAsia="仿宋_GB2312" w:cs="仿宋_GB2312"/>
                    <w:color w:val="FF0000"/>
                    <w:sz w:val="18"/>
                    <w:szCs w:val="18"/>
                  </w:rPr>
                </w:rPrChange>
              </w:rPr>
              <w:pPrChange w:id="2236" w:author="LV" w:date="2026-07-14T16:46:14Z">
                <w:pPr>
                  <w:keepNext w:val="0"/>
                  <w:keepLines w:val="0"/>
                  <w:pageBreakBefore w:val="0"/>
                  <w:widowControl w:val="0"/>
                  <w:kinsoku/>
                  <w:wordWrap/>
                  <w:overflowPunct w:val="0"/>
                  <w:topLinePunct w:val="0"/>
                  <w:autoSpaceDE/>
                  <w:autoSpaceDN/>
                  <w:bidi w:val="0"/>
                  <w:adjustRightInd/>
                  <w:snapToGrid/>
                  <w:spacing w:line="280" w:lineRule="exact"/>
                  <w:textAlignment w:val="center"/>
                </w:pPr>
              </w:pPrChange>
            </w:pPr>
            <w:r>
              <w:rPr>
                <w:rFonts w:hint="eastAsia" w:ascii="仿宋_GB2312" w:hAnsi="宋体" w:eastAsia="仿宋_GB2312" w:cs="仿宋_GB2312"/>
                <w:color w:val="auto"/>
                <w:kern w:val="0"/>
                <w:sz w:val="18"/>
                <w:szCs w:val="18"/>
                <w:lang w:bidi="ar"/>
                <w:rPrChange w:id="2238" w:author="LV" w:date="2026-07-14T16:46:14Z">
                  <w:rPr>
                    <w:rFonts w:hint="eastAsia" w:ascii="仿宋_GB2312" w:hAnsi="宋体" w:eastAsia="仿宋_GB2312" w:cs="仿宋_GB2312"/>
                    <w:color w:val="FF0000"/>
                    <w:kern w:val="0"/>
                    <w:sz w:val="18"/>
                    <w:szCs w:val="18"/>
                    <w:lang w:bidi="ar"/>
                  </w:rPr>
                </w:rPrChange>
              </w:rPr>
              <w:t>处1万元以上4万元以下的罚款。</w:t>
            </w:r>
          </w:p>
        </w:tc>
      </w:tr>
      <w:tr w14:paraId="60DAE6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95"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C5FCFD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305CAF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51D20D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F0B8AB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9B51E64">
            <w:pPr>
              <w:keepNext w:val="0"/>
              <w:keepLines w:val="0"/>
              <w:pageBreakBefore w:val="0"/>
              <w:widowControl w:val="0"/>
              <w:kinsoku/>
              <w:wordWrap/>
              <w:overflowPunct w:val="0"/>
              <w:topLinePunct w:val="0"/>
              <w:autoSpaceDE/>
              <w:autoSpaceDN/>
              <w:bidi w:val="0"/>
              <w:adjustRightInd/>
              <w:snapToGrid/>
              <w:spacing w:line="210" w:lineRule="exact"/>
              <w:ind w:left="0" w:leftChars="0" w:right="0" w:rightChars="0" w:firstLine="0" w:firstLineChars="0"/>
              <w:jc w:val="left"/>
              <w:textAlignment w:val="center"/>
              <w:rPr>
                <w:rFonts w:hint="eastAsia" w:ascii="仿宋_GB2312" w:hAnsi="宋体" w:eastAsia="仿宋_GB2312" w:cs="仿宋_GB2312"/>
                <w:color w:val="auto"/>
                <w:kern w:val="0"/>
                <w:sz w:val="18"/>
                <w:szCs w:val="18"/>
                <w:lang w:bidi="ar"/>
                <w:rPrChange w:id="2240" w:author="LV" w:date="2026-07-14T16:46:14Z">
                  <w:rPr>
                    <w:rFonts w:ascii="仿宋_GB2312" w:hAnsi="宋体" w:eastAsia="仿宋_GB2312" w:cs="仿宋_GB2312"/>
                    <w:color w:val="auto"/>
                    <w:sz w:val="18"/>
                    <w:szCs w:val="18"/>
                  </w:rPr>
                </w:rPrChange>
              </w:rPr>
              <w:pPrChange w:id="2239" w:author="LV" w:date="2026-07-14T16:46:14Z">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pPr>
              </w:pPrChange>
            </w:pPr>
            <w:r>
              <w:rPr>
                <w:rFonts w:hint="eastAsia" w:ascii="仿宋_GB2312" w:hAnsi="宋体" w:eastAsia="仿宋_GB2312" w:cs="仿宋_GB2312"/>
                <w:color w:val="auto"/>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6612A337">
            <w:pPr>
              <w:keepNext w:val="0"/>
              <w:keepLines w:val="0"/>
              <w:pageBreakBefore w:val="0"/>
              <w:widowControl w:val="0"/>
              <w:kinsoku/>
              <w:wordWrap/>
              <w:overflowPunct w:val="0"/>
              <w:topLinePunct w:val="0"/>
              <w:autoSpaceDE/>
              <w:autoSpaceDN/>
              <w:bidi w:val="0"/>
              <w:adjustRightInd/>
              <w:snapToGrid/>
              <w:spacing w:line="210" w:lineRule="exact"/>
              <w:textAlignment w:val="center"/>
              <w:rPr>
                <w:del w:id="2241" w:author="LV" w:date="2026-07-14T16:46:34Z"/>
                <w:rFonts w:hint="eastAsia" w:ascii="仿宋_GB2312" w:hAnsi="宋体" w:eastAsia="仿宋_GB2312" w:cs="仿宋_GB2312"/>
                <w:color w:val="auto"/>
                <w:kern w:val="0"/>
                <w:sz w:val="18"/>
                <w:szCs w:val="18"/>
                <w:lang w:bidi="ar"/>
                <w:rPrChange w:id="2242" w:author="LV" w:date="2026-07-14T16:46:14Z">
                  <w:rPr>
                    <w:del w:id="2243" w:author="LV" w:date="2026-07-14T16:46:34Z"/>
                    <w:rFonts w:hint="eastAsia" w:ascii="仿宋_GB2312" w:hAnsi="宋体" w:eastAsia="仿宋_GB2312" w:cs="仿宋_GB2312"/>
                    <w:color w:val="FF0000"/>
                    <w:kern w:val="0"/>
                    <w:sz w:val="18"/>
                    <w:szCs w:val="18"/>
                    <w:lang w:bidi="ar"/>
                  </w:rPr>
                </w:rPrChange>
              </w:rPr>
            </w:pPr>
            <w:r>
              <w:rPr>
                <w:rFonts w:hint="eastAsia" w:ascii="仿宋_GB2312" w:hAnsi="宋体" w:eastAsia="仿宋_GB2312" w:cs="仿宋_GB2312"/>
                <w:color w:val="auto"/>
                <w:kern w:val="0"/>
                <w:sz w:val="18"/>
                <w:szCs w:val="18"/>
                <w:lang w:val="en-US" w:eastAsia="zh-CN" w:bidi="ar"/>
                <w:rPrChange w:id="2244" w:author="LV" w:date="2026-07-14T16:46:14Z">
                  <w:rPr>
                    <w:rFonts w:hint="eastAsia" w:ascii="仿宋_GB2312" w:hAnsi="宋体" w:eastAsia="仿宋_GB2312" w:cs="仿宋_GB2312"/>
                    <w:color w:val="FF0000"/>
                    <w:kern w:val="0"/>
                    <w:sz w:val="18"/>
                    <w:szCs w:val="18"/>
                    <w:lang w:val="en-US" w:eastAsia="zh-CN" w:bidi="ar"/>
                  </w:rPr>
                </w:rPrChange>
              </w:rPr>
              <w:t>①</w:t>
            </w:r>
            <w:r>
              <w:rPr>
                <w:rFonts w:hint="eastAsia" w:ascii="仿宋_GB2312" w:hAnsi="宋体" w:eastAsia="仿宋_GB2312" w:cs="仿宋_GB2312"/>
                <w:color w:val="auto"/>
                <w:kern w:val="0"/>
                <w:sz w:val="18"/>
                <w:szCs w:val="18"/>
                <w:lang w:bidi="ar"/>
                <w:rPrChange w:id="2245" w:author="LV" w:date="2026-07-14T16:46:14Z">
                  <w:rPr>
                    <w:rFonts w:hint="eastAsia" w:ascii="仿宋_GB2312" w:hAnsi="宋体" w:eastAsia="仿宋_GB2312" w:cs="仿宋_GB2312"/>
                    <w:color w:val="FF0000"/>
                    <w:kern w:val="0"/>
                    <w:sz w:val="18"/>
                    <w:szCs w:val="18"/>
                    <w:lang w:bidi="ar"/>
                  </w:rPr>
                </w:rPrChange>
              </w:rPr>
              <w:t>3处及以上危险物品的容器、运输工具，以及涉及人身安全、危险性较大的海洋石油开采特种设备和矿山井下特种设备未经具有专业资质的机构检测、检验合格，取得安全使用证或者安全标志，投入使用</w:t>
            </w:r>
            <w:del w:id="2246" w:author="LV" w:date="2026-07-14T16:46:59Z">
              <w:r>
                <w:rPr>
                  <w:rFonts w:hint="eastAsia" w:ascii="仿宋_GB2312" w:hAnsi="宋体" w:eastAsia="仿宋_GB2312" w:cs="仿宋_GB2312"/>
                  <w:color w:val="auto"/>
                  <w:kern w:val="0"/>
                  <w:sz w:val="18"/>
                  <w:szCs w:val="18"/>
                  <w:lang w:bidi="ar"/>
                  <w:rPrChange w:id="2247" w:author="LV" w:date="2026-07-14T16:46:14Z">
                    <w:rPr>
                      <w:rFonts w:hint="eastAsia" w:ascii="仿宋_GB2312" w:hAnsi="宋体" w:eastAsia="仿宋_GB2312" w:cs="仿宋_GB2312"/>
                      <w:color w:val="FF0000"/>
                      <w:kern w:val="0"/>
                      <w:sz w:val="18"/>
                      <w:szCs w:val="18"/>
                      <w:lang w:bidi="ar"/>
                    </w:rPr>
                  </w:rPrChange>
                </w:rPr>
                <w:delText>的</w:delText>
              </w:r>
            </w:del>
            <w:del w:id="2248" w:author="LV" w:date="2026-07-14T16:46:50Z">
              <w:r>
                <w:rPr>
                  <w:rFonts w:hint="eastAsia" w:ascii="仿宋_GB2312" w:hAnsi="宋体" w:eastAsia="仿宋_GB2312" w:cs="仿宋_GB2312"/>
                  <w:color w:val="auto"/>
                  <w:kern w:val="0"/>
                  <w:sz w:val="18"/>
                  <w:szCs w:val="18"/>
                  <w:lang w:bidi="ar"/>
                  <w:rPrChange w:id="2249" w:author="LV" w:date="2026-07-14T16:46:14Z">
                    <w:rPr>
                      <w:rFonts w:hint="eastAsia" w:ascii="仿宋_GB2312" w:hAnsi="宋体" w:eastAsia="仿宋_GB2312" w:cs="仿宋_GB2312"/>
                      <w:color w:val="FF0000"/>
                      <w:kern w:val="0"/>
                      <w:sz w:val="18"/>
                      <w:szCs w:val="18"/>
                      <w:lang w:bidi="ar"/>
                    </w:rPr>
                  </w:rPrChange>
                </w:rPr>
                <w:delText>。</w:delText>
              </w:r>
            </w:del>
            <w:ins w:id="2250" w:author="LV" w:date="2026-07-14T16:46:23Z">
              <w:r>
                <w:rPr>
                  <w:rFonts w:hint="eastAsia" w:ascii="仿宋_GB2312" w:hAnsi="宋体" w:eastAsia="仿宋_GB2312" w:cs="仿宋_GB2312"/>
                  <w:color w:val="auto"/>
                  <w:kern w:val="0"/>
                  <w:sz w:val="18"/>
                  <w:szCs w:val="18"/>
                  <w:lang w:val="en-US" w:eastAsia="zh-CN" w:bidi="ar"/>
                </w:rPr>
                <w:t>②</w:t>
              </w:r>
            </w:ins>
            <w:ins w:id="2251" w:author="LV" w:date="2026-07-14T16:46:23Z">
              <w:r>
                <w:rPr>
                  <w:rFonts w:hint="eastAsia" w:ascii="仿宋_GB2312" w:hAnsi="宋体" w:eastAsia="仿宋_GB2312" w:cs="仿宋_GB2312"/>
                  <w:color w:val="auto"/>
                  <w:kern w:val="0"/>
                  <w:sz w:val="18"/>
                  <w:szCs w:val="18"/>
                  <w:lang w:bidi="ar"/>
                </w:rPr>
                <w:t>情节严重</w:t>
              </w:r>
            </w:ins>
            <w:ins w:id="2252" w:author="LV" w:date="2026-07-14T16:46:53Z">
              <w:r>
                <w:rPr>
                  <w:rFonts w:hint="eastAsia" w:ascii="仿宋_GB2312" w:hAnsi="宋体" w:eastAsia="仿宋_GB2312" w:cs="仿宋_GB2312"/>
                  <w:color w:val="auto"/>
                  <w:kern w:val="0"/>
                  <w:sz w:val="18"/>
                  <w:szCs w:val="18"/>
                  <w:lang w:val="en-US" w:eastAsia="zh-CN" w:bidi="ar"/>
                </w:rPr>
                <w:t>的</w:t>
              </w:r>
            </w:ins>
            <w:ins w:id="2253" w:author="LV" w:date="2026-07-14T16:47:02Z">
              <w:r>
                <w:rPr>
                  <w:rFonts w:hint="eastAsia" w:ascii="仿宋_GB2312" w:hAnsi="宋体" w:eastAsia="仿宋_GB2312" w:cs="仿宋_GB2312"/>
                  <w:color w:val="auto"/>
                  <w:kern w:val="0"/>
                  <w:sz w:val="18"/>
                  <w:szCs w:val="18"/>
                  <w:lang w:val="en-US" w:eastAsia="zh-CN" w:bidi="ar"/>
                </w:rPr>
                <w:t>。</w:t>
              </w:r>
            </w:ins>
          </w:p>
          <w:p w14:paraId="5CCADCC6">
            <w:pPr>
              <w:keepNext w:val="0"/>
              <w:keepLines w:val="0"/>
              <w:pageBreakBefore w:val="0"/>
              <w:widowControl w:val="0"/>
              <w:kinsoku/>
              <w:wordWrap/>
              <w:overflowPunct w:val="0"/>
              <w:topLinePunct w:val="0"/>
              <w:autoSpaceDE/>
              <w:autoSpaceDN/>
              <w:bidi w:val="0"/>
              <w:adjustRightInd/>
              <w:snapToGrid/>
              <w:spacing w:line="210" w:lineRule="exact"/>
              <w:textAlignment w:val="center"/>
              <w:rPr>
                <w:rFonts w:hint="eastAsia" w:ascii="仿宋_GB2312" w:hAnsi="宋体" w:eastAsia="仿宋_GB2312" w:cs="仿宋_GB2312"/>
                <w:color w:val="auto"/>
                <w:kern w:val="0"/>
                <w:sz w:val="18"/>
                <w:szCs w:val="18"/>
                <w:lang w:bidi="ar"/>
                <w:rPrChange w:id="2254" w:author="LV" w:date="2026-07-14T16:46:14Z">
                  <w:rPr>
                    <w:rFonts w:ascii="仿宋_GB2312" w:hAnsi="宋体" w:eastAsia="仿宋_GB2312" w:cs="仿宋_GB2312"/>
                    <w:color w:val="FF0000"/>
                    <w:sz w:val="18"/>
                    <w:szCs w:val="18"/>
                  </w:rPr>
                </w:rPrChange>
              </w:rPr>
            </w:pPr>
            <w:del w:id="2255" w:author="LV" w:date="2026-07-14T16:46:23Z">
              <w:r>
                <w:rPr>
                  <w:rFonts w:hint="eastAsia" w:ascii="仿宋_GB2312" w:hAnsi="宋体" w:eastAsia="仿宋_GB2312" w:cs="仿宋_GB2312"/>
                  <w:color w:val="auto"/>
                  <w:kern w:val="0"/>
                  <w:sz w:val="18"/>
                  <w:szCs w:val="18"/>
                  <w:lang w:val="en-US" w:eastAsia="zh-CN" w:bidi="ar"/>
                  <w:rPrChange w:id="2256" w:author="LV" w:date="2026-07-14T16:46:14Z">
                    <w:rPr>
                      <w:rFonts w:hint="eastAsia" w:ascii="仿宋_GB2312" w:hAnsi="宋体" w:eastAsia="仿宋_GB2312" w:cs="仿宋_GB2312"/>
                      <w:color w:val="FF0000"/>
                      <w:kern w:val="0"/>
                      <w:sz w:val="18"/>
                      <w:szCs w:val="18"/>
                      <w:lang w:val="en-US" w:eastAsia="zh-CN" w:bidi="ar"/>
                    </w:rPr>
                  </w:rPrChange>
                </w:rPr>
                <w:delText>②</w:delText>
              </w:r>
            </w:del>
            <w:del w:id="2257" w:author="LV" w:date="2026-07-14T16:46:23Z">
              <w:r>
                <w:rPr>
                  <w:rFonts w:hint="eastAsia" w:ascii="仿宋_GB2312" w:hAnsi="宋体" w:eastAsia="仿宋_GB2312" w:cs="仿宋_GB2312"/>
                  <w:color w:val="auto"/>
                  <w:kern w:val="0"/>
                  <w:sz w:val="18"/>
                  <w:szCs w:val="18"/>
                  <w:lang w:bidi="ar"/>
                  <w:rPrChange w:id="2258" w:author="LV" w:date="2026-07-14T16:46:14Z">
                    <w:rPr>
                      <w:rFonts w:hint="eastAsia" w:ascii="仿宋_GB2312" w:hAnsi="宋体" w:eastAsia="仿宋_GB2312" w:cs="仿宋_GB2312"/>
                      <w:color w:val="FF0000"/>
                      <w:kern w:val="0"/>
                      <w:sz w:val="18"/>
                      <w:szCs w:val="18"/>
                      <w:lang w:bidi="ar"/>
                    </w:rPr>
                  </w:rPrChange>
                </w:rPr>
                <w:delText>情节严重的。</w:delText>
              </w:r>
            </w:del>
          </w:p>
        </w:tc>
        <w:tc>
          <w:tcPr>
            <w:tcW w:w="2655" w:type="dxa"/>
            <w:tcBorders>
              <w:tl2br w:val="nil"/>
              <w:tr2bl w:val="nil"/>
            </w:tcBorders>
            <w:shd w:val="clear" w:color="auto" w:fill="auto"/>
            <w:tcMar>
              <w:top w:w="15" w:type="dxa"/>
              <w:left w:w="15" w:type="dxa"/>
              <w:right w:w="15" w:type="dxa"/>
            </w:tcMar>
            <w:vAlign w:val="center"/>
          </w:tcPr>
          <w:p w14:paraId="5845E14D">
            <w:pPr>
              <w:keepNext w:val="0"/>
              <w:keepLines w:val="0"/>
              <w:pageBreakBefore w:val="0"/>
              <w:widowControl w:val="0"/>
              <w:kinsoku/>
              <w:wordWrap/>
              <w:overflowPunct w:val="0"/>
              <w:topLinePunct w:val="0"/>
              <w:autoSpaceDE/>
              <w:autoSpaceDN/>
              <w:bidi w:val="0"/>
              <w:adjustRightInd/>
              <w:snapToGrid/>
              <w:spacing w:line="210" w:lineRule="exact"/>
              <w:textAlignment w:val="center"/>
              <w:rPr>
                <w:rFonts w:hint="eastAsia" w:ascii="仿宋_GB2312" w:hAnsi="宋体" w:eastAsia="仿宋_GB2312" w:cs="仿宋_GB2312"/>
                <w:color w:val="auto"/>
                <w:kern w:val="0"/>
                <w:sz w:val="18"/>
                <w:szCs w:val="18"/>
                <w:lang w:bidi="ar"/>
                <w:rPrChange w:id="2260" w:author="LV" w:date="2026-07-14T16:46:14Z">
                  <w:rPr>
                    <w:rFonts w:hint="eastAsia" w:ascii="仿宋_GB2312" w:hAnsi="宋体" w:eastAsia="仿宋_GB2312" w:cs="仿宋_GB2312"/>
                    <w:color w:val="FF0000"/>
                    <w:kern w:val="0"/>
                    <w:sz w:val="18"/>
                    <w:szCs w:val="18"/>
                    <w:lang w:bidi="ar"/>
                  </w:rPr>
                </w:rPrChange>
              </w:rPr>
              <w:pPrChange w:id="2259" w:author="LV" w:date="2026-07-14T16:46:14Z">
                <w:pPr>
                  <w:keepNext w:val="0"/>
                  <w:keepLines w:val="0"/>
                  <w:pageBreakBefore w:val="0"/>
                  <w:widowControl w:val="0"/>
                  <w:kinsoku/>
                  <w:wordWrap/>
                  <w:overflowPunct w:val="0"/>
                  <w:topLinePunct w:val="0"/>
                  <w:autoSpaceDE/>
                  <w:autoSpaceDN/>
                  <w:bidi w:val="0"/>
                  <w:adjustRightInd/>
                  <w:snapToGrid/>
                  <w:spacing w:line="280" w:lineRule="exact"/>
                  <w:textAlignment w:val="center"/>
                </w:pPr>
              </w:pPrChange>
            </w:pPr>
            <w:r>
              <w:rPr>
                <w:rFonts w:hint="eastAsia" w:ascii="仿宋_GB2312" w:hAnsi="宋体" w:eastAsia="仿宋_GB2312" w:cs="仿宋_GB2312"/>
                <w:color w:val="auto"/>
                <w:kern w:val="0"/>
                <w:sz w:val="18"/>
                <w:szCs w:val="18"/>
                <w:lang w:val="en-US" w:eastAsia="zh-CN" w:bidi="ar"/>
                <w:rPrChange w:id="2261" w:author="LV" w:date="2026-07-14T16:46:14Z">
                  <w:rPr>
                    <w:rFonts w:hint="eastAsia" w:ascii="仿宋_GB2312" w:hAnsi="宋体" w:eastAsia="仿宋_GB2312" w:cs="仿宋_GB2312"/>
                    <w:color w:val="FF0000"/>
                    <w:kern w:val="0"/>
                    <w:sz w:val="18"/>
                    <w:szCs w:val="18"/>
                    <w:lang w:val="en-US" w:eastAsia="zh-CN" w:bidi="ar"/>
                  </w:rPr>
                </w:rPrChange>
              </w:rPr>
              <w:t>①</w:t>
            </w:r>
            <w:r>
              <w:rPr>
                <w:rFonts w:hint="eastAsia" w:ascii="仿宋_GB2312" w:hAnsi="宋体" w:eastAsia="仿宋_GB2312" w:cs="仿宋_GB2312"/>
                <w:color w:val="auto"/>
                <w:kern w:val="0"/>
                <w:sz w:val="18"/>
                <w:szCs w:val="18"/>
                <w:lang w:bidi="ar"/>
                <w:rPrChange w:id="2262" w:author="LV" w:date="2026-07-14T16:46:14Z">
                  <w:rPr>
                    <w:rFonts w:hint="eastAsia" w:ascii="仿宋_GB2312" w:hAnsi="宋体" w:eastAsia="仿宋_GB2312" w:cs="仿宋_GB2312"/>
                    <w:color w:val="FF0000"/>
                    <w:kern w:val="0"/>
                    <w:sz w:val="18"/>
                    <w:szCs w:val="18"/>
                    <w:lang w:bidi="ar"/>
                  </w:rPr>
                </w:rPrChange>
              </w:rPr>
              <w:t>处4万元以上5万元以下的罚款。</w:t>
            </w:r>
          </w:p>
          <w:p w14:paraId="2116CF05">
            <w:pPr>
              <w:keepNext w:val="0"/>
              <w:keepLines w:val="0"/>
              <w:pageBreakBefore w:val="0"/>
              <w:widowControl w:val="0"/>
              <w:kinsoku/>
              <w:wordWrap/>
              <w:overflowPunct w:val="0"/>
              <w:topLinePunct w:val="0"/>
              <w:autoSpaceDE/>
              <w:autoSpaceDN/>
              <w:bidi w:val="0"/>
              <w:adjustRightInd/>
              <w:snapToGrid/>
              <w:spacing w:line="210" w:lineRule="exact"/>
              <w:textAlignment w:val="center"/>
              <w:rPr>
                <w:rFonts w:hint="eastAsia" w:ascii="仿宋_GB2312" w:hAnsi="宋体" w:eastAsia="仿宋_GB2312" w:cs="仿宋_GB2312"/>
                <w:color w:val="auto"/>
                <w:kern w:val="0"/>
                <w:sz w:val="18"/>
                <w:szCs w:val="18"/>
                <w:lang w:bidi="ar"/>
                <w:rPrChange w:id="2264" w:author="LV" w:date="2026-07-14T16:46:14Z">
                  <w:rPr>
                    <w:rFonts w:ascii="仿宋_GB2312" w:hAnsi="宋体" w:eastAsia="仿宋_GB2312" w:cs="仿宋_GB2312"/>
                    <w:color w:val="FF0000"/>
                    <w:sz w:val="18"/>
                    <w:szCs w:val="18"/>
                  </w:rPr>
                </w:rPrChange>
              </w:rPr>
              <w:pPrChange w:id="2263" w:author="LV" w:date="2026-07-14T16:46:14Z">
                <w:pPr>
                  <w:keepNext w:val="0"/>
                  <w:keepLines w:val="0"/>
                  <w:pageBreakBefore w:val="0"/>
                  <w:widowControl w:val="0"/>
                  <w:kinsoku/>
                  <w:wordWrap/>
                  <w:overflowPunct w:val="0"/>
                  <w:topLinePunct w:val="0"/>
                  <w:autoSpaceDE/>
                  <w:autoSpaceDN/>
                  <w:bidi w:val="0"/>
                  <w:adjustRightInd/>
                  <w:snapToGrid/>
                  <w:spacing w:line="280" w:lineRule="exact"/>
                  <w:textAlignment w:val="center"/>
                </w:pPr>
              </w:pPrChange>
            </w:pPr>
            <w:r>
              <w:rPr>
                <w:rFonts w:hint="eastAsia" w:ascii="仿宋_GB2312" w:hAnsi="宋体" w:eastAsia="仿宋_GB2312" w:cs="仿宋_GB2312"/>
                <w:color w:val="auto"/>
                <w:kern w:val="0"/>
                <w:sz w:val="18"/>
                <w:szCs w:val="18"/>
                <w:lang w:val="en-US" w:eastAsia="zh-CN" w:bidi="ar"/>
                <w:rPrChange w:id="2265" w:author="LV" w:date="2026-07-14T16:46:14Z">
                  <w:rPr>
                    <w:rFonts w:hint="eastAsia" w:ascii="仿宋_GB2312" w:hAnsi="宋体" w:eastAsia="仿宋_GB2312" w:cs="仿宋_GB2312"/>
                    <w:color w:val="FF0000"/>
                    <w:kern w:val="0"/>
                    <w:sz w:val="18"/>
                    <w:szCs w:val="18"/>
                    <w:lang w:val="en-US" w:eastAsia="zh-CN" w:bidi="ar"/>
                  </w:rPr>
                </w:rPrChange>
              </w:rPr>
              <w:t>②</w:t>
            </w:r>
            <w:r>
              <w:rPr>
                <w:rFonts w:hint="eastAsia" w:ascii="仿宋_GB2312" w:hAnsi="宋体" w:eastAsia="仿宋_GB2312" w:cs="仿宋_GB2312"/>
                <w:color w:val="auto"/>
                <w:kern w:val="0"/>
                <w:sz w:val="18"/>
                <w:szCs w:val="18"/>
                <w:lang w:bidi="ar"/>
                <w:rPrChange w:id="2266" w:author="LV" w:date="2026-07-14T16:46:14Z">
                  <w:rPr>
                    <w:rFonts w:hint="eastAsia" w:ascii="仿宋_GB2312" w:hAnsi="宋体" w:eastAsia="仿宋_GB2312" w:cs="仿宋_GB2312"/>
                    <w:color w:val="FF0000"/>
                    <w:kern w:val="0"/>
                    <w:sz w:val="18"/>
                    <w:szCs w:val="18"/>
                    <w:lang w:bidi="ar"/>
                  </w:rPr>
                </w:rPrChange>
              </w:rPr>
              <w:t>情节严重的</w:t>
            </w:r>
            <w:r>
              <w:rPr>
                <w:rFonts w:hint="eastAsia" w:ascii="仿宋_GB2312" w:hAnsi="宋体" w:eastAsia="仿宋_GB2312" w:cs="仿宋_GB2312"/>
                <w:color w:val="auto"/>
                <w:kern w:val="0"/>
                <w:sz w:val="18"/>
                <w:szCs w:val="18"/>
                <w:lang w:eastAsia="zh-CN" w:bidi="ar"/>
                <w:rPrChange w:id="2267" w:author="LV" w:date="2026-07-14T16:46:14Z">
                  <w:rPr>
                    <w:rFonts w:hint="eastAsia" w:ascii="仿宋_GB2312" w:hAnsi="宋体" w:eastAsia="仿宋_GB2312" w:cs="仿宋_GB2312"/>
                    <w:color w:val="FF0000"/>
                    <w:kern w:val="0"/>
                    <w:sz w:val="18"/>
                    <w:szCs w:val="18"/>
                    <w:lang w:eastAsia="zh-CN" w:bidi="ar"/>
                  </w:rPr>
                </w:rPrChange>
              </w:rPr>
              <w:t>，</w:t>
            </w:r>
            <w:r>
              <w:rPr>
                <w:rFonts w:hint="eastAsia" w:ascii="仿宋_GB2312" w:hAnsi="宋体" w:eastAsia="仿宋_GB2312" w:cs="仿宋_GB2312"/>
                <w:color w:val="auto"/>
                <w:kern w:val="0"/>
                <w:sz w:val="18"/>
                <w:szCs w:val="18"/>
                <w:lang w:bidi="ar"/>
                <w:rPrChange w:id="2268" w:author="LV" w:date="2026-07-14T16:46:14Z">
                  <w:rPr>
                    <w:rFonts w:hint="eastAsia" w:ascii="仿宋_GB2312" w:hAnsi="宋体" w:eastAsia="仿宋_GB2312" w:cs="仿宋_GB2312"/>
                    <w:color w:val="FF0000"/>
                    <w:kern w:val="0"/>
                    <w:sz w:val="18"/>
                    <w:szCs w:val="18"/>
                    <w:lang w:bidi="ar"/>
                  </w:rPr>
                </w:rPrChange>
              </w:rPr>
              <w:t>责令停产停业整顿</w:t>
            </w:r>
            <w:r>
              <w:rPr>
                <w:rFonts w:hint="eastAsia" w:ascii="仿宋_GB2312" w:hAnsi="宋体" w:eastAsia="仿宋_GB2312" w:cs="仿宋_GB2312"/>
                <w:color w:val="auto"/>
                <w:kern w:val="0"/>
                <w:sz w:val="18"/>
                <w:szCs w:val="18"/>
                <w:lang w:eastAsia="zh-CN" w:bidi="ar"/>
                <w:rPrChange w:id="2269" w:author="LV" w:date="2026-07-14T16:46:14Z">
                  <w:rPr>
                    <w:rFonts w:hint="eastAsia" w:ascii="仿宋_GB2312" w:hAnsi="宋体" w:eastAsia="仿宋_GB2312" w:cs="仿宋_GB2312"/>
                    <w:color w:val="FF0000"/>
                    <w:kern w:val="0"/>
                    <w:sz w:val="18"/>
                    <w:szCs w:val="18"/>
                    <w:lang w:eastAsia="zh-CN" w:bidi="ar"/>
                  </w:rPr>
                </w:rPrChange>
              </w:rPr>
              <w:t>，</w:t>
            </w:r>
            <w:r>
              <w:rPr>
                <w:rFonts w:hint="eastAsia" w:ascii="仿宋_GB2312" w:hAnsi="宋体" w:eastAsia="仿宋_GB2312" w:cs="仿宋_GB2312"/>
                <w:color w:val="auto"/>
                <w:kern w:val="0"/>
                <w:sz w:val="18"/>
                <w:szCs w:val="18"/>
                <w:lang w:bidi="ar"/>
                <w:rPrChange w:id="2270" w:author="LV" w:date="2026-07-14T16:46:14Z">
                  <w:rPr>
                    <w:rFonts w:hint="eastAsia" w:ascii="仿宋_GB2312" w:hAnsi="宋体" w:eastAsia="仿宋_GB2312" w:cs="仿宋_GB2312"/>
                    <w:color w:val="FF0000"/>
                    <w:kern w:val="0"/>
                    <w:sz w:val="18"/>
                    <w:szCs w:val="18"/>
                    <w:lang w:bidi="ar"/>
                  </w:rPr>
                </w:rPrChange>
              </w:rPr>
              <w:t>处4万元以上5万元以下的罚款。</w:t>
            </w:r>
          </w:p>
        </w:tc>
      </w:tr>
      <w:tr w14:paraId="310054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3B29FED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z w:val="18"/>
                <w:szCs w:val="18"/>
                <w:lang w:eastAsia="zh-CN"/>
              </w:rPr>
            </w:pPr>
            <w:r>
              <w:rPr>
                <w:rFonts w:hint="eastAsia" w:ascii="仿宋_GB2312" w:hAnsi="宋体" w:eastAsia="仿宋_GB2312" w:cs="仿宋_GB2312"/>
                <w:kern w:val="0"/>
                <w:sz w:val="18"/>
                <w:szCs w:val="18"/>
                <w:lang w:bidi="ar"/>
              </w:rPr>
              <w:t>10</w:t>
            </w:r>
            <w:del w:id="2271" w:author="LV" w:date="2026-07-14T16:47:15Z">
              <w:r>
                <w:rPr>
                  <w:rFonts w:hint="default" w:ascii="仿宋_GB2312" w:hAnsi="宋体" w:eastAsia="仿宋_GB2312" w:cs="仿宋_GB2312"/>
                  <w:kern w:val="0"/>
                  <w:sz w:val="18"/>
                  <w:szCs w:val="18"/>
                  <w:lang w:val="en-US" w:eastAsia="zh-CN" w:bidi="ar"/>
                </w:rPr>
                <w:delText>2</w:delText>
              </w:r>
            </w:del>
            <w:ins w:id="2272" w:author="LV" w:date="2026-07-14T16:47:15Z">
              <w:r>
                <w:rPr>
                  <w:rFonts w:hint="eastAsia" w:ascii="仿宋_GB2312" w:hAnsi="宋体" w:eastAsia="仿宋_GB2312" w:cs="仿宋_GB2312"/>
                  <w:kern w:val="0"/>
                  <w:sz w:val="18"/>
                  <w:szCs w:val="18"/>
                  <w:lang w:val="en-US" w:eastAsia="zh-CN" w:bidi="ar"/>
                </w:rPr>
                <w:t>9</w:t>
              </w:r>
            </w:ins>
          </w:p>
        </w:tc>
        <w:tc>
          <w:tcPr>
            <w:tcW w:w="1005" w:type="dxa"/>
            <w:vMerge w:val="restart"/>
            <w:tcBorders>
              <w:tl2br w:val="nil"/>
              <w:tr2bl w:val="nil"/>
            </w:tcBorders>
            <w:shd w:val="clear" w:color="auto" w:fill="auto"/>
            <w:tcMar>
              <w:top w:w="15" w:type="dxa"/>
              <w:left w:w="15" w:type="dxa"/>
              <w:right w:w="15" w:type="dxa"/>
            </w:tcMar>
            <w:vAlign w:val="center"/>
          </w:tcPr>
          <w:p w14:paraId="6EDAC28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煤矿井下特种设备未经具有专业资质的机构检测、检验合格，取得安全使用证或者安全标志，投入使用，逾期未改正的</w:t>
            </w:r>
          </w:p>
        </w:tc>
        <w:tc>
          <w:tcPr>
            <w:tcW w:w="3667" w:type="dxa"/>
            <w:vMerge w:val="restart"/>
            <w:tcBorders>
              <w:tl2br w:val="nil"/>
              <w:tr2bl w:val="nil"/>
            </w:tcBorders>
            <w:shd w:val="clear" w:color="auto" w:fill="auto"/>
            <w:tcMar>
              <w:top w:w="15" w:type="dxa"/>
              <w:left w:w="15" w:type="dxa"/>
              <w:right w:w="15" w:type="dxa"/>
            </w:tcMar>
            <w:vAlign w:val="center"/>
          </w:tcPr>
          <w:p w14:paraId="426A782B">
            <w:pPr>
              <w:keepNext w:val="0"/>
              <w:keepLines w:val="0"/>
              <w:pageBreakBefore w:val="0"/>
              <w:widowControl w:val="0"/>
              <w:kinsoku/>
              <w:wordWrap/>
              <w:overflowPunct w:val="0"/>
              <w:topLinePunct w:val="0"/>
              <w:autoSpaceDE/>
              <w:autoSpaceDN/>
              <w:bidi w:val="0"/>
              <w:adjustRightInd/>
              <w:snapToGrid/>
              <w:spacing w:line="280" w:lineRule="exact"/>
              <w:jc w:val="both"/>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《安全生产法》第三十七条 生产经营单位使用的危险物品的容器、运输工具，以及涉及人身安全、危险性较大的海洋石油开采特种设备和矿山井下特种设备，必须按照国家有关规定，由专业生产单位生产，并经具有专业资质的检测、检验机构检测、检验合格，取得安全使用证或者安全标志，方可投入使用。检测、检验机构对检测、检验结果责。</w:t>
            </w:r>
          </w:p>
        </w:tc>
        <w:tc>
          <w:tcPr>
            <w:tcW w:w="4082" w:type="dxa"/>
            <w:vMerge w:val="restart"/>
            <w:tcBorders>
              <w:tl2br w:val="nil"/>
              <w:tr2bl w:val="nil"/>
            </w:tcBorders>
            <w:shd w:val="clear" w:color="auto" w:fill="auto"/>
            <w:tcMar>
              <w:top w:w="15" w:type="dxa"/>
              <w:left w:w="15" w:type="dxa"/>
              <w:right w:w="15" w:type="dxa"/>
            </w:tcMar>
            <w:vAlign w:val="center"/>
          </w:tcPr>
          <w:p w14:paraId="4B89B72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《安全生产法》第九十九条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六）危险物品的容器、运输工具，以及涉及人身安全、危险性较大的海洋石油开采特种设备和矿山井下特种设备未经具有专业资质的机构检测、检验合格，取得安全使用证或者安全标志，投入使用的。</w:t>
            </w:r>
          </w:p>
        </w:tc>
        <w:tc>
          <w:tcPr>
            <w:tcW w:w="459" w:type="dxa"/>
            <w:tcBorders>
              <w:tl2br w:val="nil"/>
              <w:tr2bl w:val="nil"/>
            </w:tcBorders>
            <w:shd w:val="clear" w:color="auto" w:fill="auto"/>
            <w:noWrap/>
            <w:tcMar>
              <w:top w:w="15" w:type="dxa"/>
              <w:left w:w="15" w:type="dxa"/>
              <w:right w:w="15" w:type="dxa"/>
            </w:tcMar>
            <w:vAlign w:val="center"/>
          </w:tcPr>
          <w:p w14:paraId="6F1DDC1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628004F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FA8D414">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E6A70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23007D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586247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ACF0AA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DC36E2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E97EBC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3D74FB6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39E2D8F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8F3D8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869276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F6CCE6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969A93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6814C8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2812E4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712BCF9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C5DE69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74140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4BB1F8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447D0A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62892C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BC17EE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5438E9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74BDD72E">
            <w:pPr>
              <w:keepNext w:val="0"/>
              <w:keepLines w:val="0"/>
              <w:pageBreakBefore w:val="0"/>
              <w:widowControl w:val="0"/>
              <w:kinsoku/>
              <w:wordWrap/>
              <w:overflowPunct w:val="0"/>
              <w:topLinePunct w:val="0"/>
              <w:autoSpaceDE/>
              <w:autoSpaceDN/>
              <w:bidi w:val="0"/>
              <w:adjustRightInd/>
              <w:snapToGrid/>
              <w:spacing w:line="20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1处危险物品的容器、运输工具，以及涉及人身安全、危险性较大的海洋石油开采特种设备和矿山井下特种设备未经具有专业资质的机构检测、检验合格，取得安全使用证或者安全标志，投入使用的，逾期未改正的。</w:t>
            </w:r>
          </w:p>
        </w:tc>
        <w:tc>
          <w:tcPr>
            <w:tcW w:w="2655" w:type="dxa"/>
            <w:tcBorders>
              <w:tl2br w:val="nil"/>
              <w:tr2bl w:val="nil"/>
            </w:tcBorders>
            <w:shd w:val="clear" w:color="auto" w:fill="auto"/>
            <w:tcMar>
              <w:top w:w="15" w:type="dxa"/>
              <w:left w:w="15" w:type="dxa"/>
              <w:right w:w="15" w:type="dxa"/>
            </w:tcMar>
            <w:vAlign w:val="center"/>
          </w:tcPr>
          <w:p w14:paraId="732EE7E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对煤矿处5万元以上10万元以下的罚款，对其直接负责的主管人员和其他直接责任人员处1万元以上1.3万元以下的罚款。</w:t>
            </w:r>
          </w:p>
        </w:tc>
      </w:tr>
      <w:tr w14:paraId="7E77B0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BB70DE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56F731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686D7C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4A8E84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C033DD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7773E73D">
            <w:pPr>
              <w:keepNext w:val="0"/>
              <w:keepLines w:val="0"/>
              <w:pageBreakBefore w:val="0"/>
              <w:widowControl w:val="0"/>
              <w:kinsoku/>
              <w:wordWrap/>
              <w:overflowPunct w:val="0"/>
              <w:topLinePunct w:val="0"/>
              <w:autoSpaceDE/>
              <w:autoSpaceDN/>
              <w:bidi w:val="0"/>
              <w:adjustRightInd/>
              <w:snapToGrid/>
              <w:spacing w:line="200" w:lineRule="exact"/>
              <w:textAlignment w:val="center"/>
              <w:rPr>
                <w:rFonts w:ascii="仿宋_GB2312" w:hAnsi="宋体" w:eastAsia="仿宋_GB2312" w:cs="仿宋_GB2312"/>
                <w:color w:val="auto"/>
                <w:sz w:val="18"/>
                <w:szCs w:val="18"/>
                <w:rPrChange w:id="2273" w:author="LV" w:date="2026-07-14T16:48:26Z">
                  <w:rPr>
                    <w:rFonts w:ascii="仿宋_GB2312" w:hAnsi="宋体" w:eastAsia="仿宋_GB2312" w:cs="仿宋_GB2312"/>
                    <w:color w:val="FF0000"/>
                    <w:sz w:val="18"/>
                    <w:szCs w:val="18"/>
                  </w:rPr>
                </w:rPrChange>
              </w:rPr>
            </w:pPr>
            <w:r>
              <w:rPr>
                <w:rFonts w:hint="eastAsia" w:ascii="仿宋_GB2312" w:hAnsi="宋体" w:eastAsia="仿宋_GB2312" w:cs="仿宋_GB2312"/>
                <w:color w:val="auto"/>
                <w:kern w:val="0"/>
                <w:sz w:val="18"/>
                <w:szCs w:val="18"/>
                <w:lang w:bidi="ar"/>
                <w:rPrChange w:id="2274" w:author="LV" w:date="2026-07-14T16:48:26Z">
                  <w:rPr>
                    <w:rFonts w:hint="eastAsia" w:ascii="仿宋_GB2312" w:hAnsi="宋体" w:eastAsia="仿宋_GB2312" w:cs="仿宋_GB2312"/>
                    <w:color w:val="FF0000"/>
                    <w:kern w:val="0"/>
                    <w:sz w:val="18"/>
                    <w:szCs w:val="18"/>
                    <w:lang w:bidi="ar"/>
                  </w:rPr>
                </w:rPrChange>
              </w:rPr>
              <w:t>2处危险物品的容器、运输工具，以及涉及人身安全、危险性较大的海洋石油开采特种设备和矿山井下特种设备未经具有专业资质的机构检测、检验合格，取得安全使用证或者安全标志，投入使用的，逾期未改正</w:t>
            </w:r>
            <w:r>
              <w:rPr>
                <w:rFonts w:hint="eastAsia" w:ascii="仿宋_GB2312" w:hAnsi="宋体" w:eastAsia="仿宋_GB2312" w:cs="仿宋_GB2312"/>
                <w:color w:val="auto"/>
                <w:kern w:val="0"/>
                <w:sz w:val="18"/>
                <w:szCs w:val="18"/>
                <w:lang w:val="en-US" w:eastAsia="zh-CN" w:bidi="ar"/>
                <w:rPrChange w:id="2275" w:author="LV" w:date="2026-07-14T16:48:26Z">
                  <w:rPr>
                    <w:rFonts w:hint="eastAsia" w:ascii="仿宋_GB2312" w:hAnsi="宋体" w:eastAsia="仿宋_GB2312" w:cs="仿宋_GB2312"/>
                    <w:color w:val="FF0000"/>
                    <w:kern w:val="0"/>
                    <w:sz w:val="18"/>
                    <w:szCs w:val="18"/>
                    <w:lang w:val="en-US" w:eastAsia="zh-CN" w:bidi="ar"/>
                  </w:rPr>
                </w:rPrChange>
              </w:rPr>
              <w:t>1处以上</w:t>
            </w:r>
            <w:r>
              <w:rPr>
                <w:rFonts w:hint="eastAsia" w:ascii="仿宋_GB2312" w:hAnsi="宋体" w:eastAsia="仿宋_GB2312" w:cs="仿宋_GB2312"/>
                <w:color w:val="auto"/>
                <w:kern w:val="0"/>
                <w:sz w:val="18"/>
                <w:szCs w:val="18"/>
                <w:lang w:bidi="ar"/>
                <w:rPrChange w:id="2276" w:author="LV" w:date="2026-07-14T16:48:26Z">
                  <w:rPr>
                    <w:rFonts w:hint="eastAsia" w:ascii="仿宋_GB2312" w:hAnsi="宋体" w:eastAsia="仿宋_GB2312" w:cs="仿宋_GB2312"/>
                    <w:color w:val="FF0000"/>
                    <w:kern w:val="0"/>
                    <w:sz w:val="18"/>
                    <w:szCs w:val="18"/>
                    <w:lang w:bidi="ar"/>
                  </w:rPr>
                </w:rPrChange>
              </w:rPr>
              <w:t>的。</w:t>
            </w:r>
          </w:p>
        </w:tc>
        <w:tc>
          <w:tcPr>
            <w:tcW w:w="2655" w:type="dxa"/>
            <w:tcBorders>
              <w:tl2br w:val="nil"/>
              <w:tr2bl w:val="nil"/>
            </w:tcBorders>
            <w:shd w:val="clear" w:color="auto" w:fill="auto"/>
            <w:tcMar>
              <w:top w:w="15" w:type="dxa"/>
              <w:left w:w="15" w:type="dxa"/>
              <w:right w:w="15" w:type="dxa"/>
            </w:tcMar>
            <w:vAlign w:val="center"/>
          </w:tcPr>
          <w:p w14:paraId="6093AAE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Change w:id="2277" w:author="LV" w:date="2026-07-14T16:48:26Z">
                  <w:rPr>
                    <w:rFonts w:ascii="仿宋_GB2312" w:hAnsi="宋体" w:eastAsia="仿宋_GB2312" w:cs="仿宋_GB2312"/>
                    <w:color w:val="FF0000"/>
                    <w:sz w:val="18"/>
                    <w:szCs w:val="18"/>
                  </w:rPr>
                </w:rPrChange>
              </w:rPr>
            </w:pPr>
            <w:r>
              <w:rPr>
                <w:rFonts w:hint="eastAsia" w:ascii="仿宋_GB2312" w:hAnsi="宋体" w:eastAsia="仿宋_GB2312" w:cs="仿宋_GB2312"/>
                <w:color w:val="auto"/>
                <w:kern w:val="0"/>
                <w:sz w:val="18"/>
                <w:szCs w:val="18"/>
                <w:lang w:bidi="ar"/>
                <w:rPrChange w:id="2278" w:author="LV" w:date="2026-07-14T16:48:26Z">
                  <w:rPr>
                    <w:rFonts w:hint="eastAsia" w:ascii="仿宋_GB2312" w:hAnsi="宋体" w:eastAsia="仿宋_GB2312" w:cs="仿宋_GB2312"/>
                    <w:color w:val="FF0000"/>
                    <w:kern w:val="0"/>
                    <w:sz w:val="18"/>
                    <w:szCs w:val="18"/>
                    <w:lang w:bidi="ar"/>
                  </w:rPr>
                </w:rPrChange>
              </w:rPr>
              <w:t>对煤矿处10万元以上15万元以下的罚款，对其直接负责的主管人员和其他直接责任人员处1.3万元以上1.8万元以下的罚款。</w:t>
            </w:r>
          </w:p>
        </w:tc>
      </w:tr>
      <w:tr w14:paraId="2CEC50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2279" w:author="LV" w:date="2026-07-14T16:47:40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wBefore w:w="0" w:type="auto"/>
          <w:trHeight w:val="346" w:hRule="atLeast"/>
          <w:jc w:val="center"/>
          <w:trPrChange w:id="2279" w:author="LV" w:date="2026-07-14T16:47:40Z">
            <w:trPr>
              <w:gridBefore w:val="2"/>
              <w:wBefore w:w="15" w:type="dxa"/>
              <w:trHeight w:val="1956" w:hRule="atLeast"/>
              <w:jc w:val="center"/>
            </w:trPr>
          </w:trPrChange>
        </w:trPr>
        <w:tc>
          <w:tcPr>
            <w:tcW w:w="418" w:type="dxa"/>
            <w:vMerge w:val="continue"/>
            <w:tcBorders>
              <w:tl2br w:val="nil"/>
              <w:tr2bl w:val="nil"/>
            </w:tcBorders>
            <w:shd w:val="clear" w:color="auto" w:fill="auto"/>
            <w:noWrap/>
            <w:tcMar>
              <w:top w:w="15" w:type="dxa"/>
              <w:left w:w="15" w:type="dxa"/>
              <w:right w:w="15" w:type="dxa"/>
            </w:tcMar>
            <w:vAlign w:val="center"/>
            <w:tcPrChange w:id="2280" w:author="LV" w:date="2026-07-14T16:47:40Z">
              <w:tcPr>
                <w:tcW w:w="418" w:type="dxa"/>
                <w:gridSpan w:val="3"/>
                <w:vMerge w:val="continue"/>
                <w:tcBorders>
                  <w:tl2br w:val="nil"/>
                  <w:tr2bl w:val="nil"/>
                </w:tcBorders>
                <w:shd w:val="clear" w:color="auto" w:fill="auto"/>
                <w:noWrap/>
                <w:tcMar>
                  <w:top w:w="15" w:type="dxa"/>
                  <w:left w:w="15" w:type="dxa"/>
                  <w:right w:w="15" w:type="dxa"/>
                </w:tcMar>
                <w:vAlign w:val="center"/>
              </w:tcPr>
            </w:tcPrChange>
          </w:tcPr>
          <w:p w14:paraId="631C28C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Change w:id="2281" w:author="LV" w:date="2026-07-14T16:47:40Z">
              <w:tcPr>
                <w:tcW w:w="1005" w:type="dxa"/>
                <w:gridSpan w:val="3"/>
                <w:vMerge w:val="continue"/>
                <w:tcBorders>
                  <w:tl2br w:val="nil"/>
                  <w:tr2bl w:val="nil"/>
                </w:tcBorders>
                <w:shd w:val="clear" w:color="auto" w:fill="auto"/>
                <w:tcMar>
                  <w:top w:w="15" w:type="dxa"/>
                  <w:left w:w="15" w:type="dxa"/>
                  <w:right w:w="15" w:type="dxa"/>
                </w:tcMar>
                <w:vAlign w:val="center"/>
              </w:tcPr>
            </w:tcPrChange>
          </w:tcPr>
          <w:p w14:paraId="269E798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Change w:id="2282" w:author="LV" w:date="2026-07-14T16:47:40Z">
              <w:tcPr>
                <w:tcW w:w="3667" w:type="dxa"/>
                <w:gridSpan w:val="3"/>
                <w:vMerge w:val="continue"/>
                <w:tcBorders>
                  <w:tl2br w:val="nil"/>
                  <w:tr2bl w:val="nil"/>
                </w:tcBorders>
                <w:shd w:val="clear" w:color="auto" w:fill="auto"/>
                <w:tcMar>
                  <w:top w:w="15" w:type="dxa"/>
                  <w:left w:w="15" w:type="dxa"/>
                  <w:right w:w="15" w:type="dxa"/>
                </w:tcMar>
                <w:vAlign w:val="center"/>
              </w:tcPr>
            </w:tcPrChange>
          </w:tcPr>
          <w:p w14:paraId="46F9A66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Change w:id="2283" w:author="LV" w:date="2026-07-14T16:47:40Z">
              <w:tcPr>
                <w:tcW w:w="4082" w:type="dxa"/>
                <w:gridSpan w:val="3"/>
                <w:vMerge w:val="continue"/>
                <w:tcBorders>
                  <w:tl2br w:val="nil"/>
                  <w:tr2bl w:val="nil"/>
                </w:tcBorders>
                <w:shd w:val="clear" w:color="auto" w:fill="auto"/>
                <w:tcMar>
                  <w:top w:w="15" w:type="dxa"/>
                  <w:left w:w="15" w:type="dxa"/>
                  <w:right w:w="15" w:type="dxa"/>
                </w:tcMar>
                <w:vAlign w:val="center"/>
              </w:tcPr>
            </w:tcPrChange>
          </w:tcPr>
          <w:p w14:paraId="0D972D9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Change w:id="2284" w:author="LV" w:date="2026-07-14T16:47:40Z">
              <w:tcPr>
                <w:tcW w:w="459" w:type="dxa"/>
                <w:gridSpan w:val="3"/>
                <w:tcBorders>
                  <w:tl2br w:val="nil"/>
                  <w:tr2bl w:val="nil"/>
                </w:tcBorders>
                <w:shd w:val="clear" w:color="auto" w:fill="auto"/>
                <w:noWrap/>
                <w:tcMar>
                  <w:top w:w="15" w:type="dxa"/>
                  <w:left w:w="15" w:type="dxa"/>
                  <w:right w:w="15" w:type="dxa"/>
                </w:tcMar>
                <w:vAlign w:val="center"/>
              </w:tcPr>
            </w:tcPrChange>
          </w:tcPr>
          <w:p w14:paraId="5568CEB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Change w:id="2285" w:author="LV" w:date="2026-07-14T16:47:40Z">
              <w:tcPr>
                <w:tcW w:w="1829" w:type="dxa"/>
                <w:gridSpan w:val="3"/>
                <w:tcBorders>
                  <w:tl2br w:val="nil"/>
                  <w:tr2bl w:val="nil"/>
                </w:tcBorders>
                <w:shd w:val="clear" w:color="auto" w:fill="auto"/>
                <w:tcMar>
                  <w:top w:w="15" w:type="dxa"/>
                  <w:left w:w="15" w:type="dxa"/>
                  <w:right w:w="15" w:type="dxa"/>
                </w:tcMar>
                <w:vAlign w:val="center"/>
              </w:tcPr>
            </w:tcPrChange>
          </w:tcPr>
          <w:p w14:paraId="489748D6">
            <w:pPr>
              <w:keepNext w:val="0"/>
              <w:keepLines w:val="0"/>
              <w:pageBreakBefore w:val="0"/>
              <w:widowControl w:val="0"/>
              <w:kinsoku/>
              <w:wordWrap/>
              <w:overflowPunct w:val="0"/>
              <w:topLinePunct w:val="0"/>
              <w:autoSpaceDE/>
              <w:autoSpaceDN/>
              <w:bidi w:val="0"/>
              <w:adjustRightInd/>
              <w:snapToGrid/>
              <w:spacing w:line="200" w:lineRule="exact"/>
              <w:textAlignment w:val="center"/>
              <w:rPr>
                <w:rFonts w:hint="eastAsia" w:ascii="仿宋_GB2312" w:hAnsi="宋体" w:eastAsia="仿宋_GB2312" w:cs="仿宋_GB2312"/>
                <w:color w:val="auto"/>
                <w:spacing w:val="-4"/>
                <w:kern w:val="0"/>
                <w:sz w:val="18"/>
                <w:szCs w:val="18"/>
                <w:lang w:bidi="ar"/>
                <w:rPrChange w:id="2286" w:author="LV" w:date="2026-07-14T16:48:26Z">
                  <w:rPr>
                    <w:rFonts w:hint="eastAsia" w:ascii="仿宋_GB2312" w:hAnsi="宋体" w:eastAsia="仿宋_GB2312" w:cs="仿宋_GB2312"/>
                    <w:color w:val="FF0000"/>
                    <w:spacing w:val="-4"/>
                    <w:kern w:val="0"/>
                    <w:sz w:val="18"/>
                    <w:szCs w:val="18"/>
                    <w:lang w:bidi="ar"/>
                  </w:rPr>
                </w:rPrChange>
              </w:rPr>
            </w:pPr>
            <w:r>
              <w:rPr>
                <w:rFonts w:hint="eastAsia" w:ascii="仿宋_GB2312" w:hAnsi="宋体" w:eastAsia="仿宋_GB2312" w:cs="仿宋_GB2312"/>
                <w:color w:val="auto"/>
                <w:kern w:val="0"/>
                <w:sz w:val="18"/>
                <w:szCs w:val="18"/>
                <w:lang w:val="en-US" w:eastAsia="zh-CN" w:bidi="ar"/>
                <w:rPrChange w:id="2287" w:author="LV" w:date="2026-07-14T16:48:26Z">
                  <w:rPr>
                    <w:rFonts w:hint="eastAsia" w:ascii="仿宋_GB2312" w:hAnsi="宋体" w:eastAsia="仿宋_GB2312" w:cs="仿宋_GB2312"/>
                    <w:color w:val="FF0000"/>
                    <w:kern w:val="0"/>
                    <w:sz w:val="18"/>
                    <w:szCs w:val="18"/>
                    <w:lang w:val="en-US" w:eastAsia="zh-CN" w:bidi="ar"/>
                  </w:rPr>
                </w:rPrChange>
              </w:rPr>
              <w:t>①</w:t>
            </w:r>
            <w:r>
              <w:rPr>
                <w:rFonts w:hint="eastAsia" w:ascii="仿宋_GB2312" w:hAnsi="宋体" w:eastAsia="仿宋_GB2312" w:cs="仿宋_GB2312"/>
                <w:color w:val="auto"/>
                <w:kern w:val="0"/>
                <w:sz w:val="18"/>
                <w:szCs w:val="18"/>
                <w:lang w:bidi="ar"/>
                <w:rPrChange w:id="2288" w:author="LV" w:date="2026-07-14T16:48:26Z">
                  <w:rPr>
                    <w:rFonts w:hint="eastAsia" w:ascii="仿宋_GB2312" w:hAnsi="宋体" w:eastAsia="仿宋_GB2312" w:cs="仿宋_GB2312"/>
                    <w:color w:val="FF0000"/>
                    <w:kern w:val="0"/>
                    <w:sz w:val="18"/>
                    <w:szCs w:val="18"/>
                    <w:lang w:bidi="ar"/>
                  </w:rPr>
                </w:rPrChange>
              </w:rPr>
              <w:t>3处及以上危险物品的容器、运输工具，以及涉及人身安全、危险性较大的海洋石油开采特种设备和矿山井下特种设备未经具有专业</w:t>
            </w:r>
            <w:r>
              <w:rPr>
                <w:rFonts w:hint="eastAsia" w:ascii="仿宋_GB2312" w:hAnsi="宋体" w:eastAsia="仿宋_GB2312" w:cs="仿宋_GB2312"/>
                <w:color w:val="auto"/>
                <w:spacing w:val="-4"/>
                <w:kern w:val="0"/>
                <w:sz w:val="18"/>
                <w:szCs w:val="18"/>
                <w:lang w:bidi="ar"/>
                <w:rPrChange w:id="2289" w:author="LV" w:date="2026-07-14T16:48:26Z">
                  <w:rPr>
                    <w:rFonts w:hint="eastAsia" w:ascii="仿宋_GB2312" w:hAnsi="宋体" w:eastAsia="仿宋_GB2312" w:cs="仿宋_GB2312"/>
                    <w:color w:val="FF0000"/>
                    <w:spacing w:val="-4"/>
                    <w:kern w:val="0"/>
                    <w:sz w:val="18"/>
                    <w:szCs w:val="18"/>
                    <w:lang w:bidi="ar"/>
                  </w:rPr>
                </w:rPrChange>
              </w:rPr>
              <w:t>资质的机构检测、检验合格，取得安全使用证或者安全标志，投入使用</w:t>
            </w:r>
            <w:r>
              <w:rPr>
                <w:rFonts w:ascii="仿宋_GB2312" w:hAnsi="宋体" w:eastAsia="仿宋_GB2312" w:cs="仿宋_GB2312"/>
                <w:color w:val="auto"/>
                <w:spacing w:val="-4"/>
                <w:kern w:val="0"/>
                <w:sz w:val="18"/>
                <w:szCs w:val="18"/>
                <w:lang w:bidi="ar"/>
                <w:rPrChange w:id="2290" w:author="LV" w:date="2026-07-14T16:48:26Z">
                  <w:rPr>
                    <w:rFonts w:ascii="仿宋_GB2312" w:hAnsi="宋体" w:eastAsia="仿宋_GB2312" w:cs="仿宋_GB2312"/>
                    <w:color w:val="FF0000"/>
                    <w:spacing w:val="-4"/>
                    <w:kern w:val="0"/>
                    <w:sz w:val="18"/>
                    <w:szCs w:val="18"/>
                    <w:lang w:bidi="ar"/>
                  </w:rPr>
                </w:rPrChange>
              </w:rPr>
              <w:t>的</w:t>
            </w:r>
            <w:r>
              <w:rPr>
                <w:rFonts w:hint="eastAsia" w:ascii="仿宋_GB2312" w:hAnsi="宋体" w:eastAsia="仿宋_GB2312" w:cs="仿宋_GB2312"/>
                <w:color w:val="auto"/>
                <w:spacing w:val="-4"/>
                <w:kern w:val="0"/>
                <w:sz w:val="18"/>
                <w:szCs w:val="18"/>
                <w:lang w:bidi="ar"/>
                <w:rPrChange w:id="2291" w:author="LV" w:date="2026-07-14T16:48:26Z">
                  <w:rPr>
                    <w:rFonts w:hint="eastAsia" w:ascii="仿宋_GB2312" w:hAnsi="宋体" w:eastAsia="仿宋_GB2312" w:cs="仿宋_GB2312"/>
                    <w:color w:val="FF0000"/>
                    <w:spacing w:val="-4"/>
                    <w:kern w:val="0"/>
                    <w:sz w:val="18"/>
                    <w:szCs w:val="18"/>
                    <w:lang w:bidi="ar"/>
                  </w:rPr>
                </w:rPrChange>
              </w:rPr>
              <w:t>，逾期未改正</w:t>
            </w:r>
            <w:r>
              <w:rPr>
                <w:rFonts w:hint="eastAsia" w:ascii="仿宋_GB2312" w:hAnsi="宋体" w:eastAsia="仿宋_GB2312" w:cs="仿宋_GB2312"/>
                <w:color w:val="auto"/>
                <w:spacing w:val="-4"/>
                <w:kern w:val="0"/>
                <w:sz w:val="18"/>
                <w:szCs w:val="18"/>
                <w:lang w:val="en-US" w:eastAsia="zh-CN" w:bidi="ar"/>
                <w:rPrChange w:id="2292" w:author="LV" w:date="2026-07-14T16:48:26Z">
                  <w:rPr>
                    <w:rFonts w:hint="eastAsia" w:ascii="仿宋_GB2312" w:hAnsi="宋体" w:eastAsia="仿宋_GB2312" w:cs="仿宋_GB2312"/>
                    <w:color w:val="FF0000"/>
                    <w:spacing w:val="-4"/>
                    <w:kern w:val="0"/>
                    <w:sz w:val="18"/>
                    <w:szCs w:val="18"/>
                    <w:lang w:val="en-US" w:eastAsia="zh-CN" w:bidi="ar"/>
                  </w:rPr>
                </w:rPrChange>
              </w:rPr>
              <w:t>1处以上</w:t>
            </w:r>
            <w:r>
              <w:rPr>
                <w:rFonts w:hint="eastAsia" w:ascii="仿宋_GB2312" w:hAnsi="宋体" w:eastAsia="仿宋_GB2312" w:cs="仿宋_GB2312"/>
                <w:color w:val="auto"/>
                <w:spacing w:val="-4"/>
                <w:kern w:val="0"/>
                <w:sz w:val="18"/>
                <w:szCs w:val="18"/>
                <w:lang w:bidi="ar"/>
                <w:rPrChange w:id="2293" w:author="LV" w:date="2026-07-14T16:48:26Z">
                  <w:rPr>
                    <w:rFonts w:hint="eastAsia" w:ascii="仿宋_GB2312" w:hAnsi="宋体" w:eastAsia="仿宋_GB2312" w:cs="仿宋_GB2312"/>
                    <w:color w:val="FF0000"/>
                    <w:spacing w:val="-4"/>
                    <w:kern w:val="0"/>
                    <w:sz w:val="18"/>
                    <w:szCs w:val="18"/>
                    <w:lang w:bidi="ar"/>
                  </w:rPr>
                </w:rPrChange>
              </w:rPr>
              <w:t>的。</w:t>
            </w:r>
          </w:p>
          <w:p w14:paraId="345F85B2">
            <w:pPr>
              <w:keepNext w:val="0"/>
              <w:keepLines w:val="0"/>
              <w:pageBreakBefore w:val="0"/>
              <w:widowControl w:val="0"/>
              <w:kinsoku/>
              <w:wordWrap/>
              <w:overflowPunct w:val="0"/>
              <w:topLinePunct w:val="0"/>
              <w:autoSpaceDE/>
              <w:autoSpaceDN/>
              <w:bidi w:val="0"/>
              <w:adjustRightInd/>
              <w:snapToGrid/>
              <w:spacing w:line="200" w:lineRule="exact"/>
              <w:textAlignment w:val="center"/>
              <w:rPr>
                <w:rFonts w:ascii="仿宋_GB2312" w:hAnsi="宋体" w:eastAsia="仿宋_GB2312" w:cs="仿宋_GB2312"/>
                <w:color w:val="auto"/>
                <w:sz w:val="18"/>
                <w:szCs w:val="18"/>
                <w:rPrChange w:id="2294" w:author="LV" w:date="2026-07-14T16:48:26Z">
                  <w:rPr>
                    <w:rFonts w:ascii="仿宋_GB2312" w:hAnsi="宋体" w:eastAsia="仿宋_GB2312" w:cs="仿宋_GB2312"/>
                    <w:color w:val="FF0000"/>
                    <w:sz w:val="18"/>
                    <w:szCs w:val="18"/>
                  </w:rPr>
                </w:rPrChange>
              </w:rPr>
            </w:pPr>
            <w:r>
              <w:rPr>
                <w:rFonts w:hint="eastAsia" w:ascii="仿宋_GB2312" w:hAnsi="宋体" w:eastAsia="仿宋_GB2312" w:cs="仿宋_GB2312"/>
                <w:color w:val="auto"/>
                <w:spacing w:val="-4"/>
                <w:kern w:val="0"/>
                <w:sz w:val="18"/>
                <w:szCs w:val="18"/>
                <w:lang w:val="en-US" w:eastAsia="zh-CN" w:bidi="ar"/>
                <w:rPrChange w:id="2295" w:author="LV" w:date="2026-07-14T16:48:26Z">
                  <w:rPr>
                    <w:rFonts w:hint="eastAsia" w:ascii="仿宋_GB2312" w:hAnsi="宋体" w:eastAsia="仿宋_GB2312" w:cs="仿宋_GB2312"/>
                    <w:color w:val="FF0000"/>
                    <w:spacing w:val="-4"/>
                    <w:kern w:val="0"/>
                    <w:sz w:val="18"/>
                    <w:szCs w:val="18"/>
                    <w:lang w:val="en-US" w:eastAsia="zh-CN" w:bidi="ar"/>
                  </w:rPr>
                </w:rPrChange>
              </w:rPr>
              <w:t>②</w:t>
            </w:r>
            <w:r>
              <w:rPr>
                <w:rFonts w:hint="eastAsia" w:ascii="仿宋_GB2312" w:hAnsi="宋体" w:eastAsia="仿宋_GB2312" w:cs="仿宋_GB2312"/>
                <w:color w:val="auto"/>
                <w:spacing w:val="-4"/>
                <w:kern w:val="0"/>
                <w:sz w:val="18"/>
                <w:szCs w:val="18"/>
                <w:lang w:bidi="ar"/>
                <w:rPrChange w:id="2296" w:author="LV" w:date="2026-07-14T16:48:26Z">
                  <w:rPr>
                    <w:rFonts w:hint="eastAsia" w:ascii="仿宋_GB2312" w:hAnsi="宋体" w:eastAsia="仿宋_GB2312" w:cs="仿宋_GB2312"/>
                    <w:color w:val="FF0000"/>
                    <w:spacing w:val="-4"/>
                    <w:kern w:val="0"/>
                    <w:sz w:val="18"/>
                    <w:szCs w:val="18"/>
                    <w:lang w:bidi="ar"/>
                  </w:rPr>
                </w:rPrChange>
              </w:rPr>
              <w:t>情节严重的。</w:t>
            </w:r>
          </w:p>
        </w:tc>
        <w:tc>
          <w:tcPr>
            <w:tcW w:w="2655" w:type="dxa"/>
            <w:tcBorders>
              <w:tl2br w:val="nil"/>
              <w:tr2bl w:val="nil"/>
            </w:tcBorders>
            <w:shd w:val="clear" w:color="auto" w:fill="auto"/>
            <w:tcMar>
              <w:top w:w="15" w:type="dxa"/>
              <w:left w:w="15" w:type="dxa"/>
              <w:right w:w="15" w:type="dxa"/>
            </w:tcMar>
            <w:vAlign w:val="center"/>
            <w:tcPrChange w:id="2297" w:author="LV" w:date="2026-07-14T16:47:40Z">
              <w:tcPr>
                <w:tcW w:w="2655" w:type="dxa"/>
                <w:gridSpan w:val="3"/>
                <w:tcBorders>
                  <w:tl2br w:val="nil"/>
                  <w:tr2bl w:val="nil"/>
                </w:tcBorders>
                <w:shd w:val="clear" w:color="auto" w:fill="auto"/>
                <w:tcMar>
                  <w:top w:w="15" w:type="dxa"/>
                  <w:left w:w="15" w:type="dxa"/>
                  <w:right w:w="15" w:type="dxa"/>
                </w:tcMar>
                <w:vAlign w:val="center"/>
              </w:tcPr>
            </w:tcPrChange>
          </w:tcPr>
          <w:p w14:paraId="6C7736D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Change w:id="2298" w:author="LV" w:date="2026-07-14T16:48:26Z">
                  <w:rPr>
                    <w:rFonts w:hint="eastAsia" w:ascii="仿宋_GB2312" w:hAnsi="宋体" w:eastAsia="仿宋_GB2312" w:cs="仿宋_GB2312"/>
                    <w:color w:val="FF0000"/>
                    <w:kern w:val="0"/>
                    <w:sz w:val="18"/>
                    <w:szCs w:val="18"/>
                    <w:lang w:bidi="ar"/>
                  </w:rPr>
                </w:rPrChange>
              </w:rPr>
            </w:pPr>
            <w:r>
              <w:rPr>
                <w:rFonts w:hint="eastAsia" w:ascii="仿宋_GB2312" w:hAnsi="宋体" w:eastAsia="仿宋_GB2312" w:cs="仿宋_GB2312"/>
                <w:color w:val="auto"/>
                <w:kern w:val="0"/>
                <w:sz w:val="18"/>
                <w:szCs w:val="18"/>
                <w:lang w:val="en-US" w:eastAsia="zh-CN" w:bidi="ar"/>
                <w:rPrChange w:id="2299" w:author="LV" w:date="2026-07-14T16:48:26Z">
                  <w:rPr>
                    <w:rFonts w:hint="eastAsia" w:ascii="仿宋_GB2312" w:hAnsi="宋体" w:eastAsia="仿宋_GB2312" w:cs="仿宋_GB2312"/>
                    <w:color w:val="FF0000"/>
                    <w:kern w:val="0"/>
                    <w:sz w:val="18"/>
                    <w:szCs w:val="18"/>
                    <w:lang w:val="en-US" w:eastAsia="zh-CN" w:bidi="ar"/>
                  </w:rPr>
                </w:rPrChange>
              </w:rPr>
              <w:t>①</w:t>
            </w:r>
            <w:r>
              <w:rPr>
                <w:rFonts w:hint="eastAsia" w:ascii="仿宋_GB2312" w:hAnsi="宋体" w:eastAsia="仿宋_GB2312" w:cs="仿宋_GB2312"/>
                <w:color w:val="auto"/>
                <w:kern w:val="0"/>
                <w:sz w:val="18"/>
                <w:szCs w:val="18"/>
                <w:lang w:bidi="ar"/>
                <w:rPrChange w:id="2300" w:author="LV" w:date="2026-07-14T16:48:26Z">
                  <w:rPr>
                    <w:rFonts w:hint="eastAsia" w:ascii="仿宋_GB2312" w:hAnsi="宋体" w:eastAsia="仿宋_GB2312" w:cs="仿宋_GB2312"/>
                    <w:color w:val="FF0000"/>
                    <w:kern w:val="0"/>
                    <w:sz w:val="18"/>
                    <w:szCs w:val="18"/>
                    <w:lang w:bidi="ar"/>
                  </w:rPr>
                </w:rPrChange>
              </w:rPr>
              <w:t>对煤矿处15万元以上20万元以下的罚款，对其直接负责的主管人员和其他直接责任人员处1.8万元以上2万元以下的罚款。</w:t>
            </w:r>
          </w:p>
          <w:p w14:paraId="01CB0F2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sz w:val="18"/>
                <w:szCs w:val="18"/>
                <w:lang w:eastAsia="zh-CN"/>
                <w:rPrChange w:id="2301" w:author="LV" w:date="2026-07-14T16:48:26Z">
                  <w:rPr>
                    <w:rFonts w:hint="eastAsia" w:ascii="仿宋_GB2312" w:hAnsi="宋体" w:eastAsia="仿宋_GB2312" w:cs="仿宋_GB2312"/>
                    <w:color w:val="FF0000"/>
                    <w:sz w:val="18"/>
                    <w:szCs w:val="18"/>
                    <w:lang w:eastAsia="zh-CN"/>
                  </w:rPr>
                </w:rPrChange>
              </w:rPr>
            </w:pPr>
            <w:r>
              <w:rPr>
                <w:rFonts w:hint="eastAsia" w:ascii="仿宋_GB2312" w:hAnsi="宋体" w:eastAsia="仿宋_GB2312" w:cs="仿宋_GB2312"/>
                <w:color w:val="auto"/>
                <w:kern w:val="0"/>
                <w:sz w:val="18"/>
                <w:szCs w:val="18"/>
                <w:lang w:val="en-US" w:eastAsia="zh-CN" w:bidi="ar"/>
                <w:rPrChange w:id="2302" w:author="LV" w:date="2026-07-14T16:48:26Z">
                  <w:rPr>
                    <w:rFonts w:hint="eastAsia" w:ascii="仿宋_GB2312" w:hAnsi="宋体" w:eastAsia="仿宋_GB2312" w:cs="仿宋_GB2312"/>
                    <w:color w:val="FF0000"/>
                    <w:kern w:val="0"/>
                    <w:sz w:val="18"/>
                    <w:szCs w:val="18"/>
                    <w:lang w:val="en-US" w:eastAsia="zh-CN" w:bidi="ar"/>
                  </w:rPr>
                </w:rPrChange>
              </w:rPr>
              <w:t>②</w:t>
            </w:r>
            <w:r>
              <w:rPr>
                <w:rFonts w:hint="eastAsia" w:ascii="仿宋_GB2312" w:hAnsi="宋体" w:eastAsia="仿宋_GB2312" w:cs="仿宋_GB2312"/>
                <w:color w:val="auto"/>
                <w:kern w:val="0"/>
                <w:sz w:val="18"/>
                <w:szCs w:val="18"/>
                <w:lang w:bidi="ar"/>
                <w:rPrChange w:id="2303" w:author="LV" w:date="2026-07-14T16:48:26Z">
                  <w:rPr>
                    <w:rFonts w:hint="eastAsia" w:ascii="仿宋_GB2312" w:hAnsi="宋体" w:eastAsia="仿宋_GB2312" w:cs="仿宋_GB2312"/>
                    <w:color w:val="FF0000"/>
                    <w:kern w:val="0"/>
                    <w:sz w:val="18"/>
                    <w:szCs w:val="18"/>
                    <w:lang w:bidi="ar"/>
                  </w:rPr>
                </w:rPrChange>
              </w:rPr>
              <w:t>情节严重的</w:t>
            </w:r>
            <w:r>
              <w:rPr>
                <w:rFonts w:hint="eastAsia" w:ascii="仿宋_GB2312" w:hAnsi="宋体" w:eastAsia="仿宋_GB2312" w:cs="仿宋_GB2312"/>
                <w:color w:val="auto"/>
                <w:kern w:val="0"/>
                <w:sz w:val="18"/>
                <w:szCs w:val="18"/>
                <w:lang w:eastAsia="zh-CN" w:bidi="ar"/>
                <w:rPrChange w:id="2304" w:author="LV" w:date="2026-07-14T16:48:26Z">
                  <w:rPr>
                    <w:rFonts w:hint="eastAsia" w:ascii="仿宋_GB2312" w:hAnsi="宋体" w:eastAsia="仿宋_GB2312" w:cs="仿宋_GB2312"/>
                    <w:color w:val="FF0000"/>
                    <w:kern w:val="0"/>
                    <w:sz w:val="18"/>
                    <w:szCs w:val="18"/>
                    <w:lang w:eastAsia="zh-CN" w:bidi="ar"/>
                  </w:rPr>
                </w:rPrChange>
              </w:rPr>
              <w:t>，</w:t>
            </w:r>
            <w:r>
              <w:rPr>
                <w:rFonts w:hint="eastAsia" w:ascii="仿宋_GB2312" w:hAnsi="宋体" w:eastAsia="仿宋_GB2312" w:cs="仿宋_GB2312"/>
                <w:color w:val="auto"/>
                <w:kern w:val="0"/>
                <w:sz w:val="18"/>
                <w:szCs w:val="18"/>
                <w:lang w:bidi="ar"/>
                <w:rPrChange w:id="2305" w:author="LV" w:date="2026-07-14T16:48:26Z">
                  <w:rPr>
                    <w:rFonts w:hint="eastAsia" w:ascii="仿宋_GB2312" w:hAnsi="宋体" w:eastAsia="仿宋_GB2312" w:cs="仿宋_GB2312"/>
                    <w:color w:val="FF0000"/>
                    <w:kern w:val="0"/>
                    <w:sz w:val="18"/>
                    <w:szCs w:val="18"/>
                    <w:lang w:bidi="ar"/>
                  </w:rPr>
                </w:rPrChange>
              </w:rPr>
              <w:t>责令停产停业整顿</w:t>
            </w:r>
            <w:r>
              <w:rPr>
                <w:rFonts w:hint="eastAsia" w:ascii="仿宋_GB2312" w:hAnsi="宋体" w:eastAsia="仿宋_GB2312" w:cs="仿宋_GB2312"/>
                <w:color w:val="auto"/>
                <w:kern w:val="0"/>
                <w:sz w:val="18"/>
                <w:szCs w:val="18"/>
                <w:lang w:eastAsia="zh-CN" w:bidi="ar"/>
                <w:rPrChange w:id="2306" w:author="LV" w:date="2026-07-14T16:48:26Z">
                  <w:rPr>
                    <w:rFonts w:hint="eastAsia" w:ascii="仿宋_GB2312" w:hAnsi="宋体" w:eastAsia="仿宋_GB2312" w:cs="仿宋_GB2312"/>
                    <w:color w:val="FF0000"/>
                    <w:kern w:val="0"/>
                    <w:sz w:val="18"/>
                    <w:szCs w:val="18"/>
                    <w:lang w:eastAsia="zh-CN" w:bidi="ar"/>
                  </w:rPr>
                </w:rPrChange>
              </w:rPr>
              <w:t>，</w:t>
            </w:r>
            <w:r>
              <w:rPr>
                <w:rFonts w:hint="eastAsia" w:ascii="仿宋_GB2312" w:hAnsi="宋体" w:eastAsia="仿宋_GB2312" w:cs="仿宋_GB2312"/>
                <w:color w:val="auto"/>
                <w:kern w:val="0"/>
                <w:sz w:val="18"/>
                <w:szCs w:val="18"/>
                <w:lang w:bidi="ar"/>
                <w:rPrChange w:id="2307" w:author="LV" w:date="2026-07-14T16:48:26Z">
                  <w:rPr>
                    <w:rFonts w:hint="eastAsia" w:ascii="仿宋_GB2312" w:hAnsi="宋体" w:eastAsia="仿宋_GB2312" w:cs="仿宋_GB2312"/>
                    <w:color w:val="FF0000"/>
                    <w:kern w:val="0"/>
                    <w:sz w:val="18"/>
                    <w:szCs w:val="18"/>
                    <w:lang w:bidi="ar"/>
                  </w:rPr>
                </w:rPrChange>
              </w:rPr>
              <w:t>对煤矿处15万元以上20万元以下的罚款，对其直接负责的主管人员和其他直接责任人员处1.8万元以上2万元以下的罚款。</w:t>
            </w:r>
          </w:p>
        </w:tc>
      </w:tr>
      <w:tr w14:paraId="122443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694E1D7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1</w:t>
            </w:r>
            <w:del w:id="2308" w:author="LV" w:date="2026-07-14T16:48:39Z">
              <w:r>
                <w:rPr>
                  <w:rFonts w:hint="default" w:ascii="仿宋_GB2312" w:hAnsi="宋体" w:eastAsia="仿宋_GB2312" w:cs="仿宋_GB2312"/>
                  <w:kern w:val="0"/>
                  <w:sz w:val="18"/>
                  <w:szCs w:val="18"/>
                  <w:lang w:val="en-US" w:bidi="ar"/>
                </w:rPr>
                <w:delText>0</w:delText>
              </w:r>
            </w:del>
            <w:del w:id="2309" w:author="LV" w:date="2026-07-14T16:48:39Z">
              <w:r>
                <w:rPr>
                  <w:rFonts w:hint="default" w:ascii="仿宋_GB2312" w:hAnsi="宋体" w:eastAsia="仿宋_GB2312" w:cs="仿宋_GB2312"/>
                  <w:kern w:val="0"/>
                  <w:sz w:val="18"/>
                  <w:szCs w:val="18"/>
                  <w:lang w:val="en-US" w:eastAsia="zh-CN" w:bidi="ar"/>
                </w:rPr>
                <w:delText>3</w:delText>
              </w:r>
            </w:del>
            <w:ins w:id="2310" w:author="LV" w:date="2026-07-14T16:48:39Z">
              <w:r>
                <w:rPr>
                  <w:rFonts w:hint="eastAsia" w:ascii="仿宋_GB2312" w:hAnsi="宋体" w:eastAsia="仿宋_GB2312" w:cs="仿宋_GB2312"/>
                  <w:kern w:val="0"/>
                  <w:sz w:val="18"/>
                  <w:szCs w:val="18"/>
                  <w:lang w:val="en-US" w:eastAsia="zh-CN" w:bidi="ar"/>
                </w:rPr>
                <w:t>1</w:t>
              </w:r>
            </w:ins>
            <w:ins w:id="2311" w:author="LV" w:date="2026-07-14T16:48:40Z">
              <w:r>
                <w:rPr>
                  <w:rFonts w:hint="eastAsia" w:ascii="仿宋_GB2312" w:hAnsi="宋体" w:eastAsia="仿宋_GB2312" w:cs="仿宋_GB2312"/>
                  <w:kern w:val="0"/>
                  <w:sz w:val="18"/>
                  <w:szCs w:val="18"/>
                  <w:lang w:val="en-US" w:eastAsia="zh-CN" w:bidi="ar"/>
                </w:rPr>
                <w:t>0</w:t>
              </w:r>
            </w:ins>
          </w:p>
        </w:tc>
        <w:tc>
          <w:tcPr>
            <w:tcW w:w="1005" w:type="dxa"/>
            <w:vMerge w:val="restart"/>
            <w:tcBorders>
              <w:tl2br w:val="nil"/>
              <w:tr2bl w:val="nil"/>
            </w:tcBorders>
            <w:shd w:val="clear" w:color="auto" w:fill="auto"/>
            <w:tcMar>
              <w:top w:w="15" w:type="dxa"/>
              <w:left w:w="15" w:type="dxa"/>
              <w:right w:w="15" w:type="dxa"/>
            </w:tcMar>
            <w:vAlign w:val="center"/>
          </w:tcPr>
          <w:p w14:paraId="4A55BDE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煤矿使用应当淘汰的危及生产安全的工艺、设备的</w:t>
            </w:r>
          </w:p>
        </w:tc>
        <w:tc>
          <w:tcPr>
            <w:tcW w:w="3667" w:type="dxa"/>
            <w:vMerge w:val="restart"/>
            <w:tcBorders>
              <w:tl2br w:val="nil"/>
              <w:tr2bl w:val="nil"/>
            </w:tcBorders>
            <w:shd w:val="clear" w:color="auto" w:fill="auto"/>
            <w:tcMar>
              <w:top w:w="15" w:type="dxa"/>
              <w:left w:w="15" w:type="dxa"/>
              <w:right w:w="15" w:type="dxa"/>
            </w:tcMar>
            <w:vAlign w:val="center"/>
          </w:tcPr>
          <w:p w14:paraId="555D8CA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《安全生产法》第三十八条 国家对严重危及生产安全的工艺、设备实行淘汰制度，具体目录由国务院应急管理部门会同国务院有关部门制定并公布。法律、行政法规对目录的制定另有规定的，适用其规定。省、自治区、直辖市人民政府可以根据本地区实际情况制定并公布具体目录，对前款规定以外的危及生产安全的工艺、设备予以淘汰。生产经营单位不得使用应当淘汰的危及生产安全的工艺、设备。</w:t>
            </w:r>
          </w:p>
          <w:p w14:paraId="18C583F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tc>
        <w:tc>
          <w:tcPr>
            <w:tcW w:w="4082" w:type="dxa"/>
            <w:vMerge w:val="restart"/>
            <w:tcBorders>
              <w:tl2br w:val="nil"/>
              <w:tr2bl w:val="nil"/>
            </w:tcBorders>
            <w:shd w:val="clear" w:color="auto" w:fill="auto"/>
            <w:tcMar>
              <w:top w:w="15" w:type="dxa"/>
              <w:left w:w="15" w:type="dxa"/>
              <w:right w:w="15" w:type="dxa"/>
            </w:tcMar>
            <w:vAlign w:val="center"/>
          </w:tcPr>
          <w:p w14:paraId="6C921EC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七）使用应当淘汰的危及生产安全的工艺、设备的。</w:t>
            </w:r>
          </w:p>
          <w:p w14:paraId="12A44EB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tc>
        <w:tc>
          <w:tcPr>
            <w:tcW w:w="459" w:type="dxa"/>
            <w:tcBorders>
              <w:tl2br w:val="nil"/>
              <w:tr2bl w:val="nil"/>
            </w:tcBorders>
            <w:shd w:val="clear" w:color="auto" w:fill="auto"/>
            <w:noWrap/>
            <w:tcMar>
              <w:top w:w="15" w:type="dxa"/>
              <w:left w:w="15" w:type="dxa"/>
              <w:right w:w="15" w:type="dxa"/>
            </w:tcMar>
            <w:vAlign w:val="center"/>
          </w:tcPr>
          <w:p w14:paraId="5145A7E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210F54F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139EA2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4F899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00FAE2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23E525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74E4C3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3208DA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223040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33E7EB6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28B65EE4">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3A88D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C4F990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C861E0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A6172A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209FD2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8DFC5E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2AC77EF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63883CC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B5786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2312" w:author="LV" w:date="2026-07-14T16:47:44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wBefore w:w="0" w:type="auto"/>
          <w:trHeight w:val="1381" w:hRule="atLeast"/>
          <w:jc w:val="center"/>
          <w:trPrChange w:id="2312" w:author="LV" w:date="2026-07-14T16:47:44Z">
            <w:trPr>
              <w:gridBefore w:val="2"/>
              <w:wBefore w:w="15" w:type="dxa"/>
              <w:trHeight w:val="1956" w:hRule="atLeast"/>
              <w:jc w:val="center"/>
            </w:trPr>
          </w:trPrChange>
        </w:trPr>
        <w:tc>
          <w:tcPr>
            <w:tcW w:w="418" w:type="dxa"/>
            <w:vMerge w:val="continue"/>
            <w:tcBorders>
              <w:tl2br w:val="nil"/>
              <w:tr2bl w:val="nil"/>
            </w:tcBorders>
            <w:shd w:val="clear" w:color="auto" w:fill="auto"/>
            <w:noWrap/>
            <w:tcMar>
              <w:top w:w="15" w:type="dxa"/>
              <w:left w:w="15" w:type="dxa"/>
              <w:right w:w="15" w:type="dxa"/>
            </w:tcMar>
            <w:vAlign w:val="center"/>
            <w:tcPrChange w:id="2313" w:author="LV" w:date="2026-07-14T16:47:44Z">
              <w:tcPr>
                <w:tcW w:w="418" w:type="dxa"/>
                <w:gridSpan w:val="3"/>
                <w:vMerge w:val="continue"/>
                <w:tcBorders>
                  <w:tl2br w:val="nil"/>
                  <w:tr2bl w:val="nil"/>
                </w:tcBorders>
                <w:shd w:val="clear" w:color="auto" w:fill="auto"/>
                <w:noWrap/>
                <w:tcMar>
                  <w:top w:w="15" w:type="dxa"/>
                  <w:left w:w="15" w:type="dxa"/>
                  <w:right w:w="15" w:type="dxa"/>
                </w:tcMar>
                <w:vAlign w:val="center"/>
              </w:tcPr>
            </w:tcPrChange>
          </w:tcPr>
          <w:p w14:paraId="0FC4B31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Change w:id="2314" w:author="LV" w:date="2026-07-14T16:47:44Z">
              <w:tcPr>
                <w:tcW w:w="1005" w:type="dxa"/>
                <w:gridSpan w:val="3"/>
                <w:vMerge w:val="continue"/>
                <w:tcBorders>
                  <w:tl2br w:val="nil"/>
                  <w:tr2bl w:val="nil"/>
                </w:tcBorders>
                <w:shd w:val="clear" w:color="auto" w:fill="auto"/>
                <w:tcMar>
                  <w:top w:w="15" w:type="dxa"/>
                  <w:left w:w="15" w:type="dxa"/>
                  <w:right w:w="15" w:type="dxa"/>
                </w:tcMar>
                <w:vAlign w:val="center"/>
              </w:tcPr>
            </w:tcPrChange>
          </w:tcPr>
          <w:p w14:paraId="451F066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Change w:id="2315" w:author="LV" w:date="2026-07-14T16:47:44Z">
              <w:tcPr>
                <w:tcW w:w="3667" w:type="dxa"/>
                <w:gridSpan w:val="3"/>
                <w:vMerge w:val="continue"/>
                <w:tcBorders>
                  <w:tl2br w:val="nil"/>
                  <w:tr2bl w:val="nil"/>
                </w:tcBorders>
                <w:shd w:val="clear" w:color="auto" w:fill="auto"/>
                <w:tcMar>
                  <w:top w:w="15" w:type="dxa"/>
                  <w:left w:w="15" w:type="dxa"/>
                  <w:right w:w="15" w:type="dxa"/>
                </w:tcMar>
                <w:vAlign w:val="center"/>
              </w:tcPr>
            </w:tcPrChange>
          </w:tcPr>
          <w:p w14:paraId="5F7FDE7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Change w:id="2316" w:author="LV" w:date="2026-07-14T16:47:44Z">
              <w:tcPr>
                <w:tcW w:w="4082" w:type="dxa"/>
                <w:gridSpan w:val="3"/>
                <w:vMerge w:val="continue"/>
                <w:tcBorders>
                  <w:tl2br w:val="nil"/>
                  <w:tr2bl w:val="nil"/>
                </w:tcBorders>
                <w:shd w:val="clear" w:color="auto" w:fill="auto"/>
                <w:tcMar>
                  <w:top w:w="15" w:type="dxa"/>
                  <w:left w:w="15" w:type="dxa"/>
                  <w:right w:w="15" w:type="dxa"/>
                </w:tcMar>
                <w:vAlign w:val="center"/>
              </w:tcPr>
            </w:tcPrChange>
          </w:tcPr>
          <w:p w14:paraId="5372F9D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Change w:id="2317" w:author="LV" w:date="2026-07-14T16:47:44Z">
              <w:tcPr>
                <w:tcW w:w="459" w:type="dxa"/>
                <w:gridSpan w:val="3"/>
                <w:tcBorders>
                  <w:tl2br w:val="nil"/>
                  <w:tr2bl w:val="nil"/>
                </w:tcBorders>
                <w:shd w:val="clear" w:color="auto" w:fill="auto"/>
                <w:noWrap/>
                <w:tcMar>
                  <w:top w:w="15" w:type="dxa"/>
                  <w:left w:w="15" w:type="dxa"/>
                  <w:right w:w="15" w:type="dxa"/>
                </w:tcMar>
                <w:vAlign w:val="center"/>
              </w:tcPr>
            </w:tcPrChange>
          </w:tcPr>
          <w:p w14:paraId="46956C2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Change w:id="2318" w:author="LV" w:date="2026-07-14T16:47:44Z">
              <w:tcPr>
                <w:tcW w:w="1829" w:type="dxa"/>
                <w:gridSpan w:val="3"/>
                <w:tcBorders>
                  <w:tl2br w:val="nil"/>
                  <w:tr2bl w:val="nil"/>
                </w:tcBorders>
                <w:shd w:val="clear" w:color="auto" w:fill="auto"/>
                <w:tcMar>
                  <w:top w:w="15" w:type="dxa"/>
                  <w:left w:w="15" w:type="dxa"/>
                  <w:right w:w="15" w:type="dxa"/>
                </w:tcMar>
                <w:vAlign w:val="center"/>
              </w:tcPr>
            </w:tcPrChange>
          </w:tcPr>
          <w:p w14:paraId="357B259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1处使用应当淘汰的危及生产安全的工艺、设备的。</w:t>
            </w:r>
          </w:p>
        </w:tc>
        <w:tc>
          <w:tcPr>
            <w:tcW w:w="2655" w:type="dxa"/>
            <w:tcBorders>
              <w:tl2br w:val="nil"/>
              <w:tr2bl w:val="nil"/>
            </w:tcBorders>
            <w:shd w:val="clear" w:color="auto" w:fill="auto"/>
            <w:tcMar>
              <w:top w:w="15" w:type="dxa"/>
              <w:left w:w="15" w:type="dxa"/>
              <w:right w:w="15" w:type="dxa"/>
            </w:tcMar>
            <w:vAlign w:val="center"/>
            <w:tcPrChange w:id="2319" w:author="LV" w:date="2026-07-14T16:47:44Z">
              <w:tcPr>
                <w:tcW w:w="2655" w:type="dxa"/>
                <w:gridSpan w:val="3"/>
                <w:tcBorders>
                  <w:tl2br w:val="nil"/>
                  <w:tr2bl w:val="nil"/>
                </w:tcBorders>
                <w:shd w:val="clear" w:color="auto" w:fill="auto"/>
                <w:tcMar>
                  <w:top w:w="15" w:type="dxa"/>
                  <w:left w:w="15" w:type="dxa"/>
                  <w:right w:w="15" w:type="dxa"/>
                </w:tcMar>
                <w:vAlign w:val="center"/>
              </w:tcPr>
            </w:tcPrChange>
          </w:tcPr>
          <w:p w14:paraId="53CCAC0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处1万元以下的罚款。</w:t>
            </w:r>
          </w:p>
        </w:tc>
      </w:tr>
      <w:tr w14:paraId="21EA37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027DA6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BF9DA3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A6998E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064582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380DFC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left"/>
              <w:textAlignment w:val="center"/>
              <w:rPr>
                <w:rFonts w:ascii="仿宋_GB2312" w:hAnsi="宋体" w:eastAsia="仿宋_GB2312" w:cs="仿宋_GB2312"/>
                <w:sz w:val="18"/>
                <w:szCs w:val="18"/>
              </w:rPr>
              <w:pPrChange w:id="2320" w:author="LV" w:date="2026-07-14T16:47:50Z">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pPr>
              </w:pPrChange>
            </w:pPr>
            <w:r>
              <w:rPr>
                <w:rFonts w:hint="default" w:ascii="仿宋_GB2312" w:hAnsi="宋体" w:eastAsia="仿宋_GB2312" w:cs="仿宋_GB2312"/>
                <w:kern w:val="2"/>
                <w:sz w:val="18"/>
                <w:szCs w:val="18"/>
                <w:lang w:bidi="ar"/>
                <w:rPrChange w:id="2321" w:author="LV" w:date="2026-07-14T16:47:50Z">
                  <w:rPr>
                    <w:rFonts w:hint="eastAsia" w:ascii="仿宋_GB2312" w:hAnsi="宋体" w:eastAsia="仿宋_GB2312" w:cs="仿宋_GB2312"/>
                    <w:kern w:val="0"/>
                    <w:sz w:val="18"/>
                    <w:szCs w:val="18"/>
                    <w:lang w:bidi="ar"/>
                  </w:rPr>
                </w:rPrChange>
              </w:rPr>
              <w:t>一般处罚</w:t>
            </w:r>
          </w:p>
        </w:tc>
        <w:tc>
          <w:tcPr>
            <w:tcW w:w="1829" w:type="dxa"/>
            <w:tcBorders>
              <w:tl2br w:val="nil"/>
              <w:tr2bl w:val="nil"/>
            </w:tcBorders>
            <w:shd w:val="clear" w:color="auto" w:fill="auto"/>
            <w:tcMar>
              <w:top w:w="15" w:type="dxa"/>
              <w:left w:w="15" w:type="dxa"/>
              <w:right w:w="15" w:type="dxa"/>
            </w:tcMar>
            <w:vAlign w:val="center"/>
          </w:tcPr>
          <w:p w14:paraId="310EC88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Change w:id="2322" w:author="LV" w:date="2026-07-14T16:47:50Z">
                  <w:rPr>
                    <w:rFonts w:ascii="仿宋_GB2312" w:hAnsi="宋体" w:eastAsia="仿宋_GB2312" w:cs="仿宋_GB2312"/>
                    <w:color w:val="FF0000"/>
                    <w:sz w:val="18"/>
                    <w:szCs w:val="18"/>
                  </w:rPr>
                </w:rPrChange>
              </w:rPr>
            </w:pPr>
            <w:r>
              <w:rPr>
                <w:rFonts w:hint="default" w:ascii="仿宋_GB2312" w:hAnsi="宋体" w:eastAsia="仿宋_GB2312" w:cs="仿宋_GB2312"/>
                <w:color w:val="auto"/>
                <w:kern w:val="2"/>
                <w:sz w:val="18"/>
                <w:szCs w:val="18"/>
                <w:lang w:bidi="ar"/>
                <w:rPrChange w:id="2323" w:author="LV" w:date="2026-07-14T16:47:50Z">
                  <w:rPr>
                    <w:rFonts w:hint="eastAsia" w:ascii="仿宋_GB2312" w:hAnsi="宋体" w:eastAsia="仿宋_GB2312" w:cs="仿宋_GB2312"/>
                    <w:color w:val="FF0000"/>
                    <w:kern w:val="0"/>
                    <w:sz w:val="18"/>
                    <w:szCs w:val="18"/>
                    <w:lang w:bidi="ar"/>
                  </w:rPr>
                </w:rPrChange>
              </w:rPr>
              <w:t>2处使用应当淘汰的危及生产安全的工艺、设备的。</w:t>
            </w:r>
          </w:p>
        </w:tc>
        <w:tc>
          <w:tcPr>
            <w:tcW w:w="2655" w:type="dxa"/>
            <w:tcBorders>
              <w:tl2br w:val="nil"/>
              <w:tr2bl w:val="nil"/>
            </w:tcBorders>
            <w:shd w:val="clear" w:color="auto" w:fill="auto"/>
            <w:tcMar>
              <w:top w:w="15" w:type="dxa"/>
              <w:left w:w="15" w:type="dxa"/>
              <w:right w:w="15" w:type="dxa"/>
            </w:tcMar>
            <w:vAlign w:val="center"/>
          </w:tcPr>
          <w:p w14:paraId="65A7156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Change w:id="2324" w:author="LV" w:date="2026-07-14T16:47:50Z">
                  <w:rPr>
                    <w:rFonts w:ascii="仿宋_GB2312" w:hAnsi="宋体" w:eastAsia="仿宋_GB2312" w:cs="仿宋_GB2312"/>
                    <w:color w:val="FF0000"/>
                    <w:sz w:val="18"/>
                    <w:szCs w:val="18"/>
                  </w:rPr>
                </w:rPrChange>
              </w:rPr>
            </w:pPr>
            <w:r>
              <w:rPr>
                <w:rFonts w:hint="default" w:ascii="仿宋_GB2312" w:hAnsi="宋体" w:eastAsia="仿宋_GB2312" w:cs="仿宋_GB2312"/>
                <w:color w:val="auto"/>
                <w:kern w:val="2"/>
                <w:sz w:val="18"/>
                <w:szCs w:val="18"/>
                <w:lang w:bidi="ar"/>
                <w:rPrChange w:id="2325" w:author="LV" w:date="2026-07-14T16:47:50Z">
                  <w:rPr>
                    <w:rFonts w:hint="eastAsia" w:ascii="仿宋_GB2312" w:hAnsi="宋体" w:eastAsia="仿宋_GB2312" w:cs="仿宋_GB2312"/>
                    <w:color w:val="FF0000"/>
                    <w:kern w:val="0"/>
                    <w:sz w:val="18"/>
                    <w:szCs w:val="18"/>
                    <w:lang w:bidi="ar"/>
                  </w:rPr>
                </w:rPrChange>
              </w:rPr>
              <w:t>处1万元以上4万元以下的罚款。</w:t>
            </w:r>
          </w:p>
        </w:tc>
      </w:tr>
      <w:tr w14:paraId="2D1D65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9E160D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9F1C72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E0E8A9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2DDDBF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02AB48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left"/>
              <w:textAlignment w:val="center"/>
              <w:rPr>
                <w:rFonts w:ascii="仿宋_GB2312" w:hAnsi="宋体" w:eastAsia="仿宋_GB2312" w:cs="仿宋_GB2312"/>
                <w:sz w:val="18"/>
                <w:szCs w:val="18"/>
              </w:rPr>
              <w:pPrChange w:id="2326" w:author="LV" w:date="2026-07-14T16:47:50Z">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pPr>
              </w:pPrChange>
            </w:pPr>
            <w:r>
              <w:rPr>
                <w:rFonts w:hint="default" w:ascii="仿宋_GB2312" w:hAnsi="宋体" w:eastAsia="仿宋_GB2312" w:cs="仿宋_GB2312"/>
                <w:kern w:val="2"/>
                <w:sz w:val="18"/>
                <w:szCs w:val="18"/>
                <w:lang w:bidi="ar"/>
                <w:rPrChange w:id="2327" w:author="LV" w:date="2026-07-14T16:47:50Z">
                  <w:rPr>
                    <w:rFonts w:hint="eastAsia" w:ascii="仿宋_GB2312" w:hAnsi="宋体" w:eastAsia="仿宋_GB2312" w:cs="仿宋_GB2312"/>
                    <w:kern w:val="0"/>
                    <w:sz w:val="18"/>
                    <w:szCs w:val="18"/>
                    <w:lang w:bidi="ar"/>
                  </w:rPr>
                </w:rPrChange>
              </w:rPr>
              <w:t>从重处罚</w:t>
            </w:r>
          </w:p>
        </w:tc>
        <w:tc>
          <w:tcPr>
            <w:tcW w:w="1829" w:type="dxa"/>
            <w:tcBorders>
              <w:tl2br w:val="nil"/>
              <w:tr2bl w:val="nil"/>
            </w:tcBorders>
            <w:shd w:val="clear" w:color="auto" w:fill="auto"/>
            <w:tcMar>
              <w:top w:w="15" w:type="dxa"/>
              <w:left w:w="15" w:type="dxa"/>
              <w:right w:w="15" w:type="dxa"/>
            </w:tcMar>
            <w:vAlign w:val="center"/>
          </w:tcPr>
          <w:p w14:paraId="1239F5F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default" w:ascii="仿宋_GB2312" w:hAnsi="宋体" w:eastAsia="仿宋_GB2312" w:cs="仿宋_GB2312"/>
                <w:color w:val="auto"/>
                <w:kern w:val="2"/>
                <w:sz w:val="18"/>
                <w:szCs w:val="18"/>
                <w:lang w:bidi="ar"/>
                <w:rPrChange w:id="2328" w:author="LV" w:date="2026-07-14T16:47:50Z">
                  <w:rPr>
                    <w:rFonts w:hint="eastAsia" w:ascii="仿宋_GB2312" w:hAnsi="宋体" w:eastAsia="仿宋_GB2312" w:cs="仿宋_GB2312"/>
                    <w:color w:val="FF0000"/>
                    <w:kern w:val="0"/>
                    <w:sz w:val="18"/>
                    <w:szCs w:val="18"/>
                    <w:lang w:bidi="ar"/>
                  </w:rPr>
                </w:rPrChange>
              </w:rPr>
            </w:pPr>
            <w:r>
              <w:rPr>
                <w:rFonts w:hint="default" w:ascii="仿宋_GB2312" w:hAnsi="宋体" w:eastAsia="仿宋_GB2312" w:cs="仿宋_GB2312"/>
                <w:color w:val="auto"/>
                <w:kern w:val="2"/>
                <w:sz w:val="18"/>
                <w:szCs w:val="18"/>
                <w:lang w:val="en-US" w:eastAsia="zh-CN" w:bidi="ar"/>
                <w:rPrChange w:id="2329" w:author="LV" w:date="2026-07-14T16:47:50Z">
                  <w:rPr>
                    <w:rFonts w:hint="eastAsia" w:ascii="仿宋_GB2312" w:hAnsi="宋体" w:eastAsia="仿宋_GB2312" w:cs="仿宋_GB2312"/>
                    <w:color w:val="FF0000"/>
                    <w:kern w:val="0"/>
                    <w:sz w:val="18"/>
                    <w:szCs w:val="18"/>
                    <w:lang w:val="en-US" w:eastAsia="zh-CN" w:bidi="ar"/>
                  </w:rPr>
                </w:rPrChange>
              </w:rPr>
              <w:t>①3</w:t>
            </w:r>
            <w:r>
              <w:rPr>
                <w:rFonts w:hint="default" w:ascii="仿宋_GB2312" w:hAnsi="宋体" w:eastAsia="仿宋_GB2312" w:cs="仿宋_GB2312"/>
                <w:color w:val="auto"/>
                <w:kern w:val="2"/>
                <w:sz w:val="18"/>
                <w:szCs w:val="18"/>
                <w:lang w:bidi="ar"/>
                <w:rPrChange w:id="2330" w:author="LV" w:date="2026-07-14T16:47:50Z">
                  <w:rPr>
                    <w:rFonts w:hint="eastAsia" w:ascii="仿宋_GB2312" w:hAnsi="宋体" w:eastAsia="仿宋_GB2312" w:cs="仿宋_GB2312"/>
                    <w:color w:val="FF0000"/>
                    <w:kern w:val="0"/>
                    <w:sz w:val="18"/>
                    <w:szCs w:val="18"/>
                    <w:lang w:bidi="ar"/>
                  </w:rPr>
                </w:rPrChange>
              </w:rPr>
              <w:t>处</w:t>
            </w:r>
            <w:r>
              <w:rPr>
                <w:rFonts w:hint="default" w:ascii="仿宋_GB2312" w:hAnsi="宋体" w:eastAsia="仿宋_GB2312" w:cs="仿宋_GB2312"/>
                <w:color w:val="auto"/>
                <w:kern w:val="2"/>
                <w:sz w:val="18"/>
                <w:szCs w:val="18"/>
                <w:lang w:val="en-US" w:eastAsia="zh-CN" w:bidi="ar"/>
                <w:rPrChange w:id="2331" w:author="LV" w:date="2026-07-14T16:47:50Z">
                  <w:rPr>
                    <w:rFonts w:hint="eastAsia" w:ascii="仿宋_GB2312" w:hAnsi="宋体" w:eastAsia="仿宋_GB2312" w:cs="仿宋_GB2312"/>
                    <w:color w:val="FF0000"/>
                    <w:kern w:val="0"/>
                    <w:sz w:val="18"/>
                    <w:szCs w:val="18"/>
                    <w:lang w:val="en-US" w:eastAsia="zh-CN" w:bidi="ar"/>
                  </w:rPr>
                </w:rPrChange>
              </w:rPr>
              <w:t>及</w:t>
            </w:r>
            <w:r>
              <w:rPr>
                <w:rFonts w:hint="default" w:ascii="仿宋_GB2312" w:hAnsi="宋体" w:eastAsia="仿宋_GB2312" w:cs="仿宋_GB2312"/>
                <w:color w:val="auto"/>
                <w:kern w:val="2"/>
                <w:sz w:val="18"/>
                <w:szCs w:val="18"/>
                <w:lang w:bidi="ar"/>
                <w:rPrChange w:id="2332" w:author="LV" w:date="2026-07-14T16:47:50Z">
                  <w:rPr>
                    <w:rFonts w:hint="eastAsia" w:ascii="仿宋_GB2312" w:hAnsi="宋体" w:eastAsia="仿宋_GB2312" w:cs="仿宋_GB2312"/>
                    <w:color w:val="FF0000"/>
                    <w:kern w:val="0"/>
                    <w:sz w:val="18"/>
                    <w:szCs w:val="18"/>
                    <w:lang w:bidi="ar"/>
                  </w:rPr>
                </w:rPrChange>
              </w:rPr>
              <w:t>以上使用应当淘汰的危及生产安全的工艺、设备的。</w:t>
            </w:r>
          </w:p>
          <w:p w14:paraId="19EB27D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Change w:id="2333" w:author="LV" w:date="2026-07-14T16:47:50Z">
                  <w:rPr>
                    <w:rFonts w:ascii="仿宋_GB2312" w:hAnsi="宋体" w:eastAsia="仿宋_GB2312" w:cs="仿宋_GB2312"/>
                    <w:color w:val="FF0000"/>
                    <w:sz w:val="18"/>
                    <w:szCs w:val="18"/>
                  </w:rPr>
                </w:rPrChange>
              </w:rPr>
            </w:pPr>
            <w:r>
              <w:rPr>
                <w:rFonts w:hint="default" w:ascii="仿宋_GB2312" w:hAnsi="宋体" w:eastAsia="仿宋_GB2312" w:cs="仿宋_GB2312"/>
                <w:color w:val="auto"/>
                <w:kern w:val="2"/>
                <w:sz w:val="18"/>
                <w:szCs w:val="18"/>
                <w:lang w:val="en-US" w:eastAsia="zh-CN" w:bidi="ar"/>
                <w:rPrChange w:id="2334" w:author="LV" w:date="2026-07-14T16:47:50Z">
                  <w:rPr>
                    <w:rFonts w:hint="eastAsia" w:ascii="仿宋_GB2312" w:hAnsi="宋体" w:eastAsia="仿宋_GB2312" w:cs="仿宋_GB2312"/>
                    <w:color w:val="FF0000"/>
                    <w:kern w:val="0"/>
                    <w:sz w:val="18"/>
                    <w:szCs w:val="18"/>
                    <w:lang w:val="en-US" w:eastAsia="zh-CN" w:bidi="ar"/>
                  </w:rPr>
                </w:rPrChange>
              </w:rPr>
              <w:t>②</w:t>
            </w:r>
            <w:r>
              <w:rPr>
                <w:rFonts w:hint="default" w:ascii="仿宋_GB2312" w:hAnsi="宋体" w:eastAsia="仿宋_GB2312" w:cs="仿宋_GB2312"/>
                <w:color w:val="auto"/>
                <w:kern w:val="2"/>
                <w:sz w:val="18"/>
                <w:szCs w:val="18"/>
                <w:lang w:bidi="ar"/>
                <w:rPrChange w:id="2335" w:author="LV" w:date="2026-07-14T16:47:50Z">
                  <w:rPr>
                    <w:rFonts w:hint="eastAsia" w:ascii="仿宋_GB2312" w:hAnsi="宋体" w:eastAsia="仿宋_GB2312" w:cs="仿宋_GB2312"/>
                    <w:color w:val="FF0000"/>
                    <w:kern w:val="0"/>
                    <w:sz w:val="18"/>
                    <w:szCs w:val="18"/>
                    <w:lang w:bidi="ar"/>
                  </w:rPr>
                </w:rPrChange>
              </w:rPr>
              <w:t>情节严重的。</w:t>
            </w:r>
          </w:p>
        </w:tc>
        <w:tc>
          <w:tcPr>
            <w:tcW w:w="2655" w:type="dxa"/>
            <w:tcBorders>
              <w:tl2br w:val="nil"/>
              <w:tr2bl w:val="nil"/>
            </w:tcBorders>
            <w:shd w:val="clear" w:color="auto" w:fill="auto"/>
            <w:tcMar>
              <w:top w:w="15" w:type="dxa"/>
              <w:left w:w="15" w:type="dxa"/>
              <w:right w:w="15" w:type="dxa"/>
            </w:tcMar>
            <w:vAlign w:val="center"/>
          </w:tcPr>
          <w:p w14:paraId="75CA6A3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default" w:ascii="仿宋_GB2312" w:hAnsi="宋体" w:eastAsia="仿宋_GB2312" w:cs="仿宋_GB2312"/>
                <w:color w:val="auto"/>
                <w:kern w:val="2"/>
                <w:sz w:val="18"/>
                <w:szCs w:val="18"/>
                <w:lang w:bidi="ar"/>
                <w:rPrChange w:id="2336" w:author="LV" w:date="2026-07-14T16:47:50Z">
                  <w:rPr>
                    <w:rFonts w:hint="eastAsia" w:ascii="仿宋_GB2312" w:hAnsi="宋体" w:eastAsia="仿宋_GB2312" w:cs="仿宋_GB2312"/>
                    <w:color w:val="FF0000"/>
                    <w:kern w:val="0"/>
                    <w:sz w:val="18"/>
                    <w:szCs w:val="18"/>
                    <w:lang w:bidi="ar"/>
                  </w:rPr>
                </w:rPrChange>
              </w:rPr>
            </w:pPr>
            <w:r>
              <w:rPr>
                <w:rFonts w:hint="default" w:ascii="仿宋_GB2312" w:hAnsi="宋体" w:eastAsia="仿宋_GB2312" w:cs="仿宋_GB2312"/>
                <w:color w:val="auto"/>
                <w:kern w:val="2"/>
                <w:sz w:val="18"/>
                <w:szCs w:val="18"/>
                <w:lang w:val="en-US" w:eastAsia="zh-CN" w:bidi="ar"/>
                <w:rPrChange w:id="2337" w:author="LV" w:date="2026-07-14T16:47:50Z">
                  <w:rPr>
                    <w:rFonts w:hint="eastAsia" w:ascii="仿宋_GB2312" w:hAnsi="宋体" w:eastAsia="仿宋_GB2312" w:cs="仿宋_GB2312"/>
                    <w:color w:val="FF0000"/>
                    <w:kern w:val="0"/>
                    <w:sz w:val="18"/>
                    <w:szCs w:val="18"/>
                    <w:lang w:val="en-US" w:eastAsia="zh-CN" w:bidi="ar"/>
                  </w:rPr>
                </w:rPrChange>
              </w:rPr>
              <w:t>①</w:t>
            </w:r>
            <w:r>
              <w:rPr>
                <w:rFonts w:hint="default" w:ascii="仿宋_GB2312" w:hAnsi="宋体" w:eastAsia="仿宋_GB2312" w:cs="仿宋_GB2312"/>
                <w:color w:val="auto"/>
                <w:kern w:val="2"/>
                <w:sz w:val="18"/>
                <w:szCs w:val="18"/>
                <w:lang w:bidi="ar"/>
                <w:rPrChange w:id="2338" w:author="LV" w:date="2026-07-14T16:47:50Z">
                  <w:rPr>
                    <w:rFonts w:hint="eastAsia" w:ascii="仿宋_GB2312" w:hAnsi="宋体" w:eastAsia="仿宋_GB2312" w:cs="仿宋_GB2312"/>
                    <w:color w:val="FF0000"/>
                    <w:kern w:val="0"/>
                    <w:sz w:val="18"/>
                    <w:szCs w:val="18"/>
                    <w:lang w:bidi="ar"/>
                  </w:rPr>
                </w:rPrChange>
              </w:rPr>
              <w:t>处4万元以上5万元以下的罚款。</w:t>
            </w:r>
          </w:p>
          <w:p w14:paraId="4523305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default" w:ascii="仿宋_GB2312" w:hAnsi="宋体" w:eastAsia="仿宋_GB2312" w:cs="仿宋_GB2312"/>
                <w:color w:val="auto"/>
                <w:kern w:val="2"/>
                <w:sz w:val="18"/>
                <w:szCs w:val="18"/>
                <w:lang w:val="en-US" w:eastAsia="zh-CN" w:bidi="ar"/>
                <w:rPrChange w:id="2339" w:author="LV" w:date="2026-07-14T16:47:50Z">
                  <w:rPr>
                    <w:rFonts w:hint="default" w:ascii="仿宋_GB2312" w:hAnsi="宋体" w:eastAsia="仿宋_GB2312" w:cs="仿宋_GB2312"/>
                    <w:color w:val="FF0000"/>
                    <w:kern w:val="0"/>
                    <w:sz w:val="18"/>
                    <w:szCs w:val="18"/>
                    <w:lang w:val="en-US" w:eastAsia="zh-CN" w:bidi="ar"/>
                  </w:rPr>
                </w:rPrChange>
              </w:rPr>
            </w:pPr>
            <w:r>
              <w:rPr>
                <w:rFonts w:hint="default" w:ascii="仿宋_GB2312" w:hAnsi="宋体" w:eastAsia="仿宋_GB2312" w:cs="仿宋_GB2312"/>
                <w:color w:val="auto"/>
                <w:kern w:val="2"/>
                <w:sz w:val="18"/>
                <w:szCs w:val="18"/>
                <w:lang w:val="en-US" w:eastAsia="zh-CN" w:bidi="ar"/>
                <w:rPrChange w:id="2340" w:author="LV" w:date="2026-07-14T16:47:50Z">
                  <w:rPr>
                    <w:rFonts w:hint="eastAsia" w:ascii="仿宋_GB2312" w:hAnsi="宋体" w:eastAsia="仿宋_GB2312" w:cs="仿宋_GB2312"/>
                    <w:color w:val="FF0000"/>
                    <w:kern w:val="0"/>
                    <w:sz w:val="18"/>
                    <w:szCs w:val="18"/>
                    <w:lang w:val="en-US" w:eastAsia="zh-CN" w:bidi="ar"/>
                  </w:rPr>
                </w:rPrChange>
              </w:rPr>
              <w:t>②</w:t>
            </w:r>
            <w:r>
              <w:rPr>
                <w:rFonts w:hint="default" w:ascii="仿宋_GB2312" w:hAnsi="宋体" w:eastAsia="仿宋_GB2312" w:cs="仿宋_GB2312"/>
                <w:color w:val="auto"/>
                <w:kern w:val="2"/>
                <w:sz w:val="18"/>
                <w:szCs w:val="18"/>
                <w:lang w:bidi="ar"/>
                <w:rPrChange w:id="2341" w:author="LV" w:date="2026-07-14T16:47:50Z">
                  <w:rPr>
                    <w:rFonts w:hint="eastAsia" w:ascii="仿宋_GB2312" w:hAnsi="宋体" w:eastAsia="仿宋_GB2312" w:cs="仿宋_GB2312"/>
                    <w:color w:val="FF0000"/>
                    <w:kern w:val="0"/>
                    <w:sz w:val="18"/>
                    <w:szCs w:val="18"/>
                    <w:lang w:bidi="ar"/>
                  </w:rPr>
                </w:rPrChange>
              </w:rPr>
              <w:t>情节严重的</w:t>
            </w:r>
            <w:r>
              <w:rPr>
                <w:rFonts w:hint="default" w:ascii="仿宋_GB2312" w:hAnsi="宋体" w:eastAsia="仿宋_GB2312" w:cs="仿宋_GB2312"/>
                <w:color w:val="auto"/>
                <w:kern w:val="2"/>
                <w:sz w:val="18"/>
                <w:szCs w:val="18"/>
                <w:lang w:eastAsia="zh-CN" w:bidi="ar"/>
                <w:rPrChange w:id="2342" w:author="LV" w:date="2026-07-14T16:47:50Z">
                  <w:rPr>
                    <w:rFonts w:hint="eastAsia" w:ascii="仿宋_GB2312" w:hAnsi="宋体" w:eastAsia="仿宋_GB2312" w:cs="仿宋_GB2312"/>
                    <w:color w:val="FF0000"/>
                    <w:kern w:val="0"/>
                    <w:sz w:val="18"/>
                    <w:szCs w:val="18"/>
                    <w:lang w:eastAsia="zh-CN" w:bidi="ar"/>
                  </w:rPr>
                </w:rPrChange>
              </w:rPr>
              <w:t>，</w:t>
            </w:r>
            <w:r>
              <w:rPr>
                <w:rFonts w:hint="default" w:ascii="仿宋_GB2312" w:hAnsi="宋体" w:eastAsia="仿宋_GB2312" w:cs="仿宋_GB2312"/>
                <w:color w:val="auto"/>
                <w:kern w:val="2"/>
                <w:sz w:val="18"/>
                <w:szCs w:val="18"/>
                <w:lang w:val="en-US" w:eastAsia="zh-CN" w:bidi="ar"/>
                <w:rPrChange w:id="2343" w:author="LV" w:date="2026-07-14T16:47:50Z">
                  <w:rPr>
                    <w:rFonts w:hint="eastAsia" w:ascii="仿宋_GB2312" w:hAnsi="宋体" w:eastAsia="仿宋_GB2312" w:cs="仿宋_GB2312"/>
                    <w:color w:val="FF0000"/>
                    <w:kern w:val="0"/>
                    <w:sz w:val="18"/>
                    <w:szCs w:val="18"/>
                    <w:lang w:val="en-US" w:eastAsia="zh-CN" w:bidi="ar"/>
                  </w:rPr>
                </w:rPrChange>
              </w:rPr>
              <w:t>责令停产停业整顿，</w:t>
            </w:r>
            <w:r>
              <w:rPr>
                <w:rFonts w:hint="default" w:ascii="仿宋_GB2312" w:hAnsi="宋体" w:eastAsia="仿宋_GB2312" w:cs="仿宋_GB2312"/>
                <w:color w:val="auto"/>
                <w:kern w:val="2"/>
                <w:sz w:val="18"/>
                <w:szCs w:val="18"/>
                <w:lang w:bidi="ar"/>
                <w:rPrChange w:id="2344" w:author="LV" w:date="2026-07-14T16:47:50Z">
                  <w:rPr>
                    <w:rFonts w:hint="eastAsia" w:ascii="仿宋_GB2312" w:hAnsi="宋体" w:eastAsia="仿宋_GB2312" w:cs="仿宋_GB2312"/>
                    <w:color w:val="FF0000"/>
                    <w:kern w:val="0"/>
                    <w:sz w:val="18"/>
                    <w:szCs w:val="18"/>
                    <w:lang w:bidi="ar"/>
                  </w:rPr>
                </w:rPrChange>
              </w:rPr>
              <w:t>处4万元以上5万元以下的罚款。</w:t>
            </w:r>
          </w:p>
        </w:tc>
      </w:tr>
      <w:tr w14:paraId="6F3411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2345" w:author="LV" w:date="2026-07-14T16:48:54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wBefore w:w="0" w:type="auto"/>
          <w:trHeight w:val="642" w:hRule="atLeast"/>
          <w:jc w:val="center"/>
          <w:trPrChange w:id="2345" w:author="LV" w:date="2026-07-14T16:48:54Z">
            <w:trPr>
              <w:gridBefore w:val="2"/>
              <w:wBefore w:w="15" w:type="dxa"/>
              <w:trHeight w:val="737" w:hRule="atLeast"/>
              <w:jc w:val="center"/>
            </w:trPr>
          </w:trPrChange>
        </w:trPr>
        <w:tc>
          <w:tcPr>
            <w:tcW w:w="418" w:type="dxa"/>
            <w:vMerge w:val="restart"/>
            <w:tcBorders>
              <w:tl2br w:val="nil"/>
              <w:tr2bl w:val="nil"/>
            </w:tcBorders>
            <w:shd w:val="clear" w:color="auto" w:fill="auto"/>
            <w:noWrap/>
            <w:tcMar>
              <w:top w:w="15" w:type="dxa"/>
              <w:left w:w="15" w:type="dxa"/>
              <w:right w:w="15" w:type="dxa"/>
            </w:tcMar>
            <w:vAlign w:val="center"/>
            <w:tcPrChange w:id="2346" w:author="LV" w:date="2026-07-14T16:48:54Z">
              <w:tcPr>
                <w:tcW w:w="418" w:type="dxa"/>
                <w:gridSpan w:val="3"/>
                <w:vMerge w:val="restart"/>
                <w:tcBorders>
                  <w:tl2br w:val="nil"/>
                  <w:tr2bl w:val="nil"/>
                </w:tcBorders>
                <w:shd w:val="clear" w:color="auto" w:fill="auto"/>
                <w:noWrap/>
                <w:tcMar>
                  <w:top w:w="15" w:type="dxa"/>
                  <w:left w:w="15" w:type="dxa"/>
                  <w:right w:w="15" w:type="dxa"/>
                </w:tcMar>
                <w:vAlign w:val="center"/>
              </w:tcPr>
            </w:tcPrChange>
          </w:tcPr>
          <w:p w14:paraId="06E20CC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1</w:t>
            </w:r>
            <w:del w:id="2347" w:author="LV" w:date="2026-07-14T16:49:13Z">
              <w:r>
                <w:rPr>
                  <w:rFonts w:hint="default" w:ascii="仿宋_GB2312" w:hAnsi="宋体" w:eastAsia="仿宋_GB2312" w:cs="仿宋_GB2312"/>
                  <w:kern w:val="0"/>
                  <w:sz w:val="18"/>
                  <w:szCs w:val="18"/>
                  <w:lang w:val="en-US" w:bidi="ar"/>
                </w:rPr>
                <w:delText>0</w:delText>
              </w:r>
            </w:del>
            <w:del w:id="2348" w:author="LV" w:date="2026-07-14T16:49:13Z">
              <w:r>
                <w:rPr>
                  <w:rFonts w:hint="default" w:ascii="仿宋_GB2312" w:hAnsi="宋体" w:eastAsia="仿宋_GB2312" w:cs="仿宋_GB2312"/>
                  <w:kern w:val="0"/>
                  <w:sz w:val="18"/>
                  <w:szCs w:val="18"/>
                  <w:lang w:val="en-US" w:eastAsia="zh-CN" w:bidi="ar"/>
                </w:rPr>
                <w:delText>4</w:delText>
              </w:r>
            </w:del>
            <w:ins w:id="2349" w:author="LV" w:date="2026-07-14T16:49:13Z">
              <w:r>
                <w:rPr>
                  <w:rFonts w:hint="eastAsia" w:ascii="仿宋_GB2312" w:hAnsi="宋体" w:eastAsia="仿宋_GB2312" w:cs="仿宋_GB2312"/>
                  <w:kern w:val="0"/>
                  <w:sz w:val="18"/>
                  <w:szCs w:val="18"/>
                  <w:lang w:val="en-US" w:eastAsia="zh-CN" w:bidi="ar"/>
                </w:rPr>
                <w:t>11</w:t>
              </w:r>
            </w:ins>
          </w:p>
        </w:tc>
        <w:tc>
          <w:tcPr>
            <w:tcW w:w="1005" w:type="dxa"/>
            <w:vMerge w:val="restart"/>
            <w:tcBorders>
              <w:tl2br w:val="nil"/>
              <w:tr2bl w:val="nil"/>
            </w:tcBorders>
            <w:shd w:val="clear" w:color="auto" w:fill="auto"/>
            <w:tcMar>
              <w:top w:w="15" w:type="dxa"/>
              <w:left w:w="15" w:type="dxa"/>
              <w:right w:w="15" w:type="dxa"/>
            </w:tcMar>
            <w:vAlign w:val="center"/>
            <w:tcPrChange w:id="2350" w:author="LV" w:date="2026-07-14T16:48:54Z">
              <w:tcPr>
                <w:tcW w:w="1005" w:type="dxa"/>
                <w:gridSpan w:val="3"/>
                <w:vMerge w:val="restart"/>
                <w:tcBorders>
                  <w:tl2br w:val="nil"/>
                  <w:tr2bl w:val="nil"/>
                </w:tcBorders>
                <w:shd w:val="clear" w:color="auto" w:fill="auto"/>
                <w:tcMar>
                  <w:top w:w="15" w:type="dxa"/>
                  <w:left w:w="15" w:type="dxa"/>
                  <w:right w:w="15" w:type="dxa"/>
                </w:tcMar>
                <w:vAlign w:val="center"/>
              </w:tcPr>
            </w:tcPrChange>
          </w:tcPr>
          <w:p w14:paraId="06F9AE9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煤矿使用应当淘汰的危及生产安全的工艺、设备，逾期未改正的</w:t>
            </w:r>
          </w:p>
        </w:tc>
        <w:tc>
          <w:tcPr>
            <w:tcW w:w="3667" w:type="dxa"/>
            <w:vMerge w:val="restart"/>
            <w:tcBorders>
              <w:tl2br w:val="nil"/>
              <w:tr2bl w:val="nil"/>
            </w:tcBorders>
            <w:shd w:val="clear" w:color="auto" w:fill="auto"/>
            <w:tcMar>
              <w:top w:w="15" w:type="dxa"/>
              <w:left w:w="15" w:type="dxa"/>
              <w:right w:w="15" w:type="dxa"/>
            </w:tcMar>
            <w:vAlign w:val="center"/>
            <w:tcPrChange w:id="2351" w:author="LV" w:date="2026-07-14T16:48:54Z">
              <w:tcPr>
                <w:tcW w:w="3667" w:type="dxa"/>
                <w:gridSpan w:val="3"/>
                <w:vMerge w:val="restart"/>
                <w:tcBorders>
                  <w:tl2br w:val="nil"/>
                  <w:tr2bl w:val="nil"/>
                </w:tcBorders>
                <w:shd w:val="clear" w:color="auto" w:fill="auto"/>
                <w:tcMar>
                  <w:top w:w="15" w:type="dxa"/>
                  <w:left w:w="15" w:type="dxa"/>
                  <w:right w:w="15" w:type="dxa"/>
                </w:tcMar>
                <w:vAlign w:val="center"/>
              </w:tcPr>
            </w:tcPrChange>
          </w:tcPr>
          <w:p w14:paraId="19F7E6F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bidi="ar"/>
              </w:rPr>
              <w:t>《安全生产法》第三十八条 国家对严重危及生产安全的工艺、设备实行淘汰制度，具体目录由国务院应急管理部门会同国务院有关部门制定并公布。法律、行政法规对目录的制定另有规定的，适用其规定。省、自治区、直辖市人民政府可以根据本地区实际情况制定并公布具体目录，对前款规定以外的危及生产安全的工艺、设备予以淘汰。生产经营单位不得使用应当淘汰的危及生产安全的工艺、设备。</w:t>
            </w:r>
          </w:p>
          <w:p w14:paraId="152A6F3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p>
        </w:tc>
        <w:tc>
          <w:tcPr>
            <w:tcW w:w="4082" w:type="dxa"/>
            <w:vMerge w:val="restart"/>
            <w:tcBorders>
              <w:tl2br w:val="nil"/>
              <w:tr2bl w:val="nil"/>
            </w:tcBorders>
            <w:shd w:val="clear" w:color="auto" w:fill="auto"/>
            <w:tcMar>
              <w:top w:w="15" w:type="dxa"/>
              <w:left w:w="15" w:type="dxa"/>
              <w:right w:w="15" w:type="dxa"/>
            </w:tcMar>
            <w:vAlign w:val="center"/>
            <w:tcPrChange w:id="2352" w:author="LV" w:date="2026-07-14T16:48:54Z">
              <w:tcPr>
                <w:tcW w:w="4082" w:type="dxa"/>
                <w:gridSpan w:val="3"/>
                <w:vMerge w:val="restart"/>
                <w:tcBorders>
                  <w:tl2br w:val="nil"/>
                  <w:tr2bl w:val="nil"/>
                </w:tcBorders>
                <w:shd w:val="clear" w:color="auto" w:fill="auto"/>
                <w:tcMar>
                  <w:top w:w="15" w:type="dxa"/>
                  <w:left w:w="15" w:type="dxa"/>
                  <w:right w:w="15" w:type="dxa"/>
                </w:tcMar>
                <w:vAlign w:val="center"/>
              </w:tcPr>
            </w:tcPrChange>
          </w:tcPr>
          <w:p w14:paraId="3F8C41E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bidi="ar"/>
              </w:rPr>
              <w:t>《安全生产法》第九十九条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七）使用应当淘汰的危及生产安全的工艺、设备的。</w:t>
            </w:r>
          </w:p>
          <w:p w14:paraId="10C75F6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p>
        </w:tc>
        <w:tc>
          <w:tcPr>
            <w:tcW w:w="459" w:type="dxa"/>
            <w:tcBorders>
              <w:tl2br w:val="nil"/>
              <w:tr2bl w:val="nil"/>
            </w:tcBorders>
            <w:shd w:val="clear" w:color="auto" w:fill="auto"/>
            <w:noWrap/>
            <w:tcMar>
              <w:top w:w="15" w:type="dxa"/>
              <w:left w:w="15" w:type="dxa"/>
              <w:right w:w="15" w:type="dxa"/>
            </w:tcMar>
            <w:vAlign w:val="center"/>
            <w:tcPrChange w:id="2353" w:author="LV" w:date="2026-07-14T16:48:54Z">
              <w:tcPr>
                <w:tcW w:w="459" w:type="dxa"/>
                <w:gridSpan w:val="3"/>
                <w:tcBorders>
                  <w:tl2br w:val="nil"/>
                  <w:tr2bl w:val="nil"/>
                </w:tcBorders>
                <w:shd w:val="clear" w:color="auto" w:fill="auto"/>
                <w:noWrap/>
                <w:tcMar>
                  <w:top w:w="15" w:type="dxa"/>
                  <w:left w:w="15" w:type="dxa"/>
                  <w:right w:w="15" w:type="dxa"/>
                </w:tcMar>
                <w:vAlign w:val="center"/>
              </w:tcPr>
            </w:tcPrChange>
          </w:tcPr>
          <w:p w14:paraId="77C7219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Change w:id="2354" w:author="LV" w:date="2026-07-14T16:48:54Z">
              <w:tcPr>
                <w:tcW w:w="1829" w:type="dxa"/>
                <w:gridSpan w:val="3"/>
                <w:tcBorders>
                  <w:tl2br w:val="nil"/>
                  <w:tr2bl w:val="nil"/>
                </w:tcBorders>
                <w:shd w:val="clear" w:color="auto" w:fill="auto"/>
                <w:tcMar>
                  <w:top w:w="15" w:type="dxa"/>
                  <w:left w:w="15" w:type="dxa"/>
                  <w:right w:w="15" w:type="dxa"/>
                </w:tcMar>
                <w:vAlign w:val="center"/>
              </w:tcPr>
            </w:tcPrChange>
          </w:tcPr>
          <w:p w14:paraId="2E3CA33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Change w:id="2355" w:author="LV" w:date="2026-07-14T16:48:54Z">
              <w:tcPr>
                <w:tcW w:w="2655" w:type="dxa"/>
                <w:gridSpan w:val="3"/>
                <w:tcBorders>
                  <w:tl2br w:val="nil"/>
                  <w:tr2bl w:val="nil"/>
                </w:tcBorders>
                <w:shd w:val="clear" w:color="auto" w:fill="auto"/>
                <w:tcMar>
                  <w:top w:w="15" w:type="dxa"/>
                  <w:left w:w="15" w:type="dxa"/>
                  <w:right w:w="15" w:type="dxa"/>
                </w:tcMar>
                <w:vAlign w:val="center"/>
              </w:tcPr>
            </w:tcPrChange>
          </w:tcPr>
          <w:p w14:paraId="4833936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61585E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2356" w:author="LV" w:date="2026-07-14T16:48:51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wBefore w:w="0" w:type="auto"/>
          <w:trHeight w:val="642" w:hRule="atLeast"/>
          <w:jc w:val="center"/>
          <w:trPrChange w:id="2356" w:author="LV" w:date="2026-07-14T16:48:51Z">
            <w:trPr>
              <w:gridBefore w:val="2"/>
              <w:wBefore w:w="15" w:type="dxa"/>
              <w:trHeight w:val="737" w:hRule="atLeast"/>
              <w:jc w:val="center"/>
            </w:trPr>
          </w:trPrChange>
        </w:trPr>
        <w:tc>
          <w:tcPr>
            <w:tcW w:w="418" w:type="dxa"/>
            <w:vMerge w:val="continue"/>
            <w:tcBorders>
              <w:tl2br w:val="nil"/>
              <w:tr2bl w:val="nil"/>
            </w:tcBorders>
            <w:shd w:val="clear" w:color="auto" w:fill="auto"/>
            <w:noWrap/>
            <w:tcMar>
              <w:top w:w="15" w:type="dxa"/>
              <w:left w:w="15" w:type="dxa"/>
              <w:right w:w="15" w:type="dxa"/>
            </w:tcMar>
            <w:vAlign w:val="center"/>
            <w:tcPrChange w:id="2357" w:author="LV" w:date="2026-07-14T16:48:51Z">
              <w:tcPr>
                <w:tcW w:w="418" w:type="dxa"/>
                <w:gridSpan w:val="3"/>
                <w:vMerge w:val="continue"/>
                <w:tcBorders>
                  <w:tl2br w:val="nil"/>
                  <w:tr2bl w:val="nil"/>
                </w:tcBorders>
                <w:shd w:val="clear" w:color="auto" w:fill="auto"/>
                <w:noWrap/>
                <w:tcMar>
                  <w:top w:w="15" w:type="dxa"/>
                  <w:left w:w="15" w:type="dxa"/>
                  <w:right w:w="15" w:type="dxa"/>
                </w:tcMar>
                <w:vAlign w:val="center"/>
              </w:tcPr>
            </w:tcPrChange>
          </w:tcPr>
          <w:p w14:paraId="14C84EF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Change w:id="2358" w:author="LV" w:date="2026-07-14T16:48:51Z">
              <w:tcPr>
                <w:tcW w:w="1005" w:type="dxa"/>
                <w:gridSpan w:val="3"/>
                <w:vMerge w:val="continue"/>
                <w:tcBorders>
                  <w:tl2br w:val="nil"/>
                  <w:tr2bl w:val="nil"/>
                </w:tcBorders>
                <w:shd w:val="clear" w:color="auto" w:fill="auto"/>
                <w:tcMar>
                  <w:top w:w="15" w:type="dxa"/>
                  <w:left w:w="15" w:type="dxa"/>
                  <w:right w:w="15" w:type="dxa"/>
                </w:tcMar>
                <w:vAlign w:val="center"/>
              </w:tcPr>
            </w:tcPrChange>
          </w:tcPr>
          <w:p w14:paraId="00B9E8C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Change w:id="2359" w:author="LV" w:date="2026-07-14T16:48:51Z">
              <w:tcPr>
                <w:tcW w:w="3667" w:type="dxa"/>
                <w:gridSpan w:val="3"/>
                <w:vMerge w:val="continue"/>
                <w:tcBorders>
                  <w:tl2br w:val="nil"/>
                  <w:tr2bl w:val="nil"/>
                </w:tcBorders>
                <w:shd w:val="clear" w:color="auto" w:fill="auto"/>
                <w:tcMar>
                  <w:top w:w="15" w:type="dxa"/>
                  <w:left w:w="15" w:type="dxa"/>
                  <w:right w:w="15" w:type="dxa"/>
                </w:tcMar>
                <w:vAlign w:val="center"/>
              </w:tcPr>
            </w:tcPrChange>
          </w:tcPr>
          <w:p w14:paraId="5184DF3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Change w:id="2360" w:author="LV" w:date="2026-07-14T16:48:51Z">
              <w:tcPr>
                <w:tcW w:w="4082" w:type="dxa"/>
                <w:gridSpan w:val="3"/>
                <w:vMerge w:val="continue"/>
                <w:tcBorders>
                  <w:tl2br w:val="nil"/>
                  <w:tr2bl w:val="nil"/>
                </w:tcBorders>
                <w:shd w:val="clear" w:color="auto" w:fill="auto"/>
                <w:tcMar>
                  <w:top w:w="15" w:type="dxa"/>
                  <w:left w:w="15" w:type="dxa"/>
                  <w:right w:w="15" w:type="dxa"/>
                </w:tcMar>
                <w:vAlign w:val="center"/>
              </w:tcPr>
            </w:tcPrChange>
          </w:tcPr>
          <w:p w14:paraId="6A514DA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Change w:id="2361" w:author="LV" w:date="2026-07-14T16:48:51Z">
              <w:tcPr>
                <w:tcW w:w="459" w:type="dxa"/>
                <w:gridSpan w:val="3"/>
                <w:tcBorders>
                  <w:tl2br w:val="nil"/>
                  <w:tr2bl w:val="nil"/>
                </w:tcBorders>
                <w:shd w:val="clear" w:color="auto" w:fill="auto"/>
                <w:noWrap/>
                <w:tcMar>
                  <w:top w:w="15" w:type="dxa"/>
                  <w:left w:w="15" w:type="dxa"/>
                  <w:right w:w="15" w:type="dxa"/>
                </w:tcMar>
                <w:vAlign w:val="center"/>
              </w:tcPr>
            </w:tcPrChange>
          </w:tcPr>
          <w:p w14:paraId="14EF5B0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Change w:id="2362" w:author="LV" w:date="2026-07-14T16:48:51Z">
              <w:tcPr>
                <w:tcW w:w="1829" w:type="dxa"/>
                <w:gridSpan w:val="3"/>
                <w:tcBorders>
                  <w:tl2br w:val="nil"/>
                  <w:tr2bl w:val="nil"/>
                </w:tcBorders>
                <w:shd w:val="clear" w:color="auto" w:fill="auto"/>
                <w:tcMar>
                  <w:top w:w="15" w:type="dxa"/>
                  <w:left w:w="15" w:type="dxa"/>
                  <w:right w:w="15" w:type="dxa"/>
                </w:tcMar>
                <w:vAlign w:val="center"/>
              </w:tcPr>
            </w:tcPrChange>
          </w:tcPr>
          <w:p w14:paraId="0B5CB75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Change w:id="2363" w:author="LV" w:date="2026-07-14T16:48:51Z">
              <w:tcPr>
                <w:tcW w:w="2655" w:type="dxa"/>
                <w:gridSpan w:val="3"/>
                <w:tcBorders>
                  <w:tl2br w:val="nil"/>
                  <w:tr2bl w:val="nil"/>
                </w:tcBorders>
                <w:shd w:val="clear" w:color="auto" w:fill="auto"/>
                <w:tcMar>
                  <w:top w:w="15" w:type="dxa"/>
                  <w:left w:w="15" w:type="dxa"/>
                  <w:right w:w="15" w:type="dxa"/>
                </w:tcMar>
                <w:vAlign w:val="center"/>
              </w:tcPr>
            </w:tcPrChange>
          </w:tcPr>
          <w:p w14:paraId="4C680FB4">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29AEE8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2364" w:author="LV" w:date="2026-07-14T16:48:47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wBefore w:w="0" w:type="auto"/>
          <w:trHeight w:val="612" w:hRule="atLeast"/>
          <w:jc w:val="center"/>
          <w:trPrChange w:id="2364" w:author="LV" w:date="2026-07-14T16:48:47Z">
            <w:trPr>
              <w:gridBefore w:val="2"/>
              <w:wBefore w:w="15" w:type="dxa"/>
              <w:trHeight w:val="737" w:hRule="atLeast"/>
              <w:jc w:val="center"/>
            </w:trPr>
          </w:trPrChange>
        </w:trPr>
        <w:tc>
          <w:tcPr>
            <w:tcW w:w="418" w:type="dxa"/>
            <w:vMerge w:val="continue"/>
            <w:tcBorders>
              <w:tl2br w:val="nil"/>
              <w:tr2bl w:val="nil"/>
            </w:tcBorders>
            <w:shd w:val="clear" w:color="auto" w:fill="auto"/>
            <w:noWrap/>
            <w:tcMar>
              <w:top w:w="15" w:type="dxa"/>
              <w:left w:w="15" w:type="dxa"/>
              <w:right w:w="15" w:type="dxa"/>
            </w:tcMar>
            <w:vAlign w:val="center"/>
            <w:tcPrChange w:id="2365" w:author="LV" w:date="2026-07-14T16:48:47Z">
              <w:tcPr>
                <w:tcW w:w="418" w:type="dxa"/>
                <w:gridSpan w:val="3"/>
                <w:vMerge w:val="continue"/>
                <w:tcBorders>
                  <w:tl2br w:val="nil"/>
                  <w:tr2bl w:val="nil"/>
                </w:tcBorders>
                <w:shd w:val="clear" w:color="auto" w:fill="auto"/>
                <w:noWrap/>
                <w:tcMar>
                  <w:top w:w="15" w:type="dxa"/>
                  <w:left w:w="15" w:type="dxa"/>
                  <w:right w:w="15" w:type="dxa"/>
                </w:tcMar>
                <w:vAlign w:val="center"/>
              </w:tcPr>
            </w:tcPrChange>
          </w:tcPr>
          <w:p w14:paraId="71A8763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Change w:id="2366" w:author="LV" w:date="2026-07-14T16:48:47Z">
              <w:tcPr>
                <w:tcW w:w="1005" w:type="dxa"/>
                <w:gridSpan w:val="3"/>
                <w:vMerge w:val="continue"/>
                <w:tcBorders>
                  <w:tl2br w:val="nil"/>
                  <w:tr2bl w:val="nil"/>
                </w:tcBorders>
                <w:shd w:val="clear" w:color="auto" w:fill="auto"/>
                <w:tcMar>
                  <w:top w:w="15" w:type="dxa"/>
                  <w:left w:w="15" w:type="dxa"/>
                  <w:right w:w="15" w:type="dxa"/>
                </w:tcMar>
                <w:vAlign w:val="center"/>
              </w:tcPr>
            </w:tcPrChange>
          </w:tcPr>
          <w:p w14:paraId="38F661B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Change w:id="2367" w:author="LV" w:date="2026-07-14T16:48:47Z">
              <w:tcPr>
                <w:tcW w:w="3667" w:type="dxa"/>
                <w:gridSpan w:val="3"/>
                <w:vMerge w:val="continue"/>
                <w:tcBorders>
                  <w:tl2br w:val="nil"/>
                  <w:tr2bl w:val="nil"/>
                </w:tcBorders>
                <w:shd w:val="clear" w:color="auto" w:fill="auto"/>
                <w:tcMar>
                  <w:top w:w="15" w:type="dxa"/>
                  <w:left w:w="15" w:type="dxa"/>
                  <w:right w:w="15" w:type="dxa"/>
                </w:tcMar>
                <w:vAlign w:val="center"/>
              </w:tcPr>
            </w:tcPrChange>
          </w:tcPr>
          <w:p w14:paraId="79624F7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Change w:id="2368" w:author="LV" w:date="2026-07-14T16:48:47Z">
              <w:tcPr>
                <w:tcW w:w="4082" w:type="dxa"/>
                <w:gridSpan w:val="3"/>
                <w:vMerge w:val="continue"/>
                <w:tcBorders>
                  <w:tl2br w:val="nil"/>
                  <w:tr2bl w:val="nil"/>
                </w:tcBorders>
                <w:shd w:val="clear" w:color="auto" w:fill="auto"/>
                <w:tcMar>
                  <w:top w:w="15" w:type="dxa"/>
                  <w:left w:w="15" w:type="dxa"/>
                  <w:right w:w="15" w:type="dxa"/>
                </w:tcMar>
                <w:vAlign w:val="center"/>
              </w:tcPr>
            </w:tcPrChange>
          </w:tcPr>
          <w:p w14:paraId="2C1E8CA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Change w:id="2369" w:author="LV" w:date="2026-07-14T16:48:47Z">
              <w:tcPr>
                <w:tcW w:w="459" w:type="dxa"/>
                <w:gridSpan w:val="3"/>
                <w:tcBorders>
                  <w:tl2br w:val="nil"/>
                  <w:tr2bl w:val="nil"/>
                </w:tcBorders>
                <w:shd w:val="clear" w:color="auto" w:fill="auto"/>
                <w:noWrap/>
                <w:tcMar>
                  <w:top w:w="15" w:type="dxa"/>
                  <w:left w:w="15" w:type="dxa"/>
                  <w:right w:w="15" w:type="dxa"/>
                </w:tcMar>
                <w:vAlign w:val="center"/>
              </w:tcPr>
            </w:tcPrChange>
          </w:tcPr>
          <w:p w14:paraId="3346CC1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Change w:id="2370" w:author="LV" w:date="2026-07-14T16:48:47Z">
              <w:tcPr>
                <w:tcW w:w="1829" w:type="dxa"/>
                <w:gridSpan w:val="3"/>
                <w:tcBorders>
                  <w:tl2br w:val="nil"/>
                  <w:tr2bl w:val="nil"/>
                </w:tcBorders>
                <w:shd w:val="clear" w:color="auto" w:fill="auto"/>
                <w:tcMar>
                  <w:top w:w="15" w:type="dxa"/>
                  <w:left w:w="15" w:type="dxa"/>
                  <w:right w:w="15" w:type="dxa"/>
                </w:tcMar>
                <w:vAlign w:val="center"/>
              </w:tcPr>
            </w:tcPrChange>
          </w:tcPr>
          <w:p w14:paraId="76DFA75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Change w:id="2371" w:author="LV" w:date="2026-07-14T16:48:47Z">
              <w:tcPr>
                <w:tcW w:w="2655" w:type="dxa"/>
                <w:gridSpan w:val="3"/>
                <w:tcBorders>
                  <w:tl2br w:val="nil"/>
                  <w:tr2bl w:val="nil"/>
                </w:tcBorders>
                <w:shd w:val="clear" w:color="auto" w:fill="auto"/>
                <w:tcMar>
                  <w:top w:w="15" w:type="dxa"/>
                  <w:left w:w="15" w:type="dxa"/>
                  <w:right w:w="15" w:type="dxa"/>
                </w:tcMar>
                <w:vAlign w:val="center"/>
              </w:tcPr>
            </w:tcPrChange>
          </w:tcPr>
          <w:p w14:paraId="7B8BB8A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419561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2372" w:author="LV" w:date="2026-07-14T16:48:58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wBefore w:w="0" w:type="auto"/>
          <w:trHeight w:val="1541" w:hRule="atLeast"/>
          <w:jc w:val="center"/>
          <w:trPrChange w:id="2372" w:author="LV" w:date="2026-07-14T16:48:58Z">
            <w:trPr>
              <w:gridBefore w:val="2"/>
              <w:wBefore w:w="15" w:type="dxa"/>
              <w:trHeight w:val="1956" w:hRule="atLeast"/>
              <w:jc w:val="center"/>
            </w:trPr>
          </w:trPrChange>
        </w:trPr>
        <w:tc>
          <w:tcPr>
            <w:tcW w:w="418" w:type="dxa"/>
            <w:vMerge w:val="continue"/>
            <w:tcBorders>
              <w:tl2br w:val="nil"/>
              <w:tr2bl w:val="nil"/>
            </w:tcBorders>
            <w:shd w:val="clear" w:color="auto" w:fill="auto"/>
            <w:noWrap/>
            <w:tcMar>
              <w:top w:w="15" w:type="dxa"/>
              <w:left w:w="15" w:type="dxa"/>
              <w:right w:w="15" w:type="dxa"/>
            </w:tcMar>
            <w:vAlign w:val="center"/>
            <w:tcPrChange w:id="2373" w:author="LV" w:date="2026-07-14T16:48:58Z">
              <w:tcPr>
                <w:tcW w:w="418" w:type="dxa"/>
                <w:gridSpan w:val="3"/>
                <w:vMerge w:val="continue"/>
                <w:tcBorders>
                  <w:tl2br w:val="nil"/>
                  <w:tr2bl w:val="nil"/>
                </w:tcBorders>
                <w:shd w:val="clear" w:color="auto" w:fill="auto"/>
                <w:noWrap/>
                <w:tcMar>
                  <w:top w:w="15" w:type="dxa"/>
                  <w:left w:w="15" w:type="dxa"/>
                  <w:right w:w="15" w:type="dxa"/>
                </w:tcMar>
                <w:vAlign w:val="center"/>
              </w:tcPr>
            </w:tcPrChange>
          </w:tcPr>
          <w:p w14:paraId="67E6A3C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Change w:id="2374" w:author="LV" w:date="2026-07-14T16:48:58Z">
              <w:tcPr>
                <w:tcW w:w="1005" w:type="dxa"/>
                <w:gridSpan w:val="3"/>
                <w:vMerge w:val="continue"/>
                <w:tcBorders>
                  <w:tl2br w:val="nil"/>
                  <w:tr2bl w:val="nil"/>
                </w:tcBorders>
                <w:shd w:val="clear" w:color="auto" w:fill="auto"/>
                <w:tcMar>
                  <w:top w:w="15" w:type="dxa"/>
                  <w:left w:w="15" w:type="dxa"/>
                  <w:right w:w="15" w:type="dxa"/>
                </w:tcMar>
                <w:vAlign w:val="center"/>
              </w:tcPr>
            </w:tcPrChange>
          </w:tcPr>
          <w:p w14:paraId="1C1C324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Change w:id="2375" w:author="LV" w:date="2026-07-14T16:48:58Z">
              <w:tcPr>
                <w:tcW w:w="3667" w:type="dxa"/>
                <w:gridSpan w:val="3"/>
                <w:vMerge w:val="continue"/>
                <w:tcBorders>
                  <w:tl2br w:val="nil"/>
                  <w:tr2bl w:val="nil"/>
                </w:tcBorders>
                <w:shd w:val="clear" w:color="auto" w:fill="auto"/>
                <w:tcMar>
                  <w:top w:w="15" w:type="dxa"/>
                  <w:left w:w="15" w:type="dxa"/>
                  <w:right w:w="15" w:type="dxa"/>
                </w:tcMar>
                <w:vAlign w:val="center"/>
              </w:tcPr>
            </w:tcPrChange>
          </w:tcPr>
          <w:p w14:paraId="42C6624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Change w:id="2376" w:author="LV" w:date="2026-07-14T16:48:58Z">
              <w:tcPr>
                <w:tcW w:w="4082" w:type="dxa"/>
                <w:gridSpan w:val="3"/>
                <w:vMerge w:val="continue"/>
                <w:tcBorders>
                  <w:tl2br w:val="nil"/>
                  <w:tr2bl w:val="nil"/>
                </w:tcBorders>
                <w:shd w:val="clear" w:color="auto" w:fill="auto"/>
                <w:tcMar>
                  <w:top w:w="15" w:type="dxa"/>
                  <w:left w:w="15" w:type="dxa"/>
                  <w:right w:w="15" w:type="dxa"/>
                </w:tcMar>
                <w:vAlign w:val="center"/>
              </w:tcPr>
            </w:tcPrChange>
          </w:tcPr>
          <w:p w14:paraId="2560D5B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Change w:id="2377" w:author="LV" w:date="2026-07-14T16:48:58Z">
              <w:tcPr>
                <w:tcW w:w="459" w:type="dxa"/>
                <w:gridSpan w:val="3"/>
                <w:tcBorders>
                  <w:tl2br w:val="nil"/>
                  <w:tr2bl w:val="nil"/>
                </w:tcBorders>
                <w:shd w:val="clear" w:color="auto" w:fill="auto"/>
                <w:noWrap/>
                <w:tcMar>
                  <w:top w:w="15" w:type="dxa"/>
                  <w:left w:w="15" w:type="dxa"/>
                  <w:right w:w="15" w:type="dxa"/>
                </w:tcMar>
                <w:vAlign w:val="center"/>
              </w:tcPr>
            </w:tcPrChange>
          </w:tcPr>
          <w:p w14:paraId="6CA0858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Change w:id="2378" w:author="LV" w:date="2026-07-14T16:48:58Z">
              <w:tcPr>
                <w:tcW w:w="1829" w:type="dxa"/>
                <w:gridSpan w:val="3"/>
                <w:tcBorders>
                  <w:tl2br w:val="nil"/>
                  <w:tr2bl w:val="nil"/>
                </w:tcBorders>
                <w:shd w:val="clear" w:color="auto" w:fill="auto"/>
                <w:tcMar>
                  <w:top w:w="15" w:type="dxa"/>
                  <w:left w:w="15" w:type="dxa"/>
                  <w:right w:w="15" w:type="dxa"/>
                </w:tcMar>
                <w:vAlign w:val="center"/>
              </w:tcPr>
            </w:tcPrChange>
          </w:tcPr>
          <w:p w14:paraId="46A1F87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1处使用应当淘汰的危及生产安全的工艺、设备的，逾期未改正的。</w:t>
            </w:r>
          </w:p>
        </w:tc>
        <w:tc>
          <w:tcPr>
            <w:tcW w:w="2655" w:type="dxa"/>
            <w:tcBorders>
              <w:tl2br w:val="nil"/>
              <w:tr2bl w:val="nil"/>
            </w:tcBorders>
            <w:shd w:val="clear" w:color="auto" w:fill="auto"/>
            <w:tcMar>
              <w:top w:w="15" w:type="dxa"/>
              <w:left w:w="15" w:type="dxa"/>
              <w:right w:w="15" w:type="dxa"/>
            </w:tcMar>
            <w:vAlign w:val="center"/>
            <w:tcPrChange w:id="2379" w:author="LV" w:date="2026-07-14T16:48:58Z">
              <w:tcPr>
                <w:tcW w:w="2655" w:type="dxa"/>
                <w:gridSpan w:val="3"/>
                <w:tcBorders>
                  <w:tl2br w:val="nil"/>
                  <w:tr2bl w:val="nil"/>
                </w:tcBorders>
                <w:shd w:val="clear" w:color="auto" w:fill="auto"/>
                <w:tcMar>
                  <w:top w:w="15" w:type="dxa"/>
                  <w:left w:w="15" w:type="dxa"/>
                  <w:right w:w="15" w:type="dxa"/>
                </w:tcMar>
                <w:vAlign w:val="center"/>
              </w:tcPr>
            </w:tcPrChange>
          </w:tcPr>
          <w:p w14:paraId="7C3FD01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处5万元至10万元罚款，对其直接负责的主管人员和其他直接责任人员处1万元以上1.3万元以下的罚款。</w:t>
            </w:r>
          </w:p>
        </w:tc>
      </w:tr>
      <w:tr w14:paraId="551F3D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2380" w:author="LV" w:date="2026-07-14T16:49:01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wBefore w:w="0" w:type="auto"/>
          <w:trHeight w:val="1681" w:hRule="atLeast"/>
          <w:jc w:val="center"/>
          <w:trPrChange w:id="2380" w:author="LV" w:date="2026-07-14T16:49:01Z">
            <w:trPr>
              <w:gridBefore w:val="2"/>
              <w:wBefore w:w="15" w:type="dxa"/>
              <w:trHeight w:val="1956" w:hRule="atLeast"/>
              <w:jc w:val="center"/>
            </w:trPr>
          </w:trPrChange>
        </w:trPr>
        <w:tc>
          <w:tcPr>
            <w:tcW w:w="418" w:type="dxa"/>
            <w:vMerge w:val="continue"/>
            <w:tcBorders>
              <w:tl2br w:val="nil"/>
              <w:tr2bl w:val="nil"/>
            </w:tcBorders>
            <w:shd w:val="clear" w:color="auto" w:fill="auto"/>
            <w:noWrap/>
            <w:tcMar>
              <w:top w:w="15" w:type="dxa"/>
              <w:left w:w="15" w:type="dxa"/>
              <w:right w:w="15" w:type="dxa"/>
            </w:tcMar>
            <w:vAlign w:val="center"/>
            <w:tcPrChange w:id="2381" w:author="LV" w:date="2026-07-14T16:49:01Z">
              <w:tcPr>
                <w:tcW w:w="418" w:type="dxa"/>
                <w:gridSpan w:val="3"/>
                <w:vMerge w:val="continue"/>
                <w:tcBorders>
                  <w:tl2br w:val="nil"/>
                  <w:tr2bl w:val="nil"/>
                </w:tcBorders>
                <w:shd w:val="clear" w:color="auto" w:fill="auto"/>
                <w:noWrap/>
                <w:tcMar>
                  <w:top w:w="15" w:type="dxa"/>
                  <w:left w:w="15" w:type="dxa"/>
                  <w:right w:w="15" w:type="dxa"/>
                </w:tcMar>
                <w:vAlign w:val="center"/>
              </w:tcPr>
            </w:tcPrChange>
          </w:tcPr>
          <w:p w14:paraId="695733C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Change w:id="2382" w:author="LV" w:date="2026-07-14T16:49:01Z">
              <w:tcPr>
                <w:tcW w:w="1005" w:type="dxa"/>
                <w:gridSpan w:val="3"/>
                <w:vMerge w:val="continue"/>
                <w:tcBorders>
                  <w:tl2br w:val="nil"/>
                  <w:tr2bl w:val="nil"/>
                </w:tcBorders>
                <w:shd w:val="clear" w:color="auto" w:fill="auto"/>
                <w:tcMar>
                  <w:top w:w="15" w:type="dxa"/>
                  <w:left w:w="15" w:type="dxa"/>
                  <w:right w:w="15" w:type="dxa"/>
                </w:tcMar>
                <w:vAlign w:val="center"/>
              </w:tcPr>
            </w:tcPrChange>
          </w:tcPr>
          <w:p w14:paraId="0795ADA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Change w:id="2383" w:author="LV" w:date="2026-07-14T16:49:01Z">
              <w:tcPr>
                <w:tcW w:w="3667" w:type="dxa"/>
                <w:gridSpan w:val="3"/>
                <w:vMerge w:val="continue"/>
                <w:tcBorders>
                  <w:tl2br w:val="nil"/>
                  <w:tr2bl w:val="nil"/>
                </w:tcBorders>
                <w:shd w:val="clear" w:color="auto" w:fill="auto"/>
                <w:tcMar>
                  <w:top w:w="15" w:type="dxa"/>
                  <w:left w:w="15" w:type="dxa"/>
                  <w:right w:w="15" w:type="dxa"/>
                </w:tcMar>
                <w:vAlign w:val="center"/>
              </w:tcPr>
            </w:tcPrChange>
          </w:tcPr>
          <w:p w14:paraId="6A5A945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Change w:id="2384" w:author="LV" w:date="2026-07-14T16:49:01Z">
              <w:tcPr>
                <w:tcW w:w="4082" w:type="dxa"/>
                <w:gridSpan w:val="3"/>
                <w:vMerge w:val="continue"/>
                <w:tcBorders>
                  <w:tl2br w:val="nil"/>
                  <w:tr2bl w:val="nil"/>
                </w:tcBorders>
                <w:shd w:val="clear" w:color="auto" w:fill="auto"/>
                <w:tcMar>
                  <w:top w:w="15" w:type="dxa"/>
                  <w:left w:w="15" w:type="dxa"/>
                  <w:right w:w="15" w:type="dxa"/>
                </w:tcMar>
                <w:vAlign w:val="center"/>
              </w:tcPr>
            </w:tcPrChange>
          </w:tcPr>
          <w:p w14:paraId="77EDA4B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Change w:id="2385" w:author="LV" w:date="2026-07-14T16:49:01Z">
              <w:tcPr>
                <w:tcW w:w="459" w:type="dxa"/>
                <w:gridSpan w:val="3"/>
                <w:tcBorders>
                  <w:tl2br w:val="nil"/>
                  <w:tr2bl w:val="nil"/>
                </w:tcBorders>
                <w:shd w:val="clear" w:color="auto" w:fill="auto"/>
                <w:noWrap/>
                <w:tcMar>
                  <w:top w:w="15" w:type="dxa"/>
                  <w:left w:w="15" w:type="dxa"/>
                  <w:right w:w="15" w:type="dxa"/>
                </w:tcMar>
                <w:vAlign w:val="center"/>
              </w:tcPr>
            </w:tcPrChange>
          </w:tcPr>
          <w:p w14:paraId="36A19F6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Change w:id="2386" w:author="LV" w:date="2026-07-14T16:49:01Z">
              <w:tcPr>
                <w:tcW w:w="1829" w:type="dxa"/>
                <w:gridSpan w:val="3"/>
                <w:tcBorders>
                  <w:tl2br w:val="nil"/>
                  <w:tr2bl w:val="nil"/>
                </w:tcBorders>
                <w:shd w:val="clear" w:color="auto" w:fill="auto"/>
                <w:tcMar>
                  <w:top w:w="15" w:type="dxa"/>
                  <w:left w:w="15" w:type="dxa"/>
                  <w:right w:w="15" w:type="dxa"/>
                </w:tcMar>
                <w:vAlign w:val="center"/>
              </w:tcPr>
            </w:tcPrChange>
          </w:tcPr>
          <w:p w14:paraId="75152B4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Change w:id="2387" w:author="LV" w:date="2026-07-14T16:47:56Z">
                  <w:rPr>
                    <w:rFonts w:ascii="仿宋_GB2312" w:hAnsi="宋体" w:eastAsia="仿宋_GB2312" w:cs="仿宋_GB2312"/>
                    <w:color w:val="FF0000"/>
                    <w:sz w:val="18"/>
                    <w:szCs w:val="18"/>
                  </w:rPr>
                </w:rPrChange>
              </w:rPr>
            </w:pPr>
            <w:r>
              <w:rPr>
                <w:rFonts w:hint="eastAsia" w:ascii="仿宋_GB2312" w:hAnsi="宋体" w:eastAsia="仿宋_GB2312" w:cs="仿宋_GB2312"/>
                <w:color w:val="auto"/>
                <w:kern w:val="0"/>
                <w:sz w:val="18"/>
                <w:szCs w:val="18"/>
                <w:lang w:bidi="ar"/>
                <w:rPrChange w:id="2388" w:author="LV" w:date="2026-07-14T16:47:56Z">
                  <w:rPr>
                    <w:rFonts w:hint="eastAsia" w:ascii="仿宋_GB2312" w:hAnsi="宋体" w:eastAsia="仿宋_GB2312" w:cs="仿宋_GB2312"/>
                    <w:color w:val="FF0000"/>
                    <w:kern w:val="0"/>
                    <w:sz w:val="18"/>
                    <w:szCs w:val="18"/>
                    <w:lang w:bidi="ar"/>
                  </w:rPr>
                </w:rPrChange>
              </w:rPr>
              <w:t>2处使用应当淘汰的危及生产安全的工艺、设备的，逾期未改正</w:t>
            </w:r>
            <w:r>
              <w:rPr>
                <w:rFonts w:hint="eastAsia" w:ascii="仿宋_GB2312" w:hAnsi="宋体" w:eastAsia="仿宋_GB2312" w:cs="仿宋_GB2312"/>
                <w:color w:val="auto"/>
                <w:kern w:val="0"/>
                <w:sz w:val="18"/>
                <w:szCs w:val="18"/>
                <w:lang w:val="en-US" w:eastAsia="zh-CN" w:bidi="ar"/>
                <w:rPrChange w:id="2389" w:author="LV" w:date="2026-07-14T16:47:56Z">
                  <w:rPr>
                    <w:rFonts w:hint="eastAsia" w:ascii="仿宋_GB2312" w:hAnsi="宋体" w:eastAsia="仿宋_GB2312" w:cs="仿宋_GB2312"/>
                    <w:color w:val="FF0000"/>
                    <w:kern w:val="0"/>
                    <w:sz w:val="18"/>
                    <w:szCs w:val="18"/>
                    <w:lang w:val="en-US" w:eastAsia="zh-CN" w:bidi="ar"/>
                  </w:rPr>
                </w:rPrChange>
              </w:rPr>
              <w:t>1处以上</w:t>
            </w:r>
            <w:r>
              <w:rPr>
                <w:rFonts w:hint="eastAsia" w:ascii="仿宋_GB2312" w:hAnsi="宋体" w:eastAsia="仿宋_GB2312" w:cs="仿宋_GB2312"/>
                <w:color w:val="auto"/>
                <w:kern w:val="0"/>
                <w:sz w:val="18"/>
                <w:szCs w:val="18"/>
                <w:lang w:bidi="ar"/>
                <w:rPrChange w:id="2390" w:author="LV" w:date="2026-07-14T16:47:56Z">
                  <w:rPr>
                    <w:rFonts w:hint="eastAsia" w:ascii="仿宋_GB2312" w:hAnsi="宋体" w:eastAsia="仿宋_GB2312" w:cs="仿宋_GB2312"/>
                    <w:color w:val="FF0000"/>
                    <w:kern w:val="0"/>
                    <w:sz w:val="18"/>
                    <w:szCs w:val="18"/>
                    <w:lang w:bidi="ar"/>
                  </w:rPr>
                </w:rPrChange>
              </w:rPr>
              <w:t>的。</w:t>
            </w:r>
          </w:p>
        </w:tc>
        <w:tc>
          <w:tcPr>
            <w:tcW w:w="2655" w:type="dxa"/>
            <w:tcBorders>
              <w:tl2br w:val="nil"/>
              <w:tr2bl w:val="nil"/>
            </w:tcBorders>
            <w:shd w:val="clear" w:color="auto" w:fill="auto"/>
            <w:tcMar>
              <w:top w:w="15" w:type="dxa"/>
              <w:left w:w="15" w:type="dxa"/>
              <w:right w:w="15" w:type="dxa"/>
            </w:tcMar>
            <w:vAlign w:val="center"/>
            <w:tcPrChange w:id="2391" w:author="LV" w:date="2026-07-14T16:49:01Z">
              <w:tcPr>
                <w:tcW w:w="2655" w:type="dxa"/>
                <w:gridSpan w:val="3"/>
                <w:tcBorders>
                  <w:tl2br w:val="nil"/>
                  <w:tr2bl w:val="nil"/>
                </w:tcBorders>
                <w:shd w:val="clear" w:color="auto" w:fill="auto"/>
                <w:tcMar>
                  <w:top w:w="15" w:type="dxa"/>
                  <w:left w:w="15" w:type="dxa"/>
                  <w:right w:w="15" w:type="dxa"/>
                </w:tcMar>
                <w:vAlign w:val="center"/>
              </w:tcPr>
            </w:tcPrChange>
          </w:tcPr>
          <w:p w14:paraId="5802556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Change w:id="2392" w:author="LV" w:date="2026-07-14T16:47:56Z">
                  <w:rPr>
                    <w:rFonts w:ascii="仿宋_GB2312" w:hAnsi="宋体" w:eastAsia="仿宋_GB2312" w:cs="仿宋_GB2312"/>
                    <w:color w:val="FF0000"/>
                    <w:sz w:val="18"/>
                    <w:szCs w:val="18"/>
                  </w:rPr>
                </w:rPrChange>
              </w:rPr>
            </w:pPr>
            <w:r>
              <w:rPr>
                <w:rFonts w:hint="eastAsia" w:ascii="仿宋_GB2312" w:hAnsi="宋体" w:eastAsia="仿宋_GB2312" w:cs="仿宋_GB2312"/>
                <w:color w:val="auto"/>
                <w:kern w:val="0"/>
                <w:sz w:val="18"/>
                <w:szCs w:val="18"/>
                <w:lang w:bidi="ar"/>
                <w:rPrChange w:id="2393" w:author="LV" w:date="2026-07-14T16:47:56Z">
                  <w:rPr>
                    <w:rFonts w:hint="eastAsia" w:ascii="仿宋_GB2312" w:hAnsi="宋体" w:eastAsia="仿宋_GB2312" w:cs="仿宋_GB2312"/>
                    <w:color w:val="FF0000"/>
                    <w:kern w:val="0"/>
                    <w:sz w:val="18"/>
                    <w:szCs w:val="18"/>
                    <w:lang w:bidi="ar"/>
                  </w:rPr>
                </w:rPrChange>
              </w:rPr>
              <w:t>处10万元至15万元罚款，对其直接负责的主管人员和其他直接责任人员处1.3万元以上1.8万元以下的罚款。</w:t>
            </w:r>
          </w:p>
        </w:tc>
      </w:tr>
      <w:tr w14:paraId="105A57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ED3FBE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D097BE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F16712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970335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85BDB4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21BA89A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Change w:id="2394" w:author="LV" w:date="2026-07-14T16:47:56Z">
                  <w:rPr>
                    <w:rFonts w:hint="eastAsia" w:ascii="仿宋_GB2312" w:hAnsi="宋体" w:eastAsia="仿宋_GB2312" w:cs="仿宋_GB2312"/>
                    <w:color w:val="FF0000"/>
                    <w:kern w:val="0"/>
                    <w:sz w:val="18"/>
                    <w:szCs w:val="18"/>
                    <w:lang w:bidi="ar"/>
                  </w:rPr>
                </w:rPrChange>
              </w:rPr>
            </w:pPr>
            <w:r>
              <w:rPr>
                <w:rFonts w:hint="eastAsia" w:ascii="仿宋_GB2312" w:hAnsi="宋体" w:eastAsia="仿宋_GB2312" w:cs="仿宋_GB2312"/>
                <w:color w:val="auto"/>
                <w:kern w:val="0"/>
                <w:sz w:val="18"/>
                <w:szCs w:val="18"/>
                <w:lang w:val="en-US" w:eastAsia="zh-CN" w:bidi="ar"/>
                <w:rPrChange w:id="2395" w:author="LV" w:date="2026-07-14T16:47:56Z">
                  <w:rPr>
                    <w:rFonts w:hint="eastAsia" w:ascii="仿宋_GB2312" w:hAnsi="宋体" w:eastAsia="仿宋_GB2312" w:cs="仿宋_GB2312"/>
                    <w:color w:val="FF0000"/>
                    <w:kern w:val="0"/>
                    <w:sz w:val="18"/>
                    <w:szCs w:val="18"/>
                    <w:lang w:val="en-US" w:eastAsia="zh-CN" w:bidi="ar"/>
                  </w:rPr>
                </w:rPrChange>
              </w:rPr>
              <w:t>①</w:t>
            </w:r>
            <w:r>
              <w:rPr>
                <w:rFonts w:hint="eastAsia" w:ascii="仿宋_GB2312" w:hAnsi="宋体" w:eastAsia="仿宋_GB2312" w:cs="仿宋_GB2312"/>
                <w:color w:val="auto"/>
                <w:kern w:val="0"/>
                <w:sz w:val="18"/>
                <w:szCs w:val="18"/>
                <w:lang w:bidi="ar"/>
                <w:rPrChange w:id="2396" w:author="LV" w:date="2026-07-14T16:47:56Z">
                  <w:rPr>
                    <w:rFonts w:hint="eastAsia" w:ascii="仿宋_GB2312" w:hAnsi="宋体" w:eastAsia="仿宋_GB2312" w:cs="仿宋_GB2312"/>
                    <w:color w:val="FF0000"/>
                    <w:kern w:val="0"/>
                    <w:sz w:val="18"/>
                    <w:szCs w:val="18"/>
                    <w:lang w:bidi="ar"/>
                  </w:rPr>
                </w:rPrChange>
              </w:rPr>
              <w:t>3处及以上使用应当淘汰的危及生产安全的工艺、设备的，逾期未改正</w:t>
            </w:r>
            <w:r>
              <w:rPr>
                <w:rFonts w:hint="eastAsia" w:ascii="仿宋_GB2312" w:hAnsi="宋体" w:eastAsia="仿宋_GB2312" w:cs="仿宋_GB2312"/>
                <w:color w:val="auto"/>
                <w:kern w:val="0"/>
                <w:sz w:val="18"/>
                <w:szCs w:val="18"/>
                <w:lang w:val="en-US" w:eastAsia="zh-CN" w:bidi="ar"/>
                <w:rPrChange w:id="2397" w:author="LV" w:date="2026-07-14T16:47:56Z">
                  <w:rPr>
                    <w:rFonts w:hint="eastAsia" w:ascii="仿宋_GB2312" w:hAnsi="宋体" w:eastAsia="仿宋_GB2312" w:cs="仿宋_GB2312"/>
                    <w:color w:val="FF0000"/>
                    <w:kern w:val="0"/>
                    <w:sz w:val="18"/>
                    <w:szCs w:val="18"/>
                    <w:lang w:val="en-US" w:eastAsia="zh-CN" w:bidi="ar"/>
                  </w:rPr>
                </w:rPrChange>
              </w:rPr>
              <w:t>1处以上</w:t>
            </w:r>
            <w:r>
              <w:rPr>
                <w:rFonts w:hint="eastAsia" w:ascii="仿宋_GB2312" w:hAnsi="宋体" w:eastAsia="仿宋_GB2312" w:cs="仿宋_GB2312"/>
                <w:color w:val="auto"/>
                <w:kern w:val="0"/>
                <w:sz w:val="18"/>
                <w:szCs w:val="18"/>
                <w:lang w:bidi="ar"/>
                <w:rPrChange w:id="2398" w:author="LV" w:date="2026-07-14T16:47:56Z">
                  <w:rPr>
                    <w:rFonts w:hint="eastAsia" w:ascii="仿宋_GB2312" w:hAnsi="宋体" w:eastAsia="仿宋_GB2312" w:cs="仿宋_GB2312"/>
                    <w:color w:val="FF0000"/>
                    <w:kern w:val="0"/>
                    <w:sz w:val="18"/>
                    <w:szCs w:val="18"/>
                    <w:lang w:bidi="ar"/>
                  </w:rPr>
                </w:rPrChange>
              </w:rPr>
              <w:t>的。</w:t>
            </w:r>
          </w:p>
          <w:p w14:paraId="3577D44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Change w:id="2399" w:author="LV" w:date="2026-07-14T16:47:56Z">
                  <w:rPr>
                    <w:rFonts w:ascii="仿宋_GB2312" w:hAnsi="宋体" w:eastAsia="仿宋_GB2312" w:cs="仿宋_GB2312"/>
                    <w:color w:val="FF0000"/>
                    <w:sz w:val="18"/>
                    <w:szCs w:val="18"/>
                  </w:rPr>
                </w:rPrChange>
              </w:rPr>
            </w:pPr>
            <w:r>
              <w:rPr>
                <w:rFonts w:hint="eastAsia" w:ascii="仿宋_GB2312" w:hAnsi="宋体" w:eastAsia="仿宋_GB2312" w:cs="仿宋_GB2312"/>
                <w:color w:val="auto"/>
                <w:kern w:val="0"/>
                <w:sz w:val="18"/>
                <w:szCs w:val="18"/>
                <w:lang w:val="en-US" w:eastAsia="zh-CN" w:bidi="ar"/>
                <w:rPrChange w:id="2400" w:author="LV" w:date="2026-07-14T16:47:56Z">
                  <w:rPr>
                    <w:rFonts w:hint="eastAsia" w:ascii="仿宋_GB2312" w:hAnsi="宋体" w:eastAsia="仿宋_GB2312" w:cs="仿宋_GB2312"/>
                    <w:color w:val="FF0000"/>
                    <w:kern w:val="0"/>
                    <w:sz w:val="18"/>
                    <w:szCs w:val="18"/>
                    <w:lang w:val="en-US" w:eastAsia="zh-CN" w:bidi="ar"/>
                  </w:rPr>
                </w:rPrChange>
              </w:rPr>
              <w:t>②</w:t>
            </w:r>
            <w:r>
              <w:rPr>
                <w:rFonts w:hint="eastAsia" w:ascii="仿宋_GB2312" w:hAnsi="宋体" w:eastAsia="仿宋_GB2312" w:cs="仿宋_GB2312"/>
                <w:color w:val="auto"/>
                <w:kern w:val="0"/>
                <w:sz w:val="18"/>
                <w:szCs w:val="18"/>
                <w:lang w:bidi="ar"/>
                <w:rPrChange w:id="2401" w:author="LV" w:date="2026-07-14T16:47:56Z">
                  <w:rPr>
                    <w:rFonts w:hint="eastAsia" w:ascii="仿宋_GB2312" w:hAnsi="宋体" w:eastAsia="仿宋_GB2312" w:cs="仿宋_GB2312"/>
                    <w:color w:val="FF0000"/>
                    <w:kern w:val="0"/>
                    <w:sz w:val="18"/>
                    <w:szCs w:val="18"/>
                    <w:lang w:bidi="ar"/>
                  </w:rPr>
                </w:rPrChange>
              </w:rPr>
              <w:t>情节严重的。</w:t>
            </w:r>
          </w:p>
        </w:tc>
        <w:tc>
          <w:tcPr>
            <w:tcW w:w="2655" w:type="dxa"/>
            <w:tcBorders>
              <w:tl2br w:val="nil"/>
              <w:tr2bl w:val="nil"/>
            </w:tcBorders>
            <w:shd w:val="clear" w:color="auto" w:fill="auto"/>
            <w:tcMar>
              <w:top w:w="15" w:type="dxa"/>
              <w:left w:w="15" w:type="dxa"/>
              <w:right w:w="15" w:type="dxa"/>
            </w:tcMar>
            <w:vAlign w:val="center"/>
          </w:tcPr>
          <w:p w14:paraId="391089E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Change w:id="2402" w:author="LV" w:date="2026-07-14T16:47:56Z">
                  <w:rPr>
                    <w:rFonts w:hint="eastAsia" w:ascii="仿宋_GB2312" w:hAnsi="宋体" w:eastAsia="仿宋_GB2312" w:cs="仿宋_GB2312"/>
                    <w:color w:val="FF0000"/>
                    <w:kern w:val="0"/>
                    <w:sz w:val="18"/>
                    <w:szCs w:val="18"/>
                    <w:lang w:bidi="ar"/>
                  </w:rPr>
                </w:rPrChange>
              </w:rPr>
            </w:pPr>
            <w:r>
              <w:rPr>
                <w:rFonts w:hint="eastAsia" w:ascii="仿宋_GB2312" w:hAnsi="宋体" w:eastAsia="仿宋_GB2312" w:cs="仿宋_GB2312"/>
                <w:color w:val="auto"/>
                <w:kern w:val="0"/>
                <w:sz w:val="18"/>
                <w:szCs w:val="18"/>
                <w:lang w:val="en-US" w:eastAsia="zh-CN" w:bidi="ar"/>
                <w:rPrChange w:id="2403" w:author="LV" w:date="2026-07-14T16:47:56Z">
                  <w:rPr>
                    <w:rFonts w:hint="eastAsia" w:ascii="仿宋_GB2312" w:hAnsi="宋体" w:eastAsia="仿宋_GB2312" w:cs="仿宋_GB2312"/>
                    <w:color w:val="FF0000"/>
                    <w:kern w:val="0"/>
                    <w:sz w:val="18"/>
                    <w:szCs w:val="18"/>
                    <w:lang w:val="en-US" w:eastAsia="zh-CN" w:bidi="ar"/>
                  </w:rPr>
                </w:rPrChange>
              </w:rPr>
              <w:t>①</w:t>
            </w:r>
            <w:r>
              <w:rPr>
                <w:rFonts w:hint="eastAsia" w:ascii="仿宋_GB2312" w:hAnsi="宋体" w:eastAsia="仿宋_GB2312" w:cs="仿宋_GB2312"/>
                <w:color w:val="auto"/>
                <w:kern w:val="0"/>
                <w:sz w:val="18"/>
                <w:szCs w:val="18"/>
                <w:lang w:bidi="ar"/>
                <w:rPrChange w:id="2404" w:author="LV" w:date="2026-07-14T16:47:56Z">
                  <w:rPr>
                    <w:rFonts w:hint="eastAsia" w:ascii="仿宋_GB2312" w:hAnsi="宋体" w:eastAsia="仿宋_GB2312" w:cs="仿宋_GB2312"/>
                    <w:color w:val="FF0000"/>
                    <w:kern w:val="0"/>
                    <w:sz w:val="18"/>
                    <w:szCs w:val="18"/>
                    <w:lang w:bidi="ar"/>
                  </w:rPr>
                </w:rPrChange>
              </w:rPr>
              <w:t>处15万元至20万元罚款，对其直接负责的主管人员和其他直接责任人员处1.8万元以上2万元以下的罚款。</w:t>
            </w:r>
          </w:p>
          <w:p w14:paraId="7C2D5CF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Change w:id="2405" w:author="LV" w:date="2026-07-14T16:47:56Z">
                  <w:rPr>
                    <w:rFonts w:ascii="仿宋_GB2312" w:hAnsi="宋体" w:eastAsia="仿宋_GB2312" w:cs="仿宋_GB2312"/>
                    <w:color w:val="FF0000"/>
                    <w:sz w:val="18"/>
                    <w:szCs w:val="18"/>
                  </w:rPr>
                </w:rPrChange>
              </w:rPr>
            </w:pPr>
            <w:r>
              <w:rPr>
                <w:rFonts w:hint="eastAsia" w:ascii="仿宋_GB2312" w:hAnsi="宋体" w:eastAsia="仿宋_GB2312" w:cs="仿宋_GB2312"/>
                <w:color w:val="auto"/>
                <w:kern w:val="0"/>
                <w:sz w:val="18"/>
                <w:szCs w:val="18"/>
                <w:lang w:val="en-US" w:eastAsia="zh-CN" w:bidi="ar"/>
                <w:rPrChange w:id="2406" w:author="LV" w:date="2026-07-14T16:47:56Z">
                  <w:rPr>
                    <w:rFonts w:hint="eastAsia" w:ascii="仿宋_GB2312" w:hAnsi="宋体" w:eastAsia="仿宋_GB2312" w:cs="仿宋_GB2312"/>
                    <w:color w:val="FF0000"/>
                    <w:kern w:val="0"/>
                    <w:sz w:val="18"/>
                    <w:szCs w:val="18"/>
                    <w:lang w:val="en-US" w:eastAsia="zh-CN" w:bidi="ar"/>
                  </w:rPr>
                </w:rPrChange>
              </w:rPr>
              <w:t>②</w:t>
            </w:r>
            <w:r>
              <w:rPr>
                <w:rFonts w:hint="eastAsia" w:ascii="仿宋_GB2312" w:hAnsi="宋体" w:eastAsia="仿宋_GB2312" w:cs="仿宋_GB2312"/>
                <w:color w:val="auto"/>
                <w:kern w:val="0"/>
                <w:sz w:val="18"/>
                <w:szCs w:val="18"/>
                <w:lang w:bidi="ar"/>
                <w:rPrChange w:id="2407" w:author="LV" w:date="2026-07-14T16:47:56Z">
                  <w:rPr>
                    <w:rFonts w:hint="eastAsia" w:ascii="仿宋_GB2312" w:hAnsi="宋体" w:eastAsia="仿宋_GB2312" w:cs="仿宋_GB2312"/>
                    <w:color w:val="FF0000"/>
                    <w:kern w:val="0"/>
                    <w:sz w:val="18"/>
                    <w:szCs w:val="18"/>
                    <w:lang w:bidi="ar"/>
                  </w:rPr>
                </w:rPrChange>
              </w:rPr>
              <w:t>情节严重的</w:t>
            </w:r>
            <w:r>
              <w:rPr>
                <w:rFonts w:hint="eastAsia" w:ascii="仿宋_GB2312" w:hAnsi="宋体" w:eastAsia="仿宋_GB2312" w:cs="仿宋_GB2312"/>
                <w:color w:val="auto"/>
                <w:kern w:val="0"/>
                <w:sz w:val="18"/>
                <w:szCs w:val="18"/>
                <w:lang w:eastAsia="zh-CN" w:bidi="ar"/>
                <w:rPrChange w:id="2408" w:author="LV" w:date="2026-07-14T16:47:56Z">
                  <w:rPr>
                    <w:rFonts w:hint="eastAsia" w:ascii="仿宋_GB2312" w:hAnsi="宋体" w:eastAsia="仿宋_GB2312" w:cs="仿宋_GB2312"/>
                    <w:color w:val="FF0000"/>
                    <w:kern w:val="0"/>
                    <w:sz w:val="18"/>
                    <w:szCs w:val="18"/>
                    <w:lang w:eastAsia="zh-CN" w:bidi="ar"/>
                  </w:rPr>
                </w:rPrChange>
              </w:rPr>
              <w:t>，</w:t>
            </w:r>
            <w:r>
              <w:rPr>
                <w:rFonts w:hint="eastAsia" w:ascii="仿宋_GB2312" w:hAnsi="宋体" w:eastAsia="仿宋_GB2312" w:cs="仿宋_GB2312"/>
                <w:color w:val="auto"/>
                <w:kern w:val="0"/>
                <w:sz w:val="18"/>
                <w:szCs w:val="18"/>
                <w:lang w:bidi="ar"/>
                <w:rPrChange w:id="2409" w:author="LV" w:date="2026-07-14T16:47:56Z">
                  <w:rPr>
                    <w:rFonts w:hint="eastAsia" w:ascii="仿宋_GB2312" w:hAnsi="宋体" w:eastAsia="仿宋_GB2312" w:cs="仿宋_GB2312"/>
                    <w:color w:val="FF0000"/>
                    <w:kern w:val="0"/>
                    <w:sz w:val="18"/>
                    <w:szCs w:val="18"/>
                    <w:lang w:bidi="ar"/>
                  </w:rPr>
                </w:rPrChange>
              </w:rPr>
              <w:t>责令停产停业整顿</w:t>
            </w:r>
            <w:r>
              <w:rPr>
                <w:rFonts w:hint="eastAsia" w:ascii="仿宋_GB2312" w:hAnsi="宋体" w:eastAsia="仿宋_GB2312" w:cs="仿宋_GB2312"/>
                <w:color w:val="auto"/>
                <w:kern w:val="0"/>
                <w:sz w:val="18"/>
                <w:szCs w:val="18"/>
                <w:lang w:eastAsia="zh-CN" w:bidi="ar"/>
                <w:rPrChange w:id="2410" w:author="LV" w:date="2026-07-14T16:47:56Z">
                  <w:rPr>
                    <w:rFonts w:hint="eastAsia" w:ascii="仿宋_GB2312" w:hAnsi="宋体" w:eastAsia="仿宋_GB2312" w:cs="仿宋_GB2312"/>
                    <w:color w:val="FF0000"/>
                    <w:kern w:val="0"/>
                    <w:sz w:val="18"/>
                    <w:szCs w:val="18"/>
                    <w:lang w:eastAsia="zh-CN" w:bidi="ar"/>
                  </w:rPr>
                </w:rPrChange>
              </w:rPr>
              <w:t>，</w:t>
            </w:r>
            <w:r>
              <w:rPr>
                <w:rFonts w:hint="eastAsia" w:ascii="仿宋_GB2312" w:hAnsi="宋体" w:eastAsia="仿宋_GB2312" w:cs="仿宋_GB2312"/>
                <w:color w:val="auto"/>
                <w:kern w:val="0"/>
                <w:sz w:val="18"/>
                <w:szCs w:val="18"/>
                <w:lang w:bidi="ar"/>
                <w:rPrChange w:id="2411" w:author="LV" w:date="2026-07-14T16:47:56Z">
                  <w:rPr>
                    <w:rFonts w:hint="eastAsia" w:ascii="仿宋_GB2312" w:hAnsi="宋体" w:eastAsia="仿宋_GB2312" w:cs="仿宋_GB2312"/>
                    <w:color w:val="FF0000"/>
                    <w:kern w:val="0"/>
                    <w:sz w:val="18"/>
                    <w:szCs w:val="18"/>
                    <w:lang w:bidi="ar"/>
                  </w:rPr>
                </w:rPrChange>
              </w:rPr>
              <w:t>处15万元至20万元罚款，对其直接负责的主管人员和其他直接责任人员处1.8万元以上2万元以下的罚款。</w:t>
            </w:r>
          </w:p>
        </w:tc>
      </w:tr>
      <w:tr w14:paraId="087A6F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3209FC8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1</w:t>
            </w:r>
            <w:del w:id="2412" w:author="LV" w:date="2026-07-14T16:49:29Z">
              <w:r>
                <w:rPr>
                  <w:rFonts w:hint="default" w:ascii="仿宋_GB2312" w:hAnsi="宋体" w:eastAsia="仿宋_GB2312" w:cs="仿宋_GB2312"/>
                  <w:kern w:val="0"/>
                  <w:sz w:val="18"/>
                  <w:szCs w:val="18"/>
                  <w:lang w:val="en-US" w:bidi="ar"/>
                </w:rPr>
                <w:delText>0</w:delText>
              </w:r>
            </w:del>
            <w:del w:id="2413" w:author="LV" w:date="2026-07-14T16:49:29Z">
              <w:r>
                <w:rPr>
                  <w:rFonts w:hint="default" w:ascii="仿宋_GB2312" w:hAnsi="宋体" w:eastAsia="仿宋_GB2312" w:cs="仿宋_GB2312"/>
                  <w:kern w:val="0"/>
                  <w:sz w:val="18"/>
                  <w:szCs w:val="18"/>
                  <w:lang w:val="en-US" w:eastAsia="zh-CN" w:bidi="ar"/>
                </w:rPr>
                <w:delText>5</w:delText>
              </w:r>
            </w:del>
            <w:ins w:id="2414" w:author="LV" w:date="2026-07-14T16:49:29Z">
              <w:r>
                <w:rPr>
                  <w:rFonts w:hint="eastAsia" w:ascii="仿宋_GB2312" w:hAnsi="宋体" w:eastAsia="仿宋_GB2312" w:cs="仿宋_GB2312"/>
                  <w:kern w:val="0"/>
                  <w:sz w:val="18"/>
                  <w:szCs w:val="18"/>
                  <w:lang w:val="en-US" w:eastAsia="zh-CN" w:bidi="ar"/>
                </w:rPr>
                <w:t>1</w:t>
              </w:r>
            </w:ins>
            <w:ins w:id="2415" w:author="LV" w:date="2026-07-14T16:49:33Z">
              <w:r>
                <w:rPr>
                  <w:rFonts w:hint="eastAsia" w:ascii="仿宋_GB2312" w:hAnsi="宋体" w:eastAsia="仿宋_GB2312" w:cs="仿宋_GB2312"/>
                  <w:kern w:val="0"/>
                  <w:sz w:val="18"/>
                  <w:szCs w:val="18"/>
                  <w:lang w:val="en-US" w:eastAsia="zh-CN" w:bidi="ar"/>
                </w:rPr>
                <w:t>2</w:t>
              </w:r>
            </w:ins>
          </w:p>
        </w:tc>
        <w:tc>
          <w:tcPr>
            <w:tcW w:w="1005" w:type="dxa"/>
            <w:vMerge w:val="restart"/>
            <w:tcBorders>
              <w:tl2br w:val="nil"/>
              <w:tr2bl w:val="nil"/>
            </w:tcBorders>
            <w:shd w:val="clear" w:color="auto" w:fill="auto"/>
            <w:tcMar>
              <w:top w:w="15" w:type="dxa"/>
              <w:left w:w="15" w:type="dxa"/>
              <w:right w:w="15" w:type="dxa"/>
            </w:tcMar>
            <w:vAlign w:val="center"/>
          </w:tcPr>
          <w:p w14:paraId="5B13396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煤矿未为从业人员提供符合国家标准或者行业标准的劳动防护用品的</w:t>
            </w:r>
          </w:p>
        </w:tc>
        <w:tc>
          <w:tcPr>
            <w:tcW w:w="3667" w:type="dxa"/>
            <w:vMerge w:val="restart"/>
            <w:tcBorders>
              <w:tl2br w:val="nil"/>
              <w:tr2bl w:val="nil"/>
            </w:tcBorders>
            <w:shd w:val="clear" w:color="auto" w:fill="auto"/>
            <w:tcMar>
              <w:top w:w="15" w:type="dxa"/>
              <w:left w:w="15" w:type="dxa"/>
              <w:right w:w="15" w:type="dxa"/>
            </w:tcMar>
            <w:vAlign w:val="center"/>
          </w:tcPr>
          <w:p w14:paraId="2A610B6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《安全生产法》第四十五条 生产经营单位必须为从业人员提供符合国家标准或者行业标准的劳动防护用品，并监督、教育从业人员按照使用规则佩戴、使用。</w:t>
            </w:r>
          </w:p>
          <w:p w14:paraId="1BD39FE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《煤矿安全生产条例》第二十四条第一款  煤矿企业应当为从业人员提供符合国家标准或者行业标准的劳动防护用品，并监督、教育从业人员按照使用规则佩戴、使用。</w:t>
            </w:r>
          </w:p>
        </w:tc>
        <w:tc>
          <w:tcPr>
            <w:tcW w:w="4082" w:type="dxa"/>
            <w:vMerge w:val="restart"/>
            <w:tcBorders>
              <w:tl2br w:val="nil"/>
              <w:tr2bl w:val="nil"/>
            </w:tcBorders>
            <w:shd w:val="clear" w:color="auto" w:fill="auto"/>
            <w:tcMar>
              <w:top w:w="15" w:type="dxa"/>
              <w:left w:w="15" w:type="dxa"/>
              <w:right w:w="15" w:type="dxa"/>
            </w:tcMar>
            <w:vAlign w:val="center"/>
          </w:tcPr>
          <w:p w14:paraId="175C18B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五）未为从业人员提供符合国家标准或者行业标准的劳动防护用品的。</w:t>
            </w:r>
          </w:p>
          <w:p w14:paraId="48BBFB5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《煤矿安全生产条例》第七十一条第四项  有下列情形之一的，依照《中华人民共和国安全生产法》有关规定予以处罚：（四）煤矿企业违反本条例第二十四条第一款、第二十五条第一款和第二款、第二十六条第二款规定的。</w:t>
            </w:r>
          </w:p>
        </w:tc>
        <w:tc>
          <w:tcPr>
            <w:tcW w:w="459" w:type="dxa"/>
            <w:tcBorders>
              <w:tl2br w:val="nil"/>
              <w:tr2bl w:val="nil"/>
            </w:tcBorders>
            <w:shd w:val="clear" w:color="auto" w:fill="auto"/>
            <w:noWrap/>
            <w:tcMar>
              <w:top w:w="15" w:type="dxa"/>
              <w:left w:w="15" w:type="dxa"/>
              <w:right w:w="15" w:type="dxa"/>
            </w:tcMar>
            <w:vAlign w:val="center"/>
          </w:tcPr>
          <w:p w14:paraId="583F47A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6A8DCCD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61F2E7E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B3F41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25E611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9E3EB3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4D573A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BF8B9D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F1408A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46C1049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59D9445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3FB6D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163748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1527E4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7F4BD1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874362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C184D4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578459A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7486C22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7274E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72EF96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331B35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766A29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49FD67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D0A1FD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3CAC021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Change w:id="2416" w:author="LV" w:date="2026-07-14T16:49:23Z">
                  <w:rPr>
                    <w:rFonts w:ascii="仿宋_GB2312" w:hAnsi="宋体" w:eastAsia="仿宋_GB2312" w:cs="仿宋_GB2312"/>
                    <w:color w:val="FF0000"/>
                    <w:sz w:val="18"/>
                    <w:szCs w:val="18"/>
                  </w:rPr>
                </w:rPrChange>
              </w:rPr>
            </w:pPr>
            <w:r>
              <w:rPr>
                <w:rFonts w:hint="eastAsia" w:ascii="仿宋_GB2312" w:hAnsi="宋体" w:eastAsia="仿宋_GB2312" w:cs="仿宋_GB2312"/>
                <w:color w:val="auto"/>
                <w:kern w:val="0"/>
                <w:sz w:val="18"/>
                <w:szCs w:val="18"/>
                <w:lang w:bidi="ar"/>
                <w:rPrChange w:id="2417" w:author="LV" w:date="2026-07-14T16:49:23Z">
                  <w:rPr>
                    <w:rFonts w:hint="eastAsia" w:ascii="仿宋_GB2312" w:hAnsi="宋体" w:eastAsia="仿宋_GB2312" w:cs="仿宋_GB2312"/>
                    <w:color w:val="FF0000"/>
                    <w:kern w:val="0"/>
                    <w:sz w:val="18"/>
                    <w:szCs w:val="18"/>
                    <w:lang w:bidi="ar"/>
                  </w:rPr>
                </w:rPrChange>
              </w:rPr>
              <w:t>未为从业人员提供符合国家标准或者行业标准的劳动防护用品1处的。</w:t>
            </w:r>
          </w:p>
        </w:tc>
        <w:tc>
          <w:tcPr>
            <w:tcW w:w="2655" w:type="dxa"/>
            <w:tcBorders>
              <w:tl2br w:val="nil"/>
              <w:tr2bl w:val="nil"/>
            </w:tcBorders>
            <w:shd w:val="clear" w:color="auto" w:fill="auto"/>
            <w:tcMar>
              <w:top w:w="15" w:type="dxa"/>
              <w:left w:w="15" w:type="dxa"/>
              <w:right w:w="15" w:type="dxa"/>
            </w:tcMar>
            <w:vAlign w:val="center"/>
          </w:tcPr>
          <w:p w14:paraId="16DCE6C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Change w:id="2418" w:author="LV" w:date="2026-07-14T16:49:23Z">
                  <w:rPr>
                    <w:rFonts w:ascii="仿宋_GB2312" w:hAnsi="宋体" w:eastAsia="仿宋_GB2312" w:cs="仿宋_GB2312"/>
                    <w:color w:val="FF0000"/>
                    <w:sz w:val="18"/>
                    <w:szCs w:val="18"/>
                  </w:rPr>
                </w:rPrChange>
              </w:rPr>
            </w:pPr>
            <w:r>
              <w:rPr>
                <w:rFonts w:hint="eastAsia" w:ascii="仿宋_GB2312" w:hAnsi="宋体" w:eastAsia="仿宋_GB2312" w:cs="仿宋_GB2312"/>
                <w:color w:val="auto"/>
                <w:kern w:val="0"/>
                <w:sz w:val="18"/>
                <w:szCs w:val="18"/>
                <w:lang w:bidi="ar"/>
                <w:rPrChange w:id="2419" w:author="LV" w:date="2026-07-14T16:49:23Z">
                  <w:rPr>
                    <w:rFonts w:hint="eastAsia" w:ascii="仿宋_GB2312" w:hAnsi="宋体" w:eastAsia="仿宋_GB2312" w:cs="仿宋_GB2312"/>
                    <w:color w:val="FF0000"/>
                    <w:kern w:val="0"/>
                    <w:sz w:val="18"/>
                    <w:szCs w:val="18"/>
                    <w:lang w:bidi="ar"/>
                  </w:rPr>
                </w:rPrChange>
              </w:rPr>
              <w:t>处1万元以下的罚款。</w:t>
            </w:r>
          </w:p>
        </w:tc>
      </w:tr>
      <w:tr w14:paraId="4159E8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E247E9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A011A7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F52FCB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E3C057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5ECA64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74E0616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Change w:id="2420" w:author="LV" w:date="2026-07-14T16:49:23Z">
                  <w:rPr>
                    <w:rFonts w:ascii="仿宋_GB2312" w:hAnsi="宋体" w:eastAsia="仿宋_GB2312" w:cs="仿宋_GB2312"/>
                    <w:color w:val="FF0000"/>
                    <w:sz w:val="18"/>
                    <w:szCs w:val="18"/>
                  </w:rPr>
                </w:rPrChange>
              </w:rPr>
            </w:pPr>
            <w:r>
              <w:rPr>
                <w:rFonts w:hint="eastAsia" w:ascii="仿宋_GB2312" w:hAnsi="宋体" w:eastAsia="仿宋_GB2312" w:cs="仿宋_GB2312"/>
                <w:color w:val="auto"/>
                <w:kern w:val="0"/>
                <w:sz w:val="18"/>
                <w:szCs w:val="18"/>
                <w:lang w:bidi="ar"/>
                <w:rPrChange w:id="2421" w:author="LV" w:date="2026-07-14T16:49:23Z">
                  <w:rPr>
                    <w:rFonts w:hint="eastAsia" w:ascii="仿宋_GB2312" w:hAnsi="宋体" w:eastAsia="仿宋_GB2312" w:cs="仿宋_GB2312"/>
                    <w:color w:val="FF0000"/>
                    <w:kern w:val="0"/>
                    <w:sz w:val="18"/>
                    <w:szCs w:val="18"/>
                    <w:lang w:bidi="ar"/>
                  </w:rPr>
                </w:rPrChange>
              </w:rPr>
              <w:t>未为从业人员提供符合国家标准或者行业标准的劳动防护用品2处的。</w:t>
            </w:r>
          </w:p>
        </w:tc>
        <w:tc>
          <w:tcPr>
            <w:tcW w:w="2655" w:type="dxa"/>
            <w:tcBorders>
              <w:tl2br w:val="nil"/>
              <w:tr2bl w:val="nil"/>
            </w:tcBorders>
            <w:shd w:val="clear" w:color="auto" w:fill="auto"/>
            <w:tcMar>
              <w:top w:w="15" w:type="dxa"/>
              <w:left w:w="15" w:type="dxa"/>
              <w:right w:w="15" w:type="dxa"/>
            </w:tcMar>
            <w:vAlign w:val="center"/>
          </w:tcPr>
          <w:p w14:paraId="210EB65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Change w:id="2422" w:author="LV" w:date="2026-07-14T16:49:23Z">
                  <w:rPr>
                    <w:rFonts w:ascii="仿宋_GB2312" w:hAnsi="宋体" w:eastAsia="仿宋_GB2312" w:cs="仿宋_GB2312"/>
                    <w:color w:val="FF0000"/>
                    <w:sz w:val="18"/>
                    <w:szCs w:val="18"/>
                  </w:rPr>
                </w:rPrChange>
              </w:rPr>
            </w:pPr>
            <w:r>
              <w:rPr>
                <w:rFonts w:hint="eastAsia" w:ascii="仿宋_GB2312" w:hAnsi="宋体" w:eastAsia="仿宋_GB2312" w:cs="仿宋_GB2312"/>
                <w:color w:val="auto"/>
                <w:kern w:val="0"/>
                <w:sz w:val="18"/>
                <w:szCs w:val="18"/>
                <w:lang w:bidi="ar"/>
                <w:rPrChange w:id="2423" w:author="LV" w:date="2026-07-14T16:49:23Z">
                  <w:rPr>
                    <w:rFonts w:hint="eastAsia" w:ascii="仿宋_GB2312" w:hAnsi="宋体" w:eastAsia="仿宋_GB2312" w:cs="仿宋_GB2312"/>
                    <w:color w:val="FF0000"/>
                    <w:kern w:val="0"/>
                    <w:sz w:val="18"/>
                    <w:szCs w:val="18"/>
                    <w:lang w:bidi="ar"/>
                  </w:rPr>
                </w:rPrChange>
              </w:rPr>
              <w:t>处1万元以上4万元以下的罚款。</w:t>
            </w:r>
          </w:p>
        </w:tc>
      </w:tr>
      <w:tr w14:paraId="304F97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F8C20F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83AABA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16E008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62EF83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41AB52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5317749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Change w:id="2424" w:author="LV" w:date="2026-07-14T16:49:23Z">
                  <w:rPr>
                    <w:rFonts w:hint="eastAsia" w:ascii="仿宋_GB2312" w:hAnsi="宋体" w:eastAsia="仿宋_GB2312" w:cs="仿宋_GB2312"/>
                    <w:color w:val="FF0000"/>
                    <w:kern w:val="0"/>
                    <w:sz w:val="18"/>
                    <w:szCs w:val="18"/>
                    <w:lang w:bidi="ar"/>
                  </w:rPr>
                </w:rPrChange>
              </w:rPr>
            </w:pPr>
            <w:r>
              <w:rPr>
                <w:rFonts w:hint="eastAsia" w:ascii="仿宋_GB2312" w:hAnsi="宋体" w:eastAsia="仿宋_GB2312" w:cs="仿宋_GB2312"/>
                <w:color w:val="auto"/>
                <w:kern w:val="0"/>
                <w:sz w:val="18"/>
                <w:szCs w:val="18"/>
                <w:lang w:val="en-US" w:eastAsia="zh-CN" w:bidi="ar"/>
                <w:rPrChange w:id="2425" w:author="LV" w:date="2026-07-14T16:49:23Z">
                  <w:rPr>
                    <w:rFonts w:hint="eastAsia" w:ascii="仿宋_GB2312" w:hAnsi="宋体" w:eastAsia="仿宋_GB2312" w:cs="仿宋_GB2312"/>
                    <w:color w:val="FF0000"/>
                    <w:kern w:val="0"/>
                    <w:sz w:val="18"/>
                    <w:szCs w:val="18"/>
                    <w:lang w:val="en-US" w:eastAsia="zh-CN" w:bidi="ar"/>
                  </w:rPr>
                </w:rPrChange>
              </w:rPr>
              <w:t>①</w:t>
            </w:r>
            <w:r>
              <w:rPr>
                <w:rFonts w:hint="eastAsia" w:ascii="仿宋_GB2312" w:hAnsi="宋体" w:eastAsia="仿宋_GB2312" w:cs="仿宋_GB2312"/>
                <w:color w:val="auto"/>
                <w:kern w:val="0"/>
                <w:sz w:val="18"/>
                <w:szCs w:val="18"/>
                <w:lang w:bidi="ar"/>
                <w:rPrChange w:id="2426" w:author="LV" w:date="2026-07-14T16:49:23Z">
                  <w:rPr>
                    <w:rFonts w:hint="eastAsia" w:ascii="仿宋_GB2312" w:hAnsi="宋体" w:eastAsia="仿宋_GB2312" w:cs="仿宋_GB2312"/>
                    <w:color w:val="FF0000"/>
                    <w:kern w:val="0"/>
                    <w:sz w:val="18"/>
                    <w:szCs w:val="18"/>
                    <w:lang w:bidi="ar"/>
                  </w:rPr>
                </w:rPrChange>
              </w:rPr>
              <w:t>未为从业人员提供符合国家标准或者行业标准的劳动防护用品3处及以上的。</w:t>
            </w:r>
          </w:p>
          <w:p w14:paraId="0FA76EE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Change w:id="2427" w:author="LV" w:date="2026-07-14T16:49:23Z">
                  <w:rPr>
                    <w:rFonts w:ascii="仿宋_GB2312" w:hAnsi="宋体" w:eastAsia="仿宋_GB2312" w:cs="仿宋_GB2312"/>
                    <w:color w:val="FF0000"/>
                    <w:sz w:val="18"/>
                    <w:szCs w:val="18"/>
                  </w:rPr>
                </w:rPrChange>
              </w:rPr>
            </w:pPr>
            <w:r>
              <w:rPr>
                <w:rFonts w:hint="eastAsia" w:ascii="仿宋_GB2312" w:hAnsi="宋体" w:eastAsia="仿宋_GB2312" w:cs="仿宋_GB2312"/>
                <w:color w:val="auto"/>
                <w:kern w:val="0"/>
                <w:sz w:val="18"/>
                <w:szCs w:val="18"/>
                <w:lang w:val="en-US" w:eastAsia="zh-CN" w:bidi="ar"/>
                <w:rPrChange w:id="2428" w:author="LV" w:date="2026-07-14T16:49:23Z">
                  <w:rPr>
                    <w:rFonts w:hint="eastAsia" w:ascii="仿宋_GB2312" w:hAnsi="宋体" w:eastAsia="仿宋_GB2312" w:cs="仿宋_GB2312"/>
                    <w:color w:val="FF0000"/>
                    <w:kern w:val="0"/>
                    <w:sz w:val="18"/>
                    <w:szCs w:val="18"/>
                    <w:lang w:val="en-US" w:eastAsia="zh-CN" w:bidi="ar"/>
                  </w:rPr>
                </w:rPrChange>
              </w:rPr>
              <w:t>②</w:t>
            </w:r>
            <w:r>
              <w:rPr>
                <w:rFonts w:hint="eastAsia" w:ascii="仿宋_GB2312" w:hAnsi="宋体" w:eastAsia="仿宋_GB2312" w:cs="仿宋_GB2312"/>
                <w:color w:val="auto"/>
                <w:kern w:val="0"/>
                <w:sz w:val="18"/>
                <w:szCs w:val="18"/>
                <w:lang w:bidi="ar"/>
                <w:rPrChange w:id="2429" w:author="LV" w:date="2026-07-14T16:49:23Z">
                  <w:rPr>
                    <w:rFonts w:hint="eastAsia" w:ascii="仿宋_GB2312" w:hAnsi="宋体" w:eastAsia="仿宋_GB2312" w:cs="仿宋_GB2312"/>
                    <w:color w:val="FF0000"/>
                    <w:kern w:val="0"/>
                    <w:sz w:val="18"/>
                    <w:szCs w:val="18"/>
                    <w:lang w:bidi="ar"/>
                  </w:rPr>
                </w:rPrChange>
              </w:rPr>
              <w:t>情节严重的。</w:t>
            </w:r>
          </w:p>
        </w:tc>
        <w:tc>
          <w:tcPr>
            <w:tcW w:w="2655" w:type="dxa"/>
            <w:tcBorders>
              <w:tl2br w:val="nil"/>
              <w:tr2bl w:val="nil"/>
            </w:tcBorders>
            <w:shd w:val="clear" w:color="auto" w:fill="auto"/>
            <w:tcMar>
              <w:top w:w="15" w:type="dxa"/>
              <w:left w:w="15" w:type="dxa"/>
              <w:right w:w="15" w:type="dxa"/>
            </w:tcMar>
            <w:vAlign w:val="center"/>
          </w:tcPr>
          <w:p w14:paraId="3444063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Change w:id="2430" w:author="LV" w:date="2026-07-14T16:49:23Z">
                  <w:rPr>
                    <w:rFonts w:hint="eastAsia" w:ascii="仿宋_GB2312" w:hAnsi="宋体" w:eastAsia="仿宋_GB2312" w:cs="仿宋_GB2312"/>
                    <w:color w:val="FF0000"/>
                    <w:kern w:val="0"/>
                    <w:sz w:val="18"/>
                    <w:szCs w:val="18"/>
                    <w:lang w:bidi="ar"/>
                  </w:rPr>
                </w:rPrChange>
              </w:rPr>
            </w:pPr>
            <w:r>
              <w:rPr>
                <w:rFonts w:hint="eastAsia" w:ascii="仿宋_GB2312" w:hAnsi="宋体" w:eastAsia="仿宋_GB2312" w:cs="仿宋_GB2312"/>
                <w:color w:val="auto"/>
                <w:kern w:val="0"/>
                <w:sz w:val="18"/>
                <w:szCs w:val="18"/>
                <w:lang w:val="en-US" w:eastAsia="zh-CN" w:bidi="ar"/>
                <w:rPrChange w:id="2431" w:author="LV" w:date="2026-07-14T16:49:23Z">
                  <w:rPr>
                    <w:rFonts w:hint="eastAsia" w:ascii="仿宋_GB2312" w:hAnsi="宋体" w:eastAsia="仿宋_GB2312" w:cs="仿宋_GB2312"/>
                    <w:color w:val="FF0000"/>
                    <w:kern w:val="0"/>
                    <w:sz w:val="18"/>
                    <w:szCs w:val="18"/>
                    <w:lang w:val="en-US" w:eastAsia="zh-CN" w:bidi="ar"/>
                  </w:rPr>
                </w:rPrChange>
              </w:rPr>
              <w:t>①</w:t>
            </w:r>
            <w:r>
              <w:rPr>
                <w:rFonts w:hint="eastAsia" w:ascii="仿宋_GB2312" w:hAnsi="宋体" w:eastAsia="仿宋_GB2312" w:cs="仿宋_GB2312"/>
                <w:color w:val="auto"/>
                <w:kern w:val="0"/>
                <w:sz w:val="18"/>
                <w:szCs w:val="18"/>
                <w:lang w:bidi="ar"/>
                <w:rPrChange w:id="2432" w:author="LV" w:date="2026-07-14T16:49:23Z">
                  <w:rPr>
                    <w:rFonts w:hint="eastAsia" w:ascii="仿宋_GB2312" w:hAnsi="宋体" w:eastAsia="仿宋_GB2312" w:cs="仿宋_GB2312"/>
                    <w:color w:val="FF0000"/>
                    <w:kern w:val="0"/>
                    <w:sz w:val="18"/>
                    <w:szCs w:val="18"/>
                    <w:lang w:bidi="ar"/>
                  </w:rPr>
                </w:rPrChange>
              </w:rPr>
              <w:t>处4万元以上5万元以下的罚款。</w:t>
            </w:r>
          </w:p>
          <w:p w14:paraId="6AB9F31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sz w:val="18"/>
                <w:szCs w:val="18"/>
                <w:lang w:eastAsia="zh-CN"/>
                <w:rPrChange w:id="2433" w:author="LV" w:date="2026-07-14T16:49:23Z">
                  <w:rPr>
                    <w:rFonts w:hint="eastAsia" w:ascii="仿宋_GB2312" w:hAnsi="宋体" w:eastAsia="仿宋_GB2312" w:cs="仿宋_GB2312"/>
                    <w:color w:val="FF0000"/>
                    <w:sz w:val="18"/>
                    <w:szCs w:val="18"/>
                    <w:lang w:eastAsia="zh-CN"/>
                  </w:rPr>
                </w:rPrChange>
              </w:rPr>
            </w:pPr>
            <w:r>
              <w:rPr>
                <w:rFonts w:hint="eastAsia" w:ascii="仿宋_GB2312" w:hAnsi="宋体" w:eastAsia="仿宋_GB2312" w:cs="仿宋_GB2312"/>
                <w:color w:val="auto"/>
                <w:kern w:val="0"/>
                <w:sz w:val="18"/>
                <w:szCs w:val="18"/>
                <w:lang w:val="en-US" w:eastAsia="zh-CN" w:bidi="ar"/>
                <w:rPrChange w:id="2434" w:author="LV" w:date="2026-07-14T16:49:23Z">
                  <w:rPr>
                    <w:rFonts w:hint="eastAsia" w:ascii="仿宋_GB2312" w:hAnsi="宋体" w:eastAsia="仿宋_GB2312" w:cs="仿宋_GB2312"/>
                    <w:color w:val="FF0000"/>
                    <w:kern w:val="0"/>
                    <w:sz w:val="18"/>
                    <w:szCs w:val="18"/>
                    <w:lang w:val="en-US" w:eastAsia="zh-CN" w:bidi="ar"/>
                  </w:rPr>
                </w:rPrChange>
              </w:rPr>
              <w:t>②</w:t>
            </w:r>
            <w:r>
              <w:rPr>
                <w:rFonts w:hint="eastAsia" w:ascii="仿宋_GB2312" w:hAnsi="宋体" w:eastAsia="仿宋_GB2312" w:cs="仿宋_GB2312"/>
                <w:color w:val="auto"/>
                <w:kern w:val="0"/>
                <w:sz w:val="18"/>
                <w:szCs w:val="18"/>
                <w:lang w:bidi="ar"/>
                <w:rPrChange w:id="2435" w:author="LV" w:date="2026-07-14T16:49:23Z">
                  <w:rPr>
                    <w:rFonts w:hint="eastAsia" w:ascii="仿宋_GB2312" w:hAnsi="宋体" w:eastAsia="仿宋_GB2312" w:cs="仿宋_GB2312"/>
                    <w:color w:val="FF0000"/>
                    <w:kern w:val="0"/>
                    <w:sz w:val="18"/>
                    <w:szCs w:val="18"/>
                    <w:lang w:bidi="ar"/>
                  </w:rPr>
                </w:rPrChange>
              </w:rPr>
              <w:t>情节严重的</w:t>
            </w:r>
            <w:r>
              <w:rPr>
                <w:rFonts w:hint="eastAsia" w:ascii="仿宋_GB2312" w:hAnsi="宋体" w:eastAsia="仿宋_GB2312" w:cs="仿宋_GB2312"/>
                <w:color w:val="auto"/>
                <w:kern w:val="0"/>
                <w:sz w:val="18"/>
                <w:szCs w:val="18"/>
                <w:lang w:eastAsia="zh-CN" w:bidi="ar"/>
                <w:rPrChange w:id="2436" w:author="LV" w:date="2026-07-14T16:49:23Z">
                  <w:rPr>
                    <w:rFonts w:hint="eastAsia" w:ascii="仿宋_GB2312" w:hAnsi="宋体" w:eastAsia="仿宋_GB2312" w:cs="仿宋_GB2312"/>
                    <w:color w:val="FF0000"/>
                    <w:kern w:val="0"/>
                    <w:sz w:val="18"/>
                    <w:szCs w:val="18"/>
                    <w:lang w:eastAsia="zh-CN" w:bidi="ar"/>
                  </w:rPr>
                </w:rPrChange>
              </w:rPr>
              <w:t>，</w:t>
            </w:r>
            <w:r>
              <w:rPr>
                <w:rFonts w:hint="eastAsia" w:ascii="仿宋_GB2312" w:hAnsi="宋体" w:eastAsia="仿宋_GB2312" w:cs="仿宋_GB2312"/>
                <w:color w:val="auto"/>
                <w:kern w:val="0"/>
                <w:sz w:val="18"/>
                <w:szCs w:val="18"/>
                <w:lang w:bidi="ar"/>
                <w:rPrChange w:id="2437" w:author="LV" w:date="2026-07-14T16:49:23Z">
                  <w:rPr>
                    <w:rFonts w:hint="eastAsia" w:ascii="仿宋_GB2312" w:hAnsi="宋体" w:eastAsia="仿宋_GB2312" w:cs="仿宋_GB2312"/>
                    <w:color w:val="FF0000"/>
                    <w:kern w:val="0"/>
                    <w:sz w:val="18"/>
                    <w:szCs w:val="18"/>
                    <w:lang w:bidi="ar"/>
                  </w:rPr>
                </w:rPrChange>
              </w:rPr>
              <w:t>责令停产停业整顿</w:t>
            </w:r>
            <w:r>
              <w:rPr>
                <w:rFonts w:hint="eastAsia" w:ascii="仿宋_GB2312" w:hAnsi="宋体" w:eastAsia="仿宋_GB2312" w:cs="仿宋_GB2312"/>
                <w:color w:val="auto"/>
                <w:kern w:val="0"/>
                <w:sz w:val="18"/>
                <w:szCs w:val="18"/>
                <w:lang w:eastAsia="zh-CN" w:bidi="ar"/>
                <w:rPrChange w:id="2438" w:author="LV" w:date="2026-07-14T16:49:23Z">
                  <w:rPr>
                    <w:rFonts w:hint="eastAsia" w:ascii="仿宋_GB2312" w:hAnsi="宋体" w:eastAsia="仿宋_GB2312" w:cs="仿宋_GB2312"/>
                    <w:color w:val="FF0000"/>
                    <w:kern w:val="0"/>
                    <w:sz w:val="18"/>
                    <w:szCs w:val="18"/>
                    <w:lang w:eastAsia="zh-CN" w:bidi="ar"/>
                  </w:rPr>
                </w:rPrChange>
              </w:rPr>
              <w:t>，</w:t>
            </w:r>
            <w:r>
              <w:rPr>
                <w:rFonts w:hint="eastAsia" w:ascii="仿宋_GB2312" w:hAnsi="宋体" w:eastAsia="仿宋_GB2312" w:cs="仿宋_GB2312"/>
                <w:color w:val="auto"/>
                <w:kern w:val="0"/>
                <w:sz w:val="18"/>
                <w:szCs w:val="18"/>
                <w:lang w:bidi="ar"/>
                <w:rPrChange w:id="2439" w:author="LV" w:date="2026-07-14T16:49:23Z">
                  <w:rPr>
                    <w:rFonts w:hint="eastAsia" w:ascii="仿宋_GB2312" w:hAnsi="宋体" w:eastAsia="仿宋_GB2312" w:cs="仿宋_GB2312"/>
                    <w:color w:val="FF0000"/>
                    <w:kern w:val="0"/>
                    <w:sz w:val="18"/>
                    <w:szCs w:val="18"/>
                    <w:lang w:bidi="ar"/>
                  </w:rPr>
                </w:rPrChange>
              </w:rPr>
              <w:t>处4万元以上5万元以下的罚款。</w:t>
            </w:r>
          </w:p>
        </w:tc>
      </w:tr>
      <w:tr w14:paraId="08D5DD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302AAB4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color w:val="auto"/>
                <w:sz w:val="18"/>
                <w:szCs w:val="18"/>
                <w:lang w:val="en-US" w:eastAsia="zh-CN"/>
              </w:rPr>
            </w:pPr>
            <w:r>
              <w:rPr>
                <w:rFonts w:hint="eastAsia" w:ascii="仿宋_GB2312" w:hAnsi="宋体" w:eastAsia="仿宋_GB2312" w:cs="仿宋_GB2312"/>
                <w:color w:val="auto"/>
                <w:kern w:val="0"/>
                <w:sz w:val="18"/>
                <w:szCs w:val="18"/>
                <w:lang w:bidi="ar"/>
              </w:rPr>
              <w:t>1</w:t>
            </w:r>
            <w:del w:id="2440" w:author="LV" w:date="2026-07-14T16:49:49Z">
              <w:r>
                <w:rPr>
                  <w:rFonts w:hint="default" w:ascii="仿宋_GB2312" w:hAnsi="宋体" w:eastAsia="仿宋_GB2312" w:cs="仿宋_GB2312"/>
                  <w:color w:val="auto"/>
                  <w:kern w:val="0"/>
                  <w:sz w:val="18"/>
                  <w:szCs w:val="18"/>
                  <w:lang w:val="en-US" w:bidi="ar"/>
                </w:rPr>
                <w:delText>0</w:delText>
              </w:r>
            </w:del>
            <w:del w:id="2441" w:author="LV" w:date="2026-07-14T16:49:49Z">
              <w:r>
                <w:rPr>
                  <w:rFonts w:hint="default" w:ascii="仿宋_GB2312" w:hAnsi="宋体" w:eastAsia="仿宋_GB2312" w:cs="仿宋_GB2312"/>
                  <w:color w:val="auto"/>
                  <w:kern w:val="0"/>
                  <w:sz w:val="18"/>
                  <w:szCs w:val="18"/>
                  <w:lang w:val="en-US" w:eastAsia="zh-CN" w:bidi="ar"/>
                </w:rPr>
                <w:delText>6</w:delText>
              </w:r>
            </w:del>
            <w:ins w:id="2442" w:author="LV" w:date="2026-07-14T16:49:49Z">
              <w:r>
                <w:rPr>
                  <w:rFonts w:hint="eastAsia" w:ascii="仿宋_GB2312" w:hAnsi="宋体" w:eastAsia="仿宋_GB2312" w:cs="仿宋_GB2312"/>
                  <w:color w:val="auto"/>
                  <w:kern w:val="0"/>
                  <w:sz w:val="18"/>
                  <w:szCs w:val="18"/>
                  <w:lang w:val="en-US" w:eastAsia="zh-CN" w:bidi="ar"/>
                </w:rPr>
                <w:t>13</w:t>
              </w:r>
            </w:ins>
          </w:p>
        </w:tc>
        <w:tc>
          <w:tcPr>
            <w:tcW w:w="1005" w:type="dxa"/>
            <w:vMerge w:val="restart"/>
            <w:tcBorders>
              <w:tl2br w:val="nil"/>
              <w:tr2bl w:val="nil"/>
            </w:tcBorders>
            <w:shd w:val="clear" w:color="auto" w:fill="auto"/>
            <w:tcMar>
              <w:top w:w="15" w:type="dxa"/>
              <w:left w:w="15" w:type="dxa"/>
              <w:right w:w="15" w:type="dxa"/>
            </w:tcMar>
            <w:vAlign w:val="center"/>
          </w:tcPr>
          <w:p w14:paraId="2C20896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煤矿未为从业人员提供符合国家标准或者行业标准的劳动防护用品，逾期未改正的</w:t>
            </w:r>
          </w:p>
        </w:tc>
        <w:tc>
          <w:tcPr>
            <w:tcW w:w="3667" w:type="dxa"/>
            <w:vMerge w:val="restart"/>
            <w:tcBorders>
              <w:tl2br w:val="nil"/>
              <w:tr2bl w:val="nil"/>
            </w:tcBorders>
            <w:shd w:val="clear" w:color="auto" w:fill="auto"/>
            <w:tcMar>
              <w:top w:w="15" w:type="dxa"/>
              <w:left w:w="15" w:type="dxa"/>
              <w:right w:w="15" w:type="dxa"/>
            </w:tcMar>
            <w:vAlign w:val="center"/>
          </w:tcPr>
          <w:p w14:paraId="70FECA4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《安全生产法》第四十五条 生产经营单位必须为从业人员提供符合国家标准或者行业标准的劳动防护用品，并监督、教育从业人员按照使用规则佩戴、使用。</w:t>
            </w:r>
          </w:p>
        </w:tc>
        <w:tc>
          <w:tcPr>
            <w:tcW w:w="4082" w:type="dxa"/>
            <w:vMerge w:val="restart"/>
            <w:tcBorders>
              <w:tl2br w:val="nil"/>
              <w:tr2bl w:val="nil"/>
            </w:tcBorders>
            <w:shd w:val="clear" w:color="auto" w:fill="auto"/>
            <w:tcMar>
              <w:top w:w="15" w:type="dxa"/>
              <w:left w:w="15" w:type="dxa"/>
              <w:right w:w="15" w:type="dxa"/>
            </w:tcMar>
            <w:vAlign w:val="center"/>
          </w:tcPr>
          <w:p w14:paraId="03734C2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《安全生产法》第九十九条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五）未为从业人员提供符合国家标准或者行业标准的劳动防护用品的。</w:t>
            </w:r>
          </w:p>
        </w:tc>
        <w:tc>
          <w:tcPr>
            <w:tcW w:w="459" w:type="dxa"/>
            <w:tcBorders>
              <w:tl2br w:val="nil"/>
              <w:tr2bl w:val="nil"/>
            </w:tcBorders>
            <w:shd w:val="clear" w:color="auto" w:fill="auto"/>
            <w:noWrap/>
            <w:tcMar>
              <w:top w:w="15" w:type="dxa"/>
              <w:left w:w="15" w:type="dxa"/>
              <w:right w:w="15" w:type="dxa"/>
            </w:tcMar>
            <w:vAlign w:val="center"/>
          </w:tcPr>
          <w:p w14:paraId="7C08539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2F4B1EF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D24299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5790A2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B886D9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color w:val="auto"/>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76FFD7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D7F189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F6D494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A6BB9C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3F2453F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6CB62EE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75280E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0C358C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color w:val="auto"/>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3C257E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152DA4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DF71A3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BA9D1B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75880D3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795F8FED">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78236B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2443" w:author="LV" w:date="2026-07-14T16:49:58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wBefore w:w="0" w:type="auto"/>
          <w:trHeight w:val="1531" w:hRule="atLeast"/>
          <w:jc w:val="center"/>
          <w:trPrChange w:id="2443" w:author="LV" w:date="2026-07-14T16:49:58Z">
            <w:trPr>
              <w:gridBefore w:val="2"/>
              <w:wBefore w:w="15" w:type="dxa"/>
              <w:trHeight w:val="1956" w:hRule="atLeast"/>
              <w:jc w:val="center"/>
            </w:trPr>
          </w:trPrChange>
        </w:trPr>
        <w:tc>
          <w:tcPr>
            <w:tcW w:w="418" w:type="dxa"/>
            <w:vMerge w:val="continue"/>
            <w:tcBorders>
              <w:tl2br w:val="nil"/>
              <w:tr2bl w:val="nil"/>
            </w:tcBorders>
            <w:shd w:val="clear" w:color="auto" w:fill="auto"/>
            <w:noWrap/>
            <w:tcMar>
              <w:top w:w="15" w:type="dxa"/>
              <w:left w:w="15" w:type="dxa"/>
              <w:right w:w="15" w:type="dxa"/>
            </w:tcMar>
            <w:vAlign w:val="center"/>
            <w:tcPrChange w:id="2444" w:author="LV" w:date="2026-07-14T16:49:58Z">
              <w:tcPr>
                <w:tcW w:w="418" w:type="dxa"/>
                <w:gridSpan w:val="3"/>
                <w:vMerge w:val="continue"/>
                <w:tcBorders>
                  <w:tl2br w:val="nil"/>
                  <w:tr2bl w:val="nil"/>
                </w:tcBorders>
                <w:shd w:val="clear" w:color="auto" w:fill="auto"/>
                <w:noWrap/>
                <w:tcMar>
                  <w:top w:w="15" w:type="dxa"/>
                  <w:left w:w="15" w:type="dxa"/>
                  <w:right w:w="15" w:type="dxa"/>
                </w:tcMar>
                <w:vAlign w:val="center"/>
              </w:tcPr>
            </w:tcPrChange>
          </w:tcPr>
          <w:p w14:paraId="3236E1D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color w:val="auto"/>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Change w:id="2445" w:author="LV" w:date="2026-07-14T16:49:58Z">
              <w:tcPr>
                <w:tcW w:w="1005" w:type="dxa"/>
                <w:gridSpan w:val="3"/>
                <w:vMerge w:val="continue"/>
                <w:tcBorders>
                  <w:tl2br w:val="nil"/>
                  <w:tr2bl w:val="nil"/>
                </w:tcBorders>
                <w:shd w:val="clear" w:color="auto" w:fill="auto"/>
                <w:tcMar>
                  <w:top w:w="15" w:type="dxa"/>
                  <w:left w:w="15" w:type="dxa"/>
                  <w:right w:w="15" w:type="dxa"/>
                </w:tcMar>
                <w:vAlign w:val="center"/>
              </w:tcPr>
            </w:tcPrChange>
          </w:tcPr>
          <w:p w14:paraId="20EAE4D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Change w:id="2446" w:author="LV" w:date="2026-07-14T16:49:58Z">
              <w:tcPr>
                <w:tcW w:w="3667" w:type="dxa"/>
                <w:gridSpan w:val="3"/>
                <w:vMerge w:val="continue"/>
                <w:tcBorders>
                  <w:tl2br w:val="nil"/>
                  <w:tr2bl w:val="nil"/>
                </w:tcBorders>
                <w:shd w:val="clear" w:color="auto" w:fill="auto"/>
                <w:tcMar>
                  <w:top w:w="15" w:type="dxa"/>
                  <w:left w:w="15" w:type="dxa"/>
                  <w:right w:w="15" w:type="dxa"/>
                </w:tcMar>
                <w:vAlign w:val="center"/>
              </w:tcPr>
            </w:tcPrChange>
          </w:tcPr>
          <w:p w14:paraId="2AD4587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Change w:id="2447" w:author="LV" w:date="2026-07-14T16:49:58Z">
              <w:tcPr>
                <w:tcW w:w="4082" w:type="dxa"/>
                <w:gridSpan w:val="3"/>
                <w:vMerge w:val="continue"/>
                <w:tcBorders>
                  <w:tl2br w:val="nil"/>
                  <w:tr2bl w:val="nil"/>
                </w:tcBorders>
                <w:shd w:val="clear" w:color="auto" w:fill="auto"/>
                <w:tcMar>
                  <w:top w:w="15" w:type="dxa"/>
                  <w:left w:w="15" w:type="dxa"/>
                  <w:right w:w="15" w:type="dxa"/>
                </w:tcMar>
                <w:vAlign w:val="center"/>
              </w:tcPr>
            </w:tcPrChange>
          </w:tcPr>
          <w:p w14:paraId="71DFBAE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Change w:id="2448" w:author="LV" w:date="2026-07-14T16:49:58Z">
              <w:tcPr>
                <w:tcW w:w="459" w:type="dxa"/>
                <w:gridSpan w:val="3"/>
                <w:tcBorders>
                  <w:tl2br w:val="nil"/>
                  <w:tr2bl w:val="nil"/>
                </w:tcBorders>
                <w:shd w:val="clear" w:color="auto" w:fill="auto"/>
                <w:noWrap/>
                <w:tcMar>
                  <w:top w:w="15" w:type="dxa"/>
                  <w:left w:w="15" w:type="dxa"/>
                  <w:right w:w="15" w:type="dxa"/>
                </w:tcMar>
                <w:vAlign w:val="center"/>
              </w:tcPr>
            </w:tcPrChange>
          </w:tcPr>
          <w:p w14:paraId="0B9ED74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Change w:id="2449" w:author="LV" w:date="2026-07-14T16:49:58Z">
              <w:tcPr>
                <w:tcW w:w="1829" w:type="dxa"/>
                <w:gridSpan w:val="3"/>
                <w:tcBorders>
                  <w:tl2br w:val="nil"/>
                  <w:tr2bl w:val="nil"/>
                </w:tcBorders>
                <w:shd w:val="clear" w:color="auto" w:fill="auto"/>
                <w:tcMar>
                  <w:top w:w="15" w:type="dxa"/>
                  <w:left w:w="15" w:type="dxa"/>
                  <w:right w:w="15" w:type="dxa"/>
                </w:tcMar>
                <w:vAlign w:val="center"/>
              </w:tcPr>
            </w:tcPrChange>
          </w:tcPr>
          <w:p w14:paraId="5708464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Change w:id="2450" w:author="LV" w:date="2026-07-14T16:49:40Z">
                  <w:rPr>
                    <w:rFonts w:ascii="仿宋_GB2312" w:hAnsi="宋体" w:eastAsia="仿宋_GB2312" w:cs="仿宋_GB2312"/>
                    <w:color w:val="FF0000"/>
                    <w:sz w:val="18"/>
                    <w:szCs w:val="18"/>
                  </w:rPr>
                </w:rPrChange>
              </w:rPr>
            </w:pPr>
            <w:r>
              <w:rPr>
                <w:rFonts w:hint="eastAsia" w:ascii="仿宋_GB2312" w:hAnsi="宋体" w:eastAsia="仿宋_GB2312" w:cs="仿宋_GB2312"/>
                <w:color w:val="auto"/>
                <w:kern w:val="0"/>
                <w:sz w:val="18"/>
                <w:szCs w:val="18"/>
                <w:lang w:bidi="ar"/>
                <w:rPrChange w:id="2451" w:author="LV" w:date="2026-07-14T16:49:40Z">
                  <w:rPr>
                    <w:rFonts w:hint="eastAsia" w:ascii="仿宋_GB2312" w:hAnsi="宋体" w:eastAsia="仿宋_GB2312" w:cs="仿宋_GB2312"/>
                    <w:color w:val="FF0000"/>
                    <w:kern w:val="0"/>
                    <w:sz w:val="18"/>
                    <w:szCs w:val="18"/>
                    <w:lang w:bidi="ar"/>
                  </w:rPr>
                </w:rPrChange>
              </w:rPr>
              <w:t>未为从业人员提供符合国家标准或者行业标准的劳动防护用品1处的，逾期未改正的。</w:t>
            </w:r>
          </w:p>
        </w:tc>
        <w:tc>
          <w:tcPr>
            <w:tcW w:w="2655" w:type="dxa"/>
            <w:tcBorders>
              <w:tl2br w:val="nil"/>
              <w:tr2bl w:val="nil"/>
            </w:tcBorders>
            <w:shd w:val="clear" w:color="auto" w:fill="auto"/>
            <w:tcMar>
              <w:top w:w="15" w:type="dxa"/>
              <w:left w:w="15" w:type="dxa"/>
              <w:right w:w="15" w:type="dxa"/>
            </w:tcMar>
            <w:vAlign w:val="center"/>
            <w:tcPrChange w:id="2452" w:author="LV" w:date="2026-07-14T16:49:58Z">
              <w:tcPr>
                <w:tcW w:w="2655" w:type="dxa"/>
                <w:gridSpan w:val="3"/>
                <w:tcBorders>
                  <w:tl2br w:val="nil"/>
                  <w:tr2bl w:val="nil"/>
                </w:tcBorders>
                <w:shd w:val="clear" w:color="auto" w:fill="auto"/>
                <w:tcMar>
                  <w:top w:w="15" w:type="dxa"/>
                  <w:left w:w="15" w:type="dxa"/>
                  <w:right w:w="15" w:type="dxa"/>
                </w:tcMar>
                <w:vAlign w:val="center"/>
              </w:tcPr>
            </w:tcPrChange>
          </w:tcPr>
          <w:p w14:paraId="14C5598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Change w:id="2453" w:author="LV" w:date="2026-07-14T16:49:40Z">
                  <w:rPr>
                    <w:rFonts w:ascii="仿宋_GB2312" w:hAnsi="宋体" w:eastAsia="仿宋_GB2312" w:cs="仿宋_GB2312"/>
                    <w:color w:val="FF0000"/>
                    <w:sz w:val="18"/>
                    <w:szCs w:val="18"/>
                  </w:rPr>
                </w:rPrChange>
              </w:rPr>
            </w:pPr>
            <w:r>
              <w:rPr>
                <w:rFonts w:hint="eastAsia" w:ascii="仿宋_GB2312" w:hAnsi="宋体" w:eastAsia="仿宋_GB2312" w:cs="仿宋_GB2312"/>
                <w:color w:val="auto"/>
                <w:kern w:val="0"/>
                <w:sz w:val="18"/>
                <w:szCs w:val="18"/>
                <w:lang w:bidi="ar"/>
                <w:rPrChange w:id="2454" w:author="LV" w:date="2026-07-14T16:49:40Z">
                  <w:rPr>
                    <w:rFonts w:hint="eastAsia" w:ascii="仿宋_GB2312" w:hAnsi="宋体" w:eastAsia="仿宋_GB2312" w:cs="仿宋_GB2312"/>
                    <w:color w:val="FF0000"/>
                    <w:kern w:val="0"/>
                    <w:sz w:val="18"/>
                    <w:szCs w:val="18"/>
                    <w:lang w:bidi="ar"/>
                  </w:rPr>
                </w:rPrChange>
              </w:rPr>
              <w:t>处5万元至10万元罚款，对其直接负责的主管人员和其他直接责任人员处1万元以上1.3万元以下的罚款。</w:t>
            </w:r>
          </w:p>
        </w:tc>
      </w:tr>
      <w:tr w14:paraId="3474D9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2455" w:author="LV" w:date="2026-07-14T16:50:02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wBefore w:w="0" w:type="auto"/>
          <w:trHeight w:val="1721" w:hRule="atLeast"/>
          <w:jc w:val="center"/>
          <w:trPrChange w:id="2455" w:author="LV" w:date="2026-07-14T16:50:02Z">
            <w:trPr>
              <w:gridBefore w:val="2"/>
              <w:wBefore w:w="15" w:type="dxa"/>
              <w:trHeight w:val="1956" w:hRule="atLeast"/>
              <w:jc w:val="center"/>
            </w:trPr>
          </w:trPrChange>
        </w:trPr>
        <w:tc>
          <w:tcPr>
            <w:tcW w:w="418" w:type="dxa"/>
            <w:vMerge w:val="continue"/>
            <w:tcBorders>
              <w:tl2br w:val="nil"/>
              <w:tr2bl w:val="nil"/>
            </w:tcBorders>
            <w:shd w:val="clear" w:color="auto" w:fill="auto"/>
            <w:noWrap/>
            <w:tcMar>
              <w:top w:w="15" w:type="dxa"/>
              <w:left w:w="15" w:type="dxa"/>
              <w:right w:w="15" w:type="dxa"/>
            </w:tcMar>
            <w:vAlign w:val="center"/>
            <w:tcPrChange w:id="2456" w:author="LV" w:date="2026-07-14T16:50:02Z">
              <w:tcPr>
                <w:tcW w:w="418" w:type="dxa"/>
                <w:gridSpan w:val="3"/>
                <w:vMerge w:val="continue"/>
                <w:tcBorders>
                  <w:tl2br w:val="nil"/>
                  <w:tr2bl w:val="nil"/>
                </w:tcBorders>
                <w:shd w:val="clear" w:color="auto" w:fill="auto"/>
                <w:noWrap/>
                <w:tcMar>
                  <w:top w:w="15" w:type="dxa"/>
                  <w:left w:w="15" w:type="dxa"/>
                  <w:right w:w="15" w:type="dxa"/>
                </w:tcMar>
                <w:vAlign w:val="center"/>
              </w:tcPr>
            </w:tcPrChange>
          </w:tcPr>
          <w:p w14:paraId="175535A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color w:val="auto"/>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Change w:id="2457" w:author="LV" w:date="2026-07-14T16:50:02Z">
              <w:tcPr>
                <w:tcW w:w="1005" w:type="dxa"/>
                <w:gridSpan w:val="3"/>
                <w:vMerge w:val="continue"/>
                <w:tcBorders>
                  <w:tl2br w:val="nil"/>
                  <w:tr2bl w:val="nil"/>
                </w:tcBorders>
                <w:shd w:val="clear" w:color="auto" w:fill="auto"/>
                <w:tcMar>
                  <w:top w:w="15" w:type="dxa"/>
                  <w:left w:w="15" w:type="dxa"/>
                  <w:right w:w="15" w:type="dxa"/>
                </w:tcMar>
                <w:vAlign w:val="center"/>
              </w:tcPr>
            </w:tcPrChange>
          </w:tcPr>
          <w:p w14:paraId="63FC4F6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Change w:id="2458" w:author="LV" w:date="2026-07-14T16:50:02Z">
              <w:tcPr>
                <w:tcW w:w="3667" w:type="dxa"/>
                <w:gridSpan w:val="3"/>
                <w:vMerge w:val="continue"/>
                <w:tcBorders>
                  <w:tl2br w:val="nil"/>
                  <w:tr2bl w:val="nil"/>
                </w:tcBorders>
                <w:shd w:val="clear" w:color="auto" w:fill="auto"/>
                <w:tcMar>
                  <w:top w:w="15" w:type="dxa"/>
                  <w:left w:w="15" w:type="dxa"/>
                  <w:right w:w="15" w:type="dxa"/>
                </w:tcMar>
                <w:vAlign w:val="center"/>
              </w:tcPr>
            </w:tcPrChange>
          </w:tcPr>
          <w:p w14:paraId="284F412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Change w:id="2459" w:author="LV" w:date="2026-07-14T16:50:02Z">
              <w:tcPr>
                <w:tcW w:w="4082" w:type="dxa"/>
                <w:gridSpan w:val="3"/>
                <w:vMerge w:val="continue"/>
                <w:tcBorders>
                  <w:tl2br w:val="nil"/>
                  <w:tr2bl w:val="nil"/>
                </w:tcBorders>
                <w:shd w:val="clear" w:color="auto" w:fill="auto"/>
                <w:tcMar>
                  <w:top w:w="15" w:type="dxa"/>
                  <w:left w:w="15" w:type="dxa"/>
                  <w:right w:w="15" w:type="dxa"/>
                </w:tcMar>
                <w:vAlign w:val="center"/>
              </w:tcPr>
            </w:tcPrChange>
          </w:tcPr>
          <w:p w14:paraId="61BCD84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Change w:id="2460" w:author="LV" w:date="2026-07-14T16:50:02Z">
              <w:tcPr>
                <w:tcW w:w="459" w:type="dxa"/>
                <w:gridSpan w:val="3"/>
                <w:tcBorders>
                  <w:tl2br w:val="nil"/>
                  <w:tr2bl w:val="nil"/>
                </w:tcBorders>
                <w:shd w:val="clear" w:color="auto" w:fill="auto"/>
                <w:noWrap/>
                <w:tcMar>
                  <w:top w:w="15" w:type="dxa"/>
                  <w:left w:w="15" w:type="dxa"/>
                  <w:right w:w="15" w:type="dxa"/>
                </w:tcMar>
                <w:vAlign w:val="center"/>
              </w:tcPr>
            </w:tcPrChange>
          </w:tcPr>
          <w:p w14:paraId="704BDC8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Change w:id="2461" w:author="LV" w:date="2026-07-14T16:50:02Z">
              <w:tcPr>
                <w:tcW w:w="1829" w:type="dxa"/>
                <w:gridSpan w:val="3"/>
                <w:tcBorders>
                  <w:tl2br w:val="nil"/>
                  <w:tr2bl w:val="nil"/>
                </w:tcBorders>
                <w:shd w:val="clear" w:color="auto" w:fill="auto"/>
                <w:tcMar>
                  <w:top w:w="15" w:type="dxa"/>
                  <w:left w:w="15" w:type="dxa"/>
                  <w:right w:w="15" w:type="dxa"/>
                </w:tcMar>
                <w:vAlign w:val="center"/>
              </w:tcPr>
            </w:tcPrChange>
          </w:tcPr>
          <w:p w14:paraId="79920A5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Change w:id="2462" w:author="LV" w:date="2026-07-14T16:49:40Z">
                  <w:rPr>
                    <w:rFonts w:ascii="仿宋_GB2312" w:hAnsi="宋体" w:eastAsia="仿宋_GB2312" w:cs="仿宋_GB2312"/>
                    <w:color w:val="FF0000"/>
                    <w:sz w:val="18"/>
                    <w:szCs w:val="18"/>
                  </w:rPr>
                </w:rPrChange>
              </w:rPr>
            </w:pPr>
            <w:r>
              <w:rPr>
                <w:rFonts w:hint="eastAsia" w:ascii="仿宋_GB2312" w:hAnsi="宋体" w:eastAsia="仿宋_GB2312" w:cs="仿宋_GB2312"/>
                <w:color w:val="auto"/>
                <w:kern w:val="0"/>
                <w:sz w:val="18"/>
                <w:szCs w:val="18"/>
                <w:lang w:bidi="ar"/>
                <w:rPrChange w:id="2463" w:author="LV" w:date="2026-07-14T16:49:40Z">
                  <w:rPr>
                    <w:rFonts w:hint="eastAsia" w:ascii="仿宋_GB2312" w:hAnsi="宋体" w:eastAsia="仿宋_GB2312" w:cs="仿宋_GB2312"/>
                    <w:color w:val="FF0000"/>
                    <w:kern w:val="0"/>
                    <w:sz w:val="18"/>
                    <w:szCs w:val="18"/>
                    <w:lang w:bidi="ar"/>
                  </w:rPr>
                </w:rPrChange>
              </w:rPr>
              <w:t>未为从业人员提供符合国家标准或者行业标准的劳动防护用品2处的，逾期未改正</w:t>
            </w:r>
            <w:r>
              <w:rPr>
                <w:rFonts w:hint="eastAsia" w:ascii="仿宋_GB2312" w:hAnsi="宋体" w:eastAsia="仿宋_GB2312" w:cs="仿宋_GB2312"/>
                <w:color w:val="auto"/>
                <w:kern w:val="0"/>
                <w:sz w:val="18"/>
                <w:szCs w:val="18"/>
                <w:lang w:val="en-US" w:eastAsia="zh-CN" w:bidi="ar"/>
                <w:rPrChange w:id="2464" w:author="LV" w:date="2026-07-14T16:49:40Z">
                  <w:rPr>
                    <w:rFonts w:hint="eastAsia" w:ascii="仿宋_GB2312" w:hAnsi="宋体" w:eastAsia="仿宋_GB2312" w:cs="仿宋_GB2312"/>
                    <w:color w:val="FF0000"/>
                    <w:kern w:val="0"/>
                    <w:sz w:val="18"/>
                    <w:szCs w:val="18"/>
                    <w:lang w:val="en-US" w:eastAsia="zh-CN" w:bidi="ar"/>
                  </w:rPr>
                </w:rPrChange>
              </w:rPr>
              <w:t>1处以上</w:t>
            </w:r>
            <w:r>
              <w:rPr>
                <w:rFonts w:hint="eastAsia" w:ascii="仿宋_GB2312" w:hAnsi="宋体" w:eastAsia="仿宋_GB2312" w:cs="仿宋_GB2312"/>
                <w:color w:val="auto"/>
                <w:kern w:val="0"/>
                <w:sz w:val="18"/>
                <w:szCs w:val="18"/>
                <w:lang w:bidi="ar"/>
                <w:rPrChange w:id="2465" w:author="LV" w:date="2026-07-14T16:49:40Z">
                  <w:rPr>
                    <w:rFonts w:hint="eastAsia" w:ascii="仿宋_GB2312" w:hAnsi="宋体" w:eastAsia="仿宋_GB2312" w:cs="仿宋_GB2312"/>
                    <w:color w:val="FF0000"/>
                    <w:kern w:val="0"/>
                    <w:sz w:val="18"/>
                    <w:szCs w:val="18"/>
                    <w:lang w:bidi="ar"/>
                  </w:rPr>
                </w:rPrChange>
              </w:rPr>
              <w:t>的。</w:t>
            </w:r>
          </w:p>
        </w:tc>
        <w:tc>
          <w:tcPr>
            <w:tcW w:w="2655" w:type="dxa"/>
            <w:tcBorders>
              <w:tl2br w:val="nil"/>
              <w:tr2bl w:val="nil"/>
            </w:tcBorders>
            <w:shd w:val="clear" w:color="auto" w:fill="auto"/>
            <w:tcMar>
              <w:top w:w="15" w:type="dxa"/>
              <w:left w:w="15" w:type="dxa"/>
              <w:right w:w="15" w:type="dxa"/>
            </w:tcMar>
            <w:vAlign w:val="center"/>
            <w:tcPrChange w:id="2466" w:author="LV" w:date="2026-07-14T16:50:02Z">
              <w:tcPr>
                <w:tcW w:w="2655" w:type="dxa"/>
                <w:gridSpan w:val="3"/>
                <w:tcBorders>
                  <w:tl2br w:val="nil"/>
                  <w:tr2bl w:val="nil"/>
                </w:tcBorders>
                <w:shd w:val="clear" w:color="auto" w:fill="auto"/>
                <w:tcMar>
                  <w:top w:w="15" w:type="dxa"/>
                  <w:left w:w="15" w:type="dxa"/>
                  <w:right w:w="15" w:type="dxa"/>
                </w:tcMar>
                <w:vAlign w:val="center"/>
              </w:tcPr>
            </w:tcPrChange>
          </w:tcPr>
          <w:p w14:paraId="22E597C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Change w:id="2467" w:author="LV" w:date="2026-07-14T16:49:40Z">
                  <w:rPr>
                    <w:rFonts w:ascii="仿宋_GB2312" w:hAnsi="宋体" w:eastAsia="仿宋_GB2312" w:cs="仿宋_GB2312"/>
                    <w:color w:val="FF0000"/>
                    <w:sz w:val="18"/>
                    <w:szCs w:val="18"/>
                  </w:rPr>
                </w:rPrChange>
              </w:rPr>
            </w:pPr>
            <w:r>
              <w:rPr>
                <w:rFonts w:hint="eastAsia" w:ascii="仿宋_GB2312" w:hAnsi="宋体" w:eastAsia="仿宋_GB2312" w:cs="仿宋_GB2312"/>
                <w:color w:val="auto"/>
                <w:kern w:val="0"/>
                <w:sz w:val="18"/>
                <w:szCs w:val="18"/>
                <w:lang w:bidi="ar"/>
                <w:rPrChange w:id="2468" w:author="LV" w:date="2026-07-14T16:49:40Z">
                  <w:rPr>
                    <w:rFonts w:hint="eastAsia" w:ascii="仿宋_GB2312" w:hAnsi="宋体" w:eastAsia="仿宋_GB2312" w:cs="仿宋_GB2312"/>
                    <w:color w:val="FF0000"/>
                    <w:kern w:val="0"/>
                    <w:sz w:val="18"/>
                    <w:szCs w:val="18"/>
                    <w:lang w:bidi="ar"/>
                  </w:rPr>
                </w:rPrChange>
              </w:rPr>
              <w:t>处10万元至15万元罚款，对其直接负责的主管人员和其他直接责任人员处1.3万元以上1.8万元以下的罚款。</w:t>
            </w:r>
          </w:p>
        </w:tc>
      </w:tr>
      <w:tr w14:paraId="36B834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33418A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color w:val="auto"/>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F4CF0F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96A510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27EF3C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D2E2B7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3F2A223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Change w:id="2469" w:author="LV" w:date="2026-07-14T16:49:40Z">
                  <w:rPr>
                    <w:rFonts w:hint="eastAsia" w:ascii="仿宋_GB2312" w:hAnsi="宋体" w:eastAsia="仿宋_GB2312" w:cs="仿宋_GB2312"/>
                    <w:color w:val="FF0000"/>
                    <w:kern w:val="0"/>
                    <w:sz w:val="18"/>
                    <w:szCs w:val="18"/>
                    <w:lang w:bidi="ar"/>
                  </w:rPr>
                </w:rPrChange>
              </w:rPr>
            </w:pPr>
            <w:r>
              <w:rPr>
                <w:rFonts w:hint="eastAsia" w:ascii="仿宋_GB2312" w:hAnsi="宋体" w:eastAsia="仿宋_GB2312" w:cs="仿宋_GB2312"/>
                <w:color w:val="auto"/>
                <w:kern w:val="0"/>
                <w:sz w:val="18"/>
                <w:szCs w:val="18"/>
                <w:lang w:val="en-US" w:eastAsia="zh-CN" w:bidi="ar"/>
                <w:rPrChange w:id="2470" w:author="LV" w:date="2026-07-14T16:49:40Z">
                  <w:rPr>
                    <w:rFonts w:hint="eastAsia" w:ascii="仿宋_GB2312" w:hAnsi="宋体" w:eastAsia="仿宋_GB2312" w:cs="仿宋_GB2312"/>
                    <w:color w:val="FF0000"/>
                    <w:kern w:val="0"/>
                    <w:sz w:val="18"/>
                    <w:szCs w:val="18"/>
                    <w:lang w:val="en-US" w:eastAsia="zh-CN" w:bidi="ar"/>
                  </w:rPr>
                </w:rPrChange>
              </w:rPr>
              <w:t>①</w:t>
            </w:r>
            <w:r>
              <w:rPr>
                <w:rFonts w:hint="eastAsia" w:ascii="仿宋_GB2312" w:hAnsi="宋体" w:eastAsia="仿宋_GB2312" w:cs="仿宋_GB2312"/>
                <w:color w:val="auto"/>
                <w:kern w:val="0"/>
                <w:sz w:val="18"/>
                <w:szCs w:val="18"/>
                <w:lang w:bidi="ar"/>
                <w:rPrChange w:id="2471" w:author="LV" w:date="2026-07-14T16:49:40Z">
                  <w:rPr>
                    <w:rFonts w:hint="eastAsia" w:ascii="仿宋_GB2312" w:hAnsi="宋体" w:eastAsia="仿宋_GB2312" w:cs="仿宋_GB2312"/>
                    <w:color w:val="FF0000"/>
                    <w:kern w:val="0"/>
                    <w:sz w:val="18"/>
                    <w:szCs w:val="18"/>
                    <w:lang w:bidi="ar"/>
                  </w:rPr>
                </w:rPrChange>
              </w:rPr>
              <w:t>未为从业人员提供符合国家标准或者行业标准的劳动防护用品3处及以上的，逾期</w:t>
            </w:r>
            <w:r>
              <w:rPr>
                <w:rFonts w:hint="eastAsia" w:ascii="仿宋_GB2312" w:hAnsi="宋体" w:eastAsia="仿宋_GB2312" w:cs="仿宋_GB2312"/>
                <w:color w:val="auto"/>
                <w:kern w:val="0"/>
                <w:sz w:val="18"/>
                <w:szCs w:val="18"/>
                <w:lang w:val="en-US" w:eastAsia="zh-CN" w:bidi="ar"/>
                <w:rPrChange w:id="2472" w:author="LV" w:date="2026-07-14T16:49:40Z">
                  <w:rPr>
                    <w:rFonts w:hint="eastAsia" w:ascii="仿宋_GB2312" w:hAnsi="宋体" w:eastAsia="仿宋_GB2312" w:cs="仿宋_GB2312"/>
                    <w:color w:val="FF0000"/>
                    <w:kern w:val="0"/>
                    <w:sz w:val="18"/>
                    <w:szCs w:val="18"/>
                    <w:lang w:val="en-US" w:eastAsia="zh-CN" w:bidi="ar"/>
                  </w:rPr>
                </w:rPrChange>
              </w:rPr>
              <w:t>未改正1处以上</w:t>
            </w:r>
            <w:r>
              <w:rPr>
                <w:rFonts w:hint="eastAsia" w:ascii="仿宋_GB2312" w:hAnsi="宋体" w:eastAsia="仿宋_GB2312" w:cs="仿宋_GB2312"/>
                <w:color w:val="auto"/>
                <w:kern w:val="0"/>
                <w:sz w:val="18"/>
                <w:szCs w:val="18"/>
                <w:lang w:bidi="ar"/>
                <w:rPrChange w:id="2473" w:author="LV" w:date="2026-07-14T16:49:40Z">
                  <w:rPr>
                    <w:rFonts w:hint="eastAsia" w:ascii="仿宋_GB2312" w:hAnsi="宋体" w:eastAsia="仿宋_GB2312" w:cs="仿宋_GB2312"/>
                    <w:color w:val="FF0000"/>
                    <w:kern w:val="0"/>
                    <w:sz w:val="18"/>
                    <w:szCs w:val="18"/>
                    <w:lang w:bidi="ar"/>
                  </w:rPr>
                </w:rPrChange>
              </w:rPr>
              <w:t>的。</w:t>
            </w:r>
          </w:p>
          <w:p w14:paraId="0DD8380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Change w:id="2474" w:author="LV" w:date="2026-07-14T16:49:40Z">
                  <w:rPr>
                    <w:rFonts w:ascii="仿宋_GB2312" w:hAnsi="宋体" w:eastAsia="仿宋_GB2312" w:cs="仿宋_GB2312"/>
                    <w:color w:val="FF0000"/>
                    <w:sz w:val="18"/>
                    <w:szCs w:val="18"/>
                  </w:rPr>
                </w:rPrChange>
              </w:rPr>
            </w:pPr>
            <w:r>
              <w:rPr>
                <w:rFonts w:hint="eastAsia" w:ascii="仿宋_GB2312" w:hAnsi="宋体" w:eastAsia="仿宋_GB2312" w:cs="仿宋_GB2312"/>
                <w:color w:val="auto"/>
                <w:kern w:val="0"/>
                <w:sz w:val="18"/>
                <w:szCs w:val="18"/>
                <w:lang w:val="en-US" w:eastAsia="zh-CN" w:bidi="ar"/>
                <w:rPrChange w:id="2475" w:author="LV" w:date="2026-07-14T16:49:40Z">
                  <w:rPr>
                    <w:rFonts w:hint="eastAsia" w:ascii="仿宋_GB2312" w:hAnsi="宋体" w:eastAsia="仿宋_GB2312" w:cs="仿宋_GB2312"/>
                    <w:color w:val="FF0000"/>
                    <w:kern w:val="0"/>
                    <w:sz w:val="18"/>
                    <w:szCs w:val="18"/>
                    <w:lang w:val="en-US" w:eastAsia="zh-CN" w:bidi="ar"/>
                  </w:rPr>
                </w:rPrChange>
              </w:rPr>
              <w:t>②</w:t>
            </w:r>
            <w:r>
              <w:rPr>
                <w:rFonts w:hint="eastAsia" w:ascii="仿宋_GB2312" w:hAnsi="宋体" w:eastAsia="仿宋_GB2312" w:cs="仿宋_GB2312"/>
                <w:color w:val="auto"/>
                <w:kern w:val="0"/>
                <w:sz w:val="18"/>
                <w:szCs w:val="18"/>
                <w:lang w:bidi="ar"/>
                <w:rPrChange w:id="2476" w:author="LV" w:date="2026-07-14T16:49:40Z">
                  <w:rPr>
                    <w:rFonts w:hint="eastAsia" w:ascii="仿宋_GB2312" w:hAnsi="宋体" w:eastAsia="仿宋_GB2312" w:cs="仿宋_GB2312"/>
                    <w:color w:val="FF0000"/>
                    <w:kern w:val="0"/>
                    <w:sz w:val="18"/>
                    <w:szCs w:val="18"/>
                    <w:lang w:bidi="ar"/>
                  </w:rPr>
                </w:rPrChange>
              </w:rPr>
              <w:t>情节严重的。</w:t>
            </w:r>
          </w:p>
        </w:tc>
        <w:tc>
          <w:tcPr>
            <w:tcW w:w="2655" w:type="dxa"/>
            <w:tcBorders>
              <w:tl2br w:val="nil"/>
              <w:tr2bl w:val="nil"/>
            </w:tcBorders>
            <w:shd w:val="clear" w:color="auto" w:fill="auto"/>
            <w:tcMar>
              <w:top w:w="15" w:type="dxa"/>
              <w:left w:w="15" w:type="dxa"/>
              <w:right w:w="15" w:type="dxa"/>
            </w:tcMar>
            <w:vAlign w:val="center"/>
          </w:tcPr>
          <w:p w14:paraId="115E7EB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Change w:id="2477" w:author="LV" w:date="2026-07-14T16:49:40Z">
                  <w:rPr>
                    <w:rFonts w:hint="eastAsia" w:ascii="仿宋_GB2312" w:hAnsi="宋体" w:eastAsia="仿宋_GB2312" w:cs="仿宋_GB2312"/>
                    <w:color w:val="FF0000"/>
                    <w:kern w:val="0"/>
                    <w:sz w:val="18"/>
                    <w:szCs w:val="18"/>
                    <w:lang w:bidi="ar"/>
                  </w:rPr>
                </w:rPrChange>
              </w:rPr>
            </w:pPr>
            <w:r>
              <w:rPr>
                <w:rFonts w:hint="eastAsia" w:ascii="仿宋_GB2312" w:hAnsi="宋体" w:eastAsia="仿宋_GB2312" w:cs="仿宋_GB2312"/>
                <w:color w:val="auto"/>
                <w:kern w:val="0"/>
                <w:sz w:val="18"/>
                <w:szCs w:val="18"/>
                <w:lang w:val="en-US" w:eastAsia="zh-CN" w:bidi="ar"/>
                <w:rPrChange w:id="2478" w:author="LV" w:date="2026-07-14T16:49:40Z">
                  <w:rPr>
                    <w:rFonts w:hint="eastAsia" w:ascii="仿宋_GB2312" w:hAnsi="宋体" w:eastAsia="仿宋_GB2312" w:cs="仿宋_GB2312"/>
                    <w:color w:val="FF0000"/>
                    <w:kern w:val="0"/>
                    <w:sz w:val="18"/>
                    <w:szCs w:val="18"/>
                    <w:lang w:val="en-US" w:eastAsia="zh-CN" w:bidi="ar"/>
                  </w:rPr>
                </w:rPrChange>
              </w:rPr>
              <w:t>①</w:t>
            </w:r>
            <w:r>
              <w:rPr>
                <w:rFonts w:hint="eastAsia" w:ascii="仿宋_GB2312" w:hAnsi="宋体" w:eastAsia="仿宋_GB2312" w:cs="仿宋_GB2312"/>
                <w:color w:val="auto"/>
                <w:kern w:val="0"/>
                <w:sz w:val="18"/>
                <w:szCs w:val="18"/>
                <w:lang w:bidi="ar"/>
                <w:rPrChange w:id="2479" w:author="LV" w:date="2026-07-14T16:49:40Z">
                  <w:rPr>
                    <w:rFonts w:hint="eastAsia" w:ascii="仿宋_GB2312" w:hAnsi="宋体" w:eastAsia="仿宋_GB2312" w:cs="仿宋_GB2312"/>
                    <w:color w:val="FF0000"/>
                    <w:kern w:val="0"/>
                    <w:sz w:val="18"/>
                    <w:szCs w:val="18"/>
                    <w:lang w:bidi="ar"/>
                  </w:rPr>
                </w:rPrChange>
              </w:rPr>
              <w:t>处15万元至20万元罚款，对其直接负责的主管人员和其他直接责任人员处1.8万元以上2万元以下的罚款。</w:t>
            </w:r>
          </w:p>
          <w:p w14:paraId="5D6FBD2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Change w:id="2480" w:author="LV" w:date="2026-07-14T16:49:40Z">
                  <w:rPr>
                    <w:rFonts w:ascii="仿宋_GB2312" w:hAnsi="宋体" w:eastAsia="仿宋_GB2312" w:cs="仿宋_GB2312"/>
                    <w:color w:val="FF0000"/>
                    <w:sz w:val="18"/>
                    <w:szCs w:val="18"/>
                  </w:rPr>
                </w:rPrChange>
              </w:rPr>
            </w:pPr>
            <w:r>
              <w:rPr>
                <w:rFonts w:hint="eastAsia" w:ascii="仿宋_GB2312" w:hAnsi="宋体" w:eastAsia="仿宋_GB2312" w:cs="仿宋_GB2312"/>
                <w:color w:val="auto"/>
                <w:kern w:val="0"/>
                <w:sz w:val="18"/>
                <w:szCs w:val="18"/>
                <w:lang w:val="en-US" w:eastAsia="zh-CN" w:bidi="ar"/>
                <w:rPrChange w:id="2481" w:author="LV" w:date="2026-07-14T16:49:40Z">
                  <w:rPr>
                    <w:rFonts w:hint="eastAsia" w:ascii="仿宋_GB2312" w:hAnsi="宋体" w:eastAsia="仿宋_GB2312" w:cs="仿宋_GB2312"/>
                    <w:color w:val="FF0000"/>
                    <w:kern w:val="0"/>
                    <w:sz w:val="18"/>
                    <w:szCs w:val="18"/>
                    <w:lang w:val="en-US" w:eastAsia="zh-CN" w:bidi="ar"/>
                  </w:rPr>
                </w:rPrChange>
              </w:rPr>
              <w:t>②</w:t>
            </w:r>
            <w:r>
              <w:rPr>
                <w:rFonts w:hint="eastAsia" w:ascii="仿宋_GB2312" w:hAnsi="宋体" w:eastAsia="仿宋_GB2312" w:cs="仿宋_GB2312"/>
                <w:color w:val="auto"/>
                <w:kern w:val="0"/>
                <w:sz w:val="18"/>
                <w:szCs w:val="18"/>
                <w:lang w:bidi="ar"/>
                <w:rPrChange w:id="2482" w:author="LV" w:date="2026-07-14T16:49:40Z">
                  <w:rPr>
                    <w:rFonts w:hint="eastAsia" w:ascii="仿宋_GB2312" w:hAnsi="宋体" w:eastAsia="仿宋_GB2312" w:cs="仿宋_GB2312"/>
                    <w:color w:val="FF0000"/>
                    <w:kern w:val="0"/>
                    <w:sz w:val="18"/>
                    <w:szCs w:val="18"/>
                    <w:lang w:bidi="ar"/>
                  </w:rPr>
                </w:rPrChange>
              </w:rPr>
              <w:t>情节严重的</w:t>
            </w:r>
            <w:r>
              <w:rPr>
                <w:rFonts w:hint="eastAsia" w:ascii="仿宋_GB2312" w:hAnsi="宋体" w:eastAsia="仿宋_GB2312" w:cs="仿宋_GB2312"/>
                <w:color w:val="auto"/>
                <w:kern w:val="0"/>
                <w:sz w:val="18"/>
                <w:szCs w:val="18"/>
                <w:lang w:eastAsia="zh-CN" w:bidi="ar"/>
                <w:rPrChange w:id="2483" w:author="LV" w:date="2026-07-14T16:49:40Z">
                  <w:rPr>
                    <w:rFonts w:hint="eastAsia" w:ascii="仿宋_GB2312" w:hAnsi="宋体" w:eastAsia="仿宋_GB2312" w:cs="仿宋_GB2312"/>
                    <w:color w:val="FF0000"/>
                    <w:kern w:val="0"/>
                    <w:sz w:val="18"/>
                    <w:szCs w:val="18"/>
                    <w:lang w:eastAsia="zh-CN" w:bidi="ar"/>
                  </w:rPr>
                </w:rPrChange>
              </w:rPr>
              <w:t>，</w:t>
            </w:r>
            <w:r>
              <w:rPr>
                <w:rFonts w:hint="eastAsia" w:ascii="仿宋_GB2312" w:hAnsi="宋体" w:eastAsia="仿宋_GB2312" w:cs="仿宋_GB2312"/>
                <w:color w:val="auto"/>
                <w:kern w:val="0"/>
                <w:sz w:val="18"/>
                <w:szCs w:val="18"/>
                <w:lang w:bidi="ar"/>
                <w:rPrChange w:id="2484" w:author="LV" w:date="2026-07-14T16:49:40Z">
                  <w:rPr>
                    <w:rFonts w:hint="eastAsia" w:ascii="仿宋_GB2312" w:hAnsi="宋体" w:eastAsia="仿宋_GB2312" w:cs="仿宋_GB2312"/>
                    <w:color w:val="FF0000"/>
                    <w:kern w:val="0"/>
                    <w:sz w:val="18"/>
                    <w:szCs w:val="18"/>
                    <w:lang w:bidi="ar"/>
                  </w:rPr>
                </w:rPrChange>
              </w:rPr>
              <w:t>责令停产停业整顿</w:t>
            </w:r>
            <w:r>
              <w:rPr>
                <w:rFonts w:hint="eastAsia" w:ascii="仿宋_GB2312" w:hAnsi="宋体" w:eastAsia="仿宋_GB2312" w:cs="仿宋_GB2312"/>
                <w:color w:val="auto"/>
                <w:kern w:val="0"/>
                <w:sz w:val="18"/>
                <w:szCs w:val="18"/>
                <w:lang w:eastAsia="zh-CN" w:bidi="ar"/>
                <w:rPrChange w:id="2485" w:author="LV" w:date="2026-07-14T16:49:40Z">
                  <w:rPr>
                    <w:rFonts w:hint="eastAsia" w:ascii="仿宋_GB2312" w:hAnsi="宋体" w:eastAsia="仿宋_GB2312" w:cs="仿宋_GB2312"/>
                    <w:color w:val="FF0000"/>
                    <w:kern w:val="0"/>
                    <w:sz w:val="18"/>
                    <w:szCs w:val="18"/>
                    <w:lang w:eastAsia="zh-CN" w:bidi="ar"/>
                  </w:rPr>
                </w:rPrChange>
              </w:rPr>
              <w:t>，</w:t>
            </w:r>
            <w:r>
              <w:rPr>
                <w:rFonts w:hint="eastAsia" w:ascii="仿宋_GB2312" w:hAnsi="宋体" w:eastAsia="仿宋_GB2312" w:cs="仿宋_GB2312"/>
                <w:color w:val="auto"/>
                <w:kern w:val="0"/>
                <w:sz w:val="18"/>
                <w:szCs w:val="18"/>
                <w:lang w:bidi="ar"/>
                <w:rPrChange w:id="2486" w:author="LV" w:date="2026-07-14T16:49:40Z">
                  <w:rPr>
                    <w:rFonts w:hint="eastAsia" w:ascii="仿宋_GB2312" w:hAnsi="宋体" w:eastAsia="仿宋_GB2312" w:cs="仿宋_GB2312"/>
                    <w:color w:val="FF0000"/>
                    <w:kern w:val="0"/>
                    <w:sz w:val="18"/>
                    <w:szCs w:val="18"/>
                    <w:lang w:bidi="ar"/>
                  </w:rPr>
                </w:rPrChange>
              </w:rPr>
              <w:t>处15万元至20万元罚款，对其直接负责的主管人员和其他直接责任人员处1.8万元以上2万元以下的</w:t>
            </w:r>
            <w:r>
              <w:rPr>
                <w:rFonts w:hint="eastAsia" w:ascii="仿宋_GB2312" w:hAnsi="宋体" w:eastAsia="仿宋_GB2312" w:cs="仿宋_GB2312"/>
                <w:color w:val="auto"/>
                <w:kern w:val="0"/>
                <w:sz w:val="18"/>
                <w:szCs w:val="18"/>
                <w:lang w:val="en-US" w:eastAsia="zh-CN" w:bidi="ar"/>
                <w:rPrChange w:id="2487" w:author="LV" w:date="2026-07-14T16:49:40Z">
                  <w:rPr>
                    <w:rFonts w:hint="eastAsia" w:ascii="仿宋_GB2312" w:hAnsi="宋体" w:eastAsia="仿宋_GB2312" w:cs="仿宋_GB2312"/>
                    <w:color w:val="FF0000"/>
                    <w:kern w:val="0"/>
                    <w:sz w:val="18"/>
                    <w:szCs w:val="18"/>
                    <w:lang w:val="en-US" w:eastAsia="zh-CN" w:bidi="ar"/>
                  </w:rPr>
                </w:rPrChange>
              </w:rPr>
              <w:t>罚款。</w:t>
            </w:r>
          </w:p>
        </w:tc>
      </w:tr>
      <w:tr w14:paraId="43FCCF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6C73D54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1</w:t>
            </w:r>
            <w:del w:id="2488" w:author="LV" w:date="2026-07-14T16:50:22Z">
              <w:r>
                <w:rPr>
                  <w:rFonts w:hint="default" w:ascii="仿宋_GB2312" w:hAnsi="宋体" w:eastAsia="仿宋_GB2312" w:cs="仿宋_GB2312"/>
                  <w:kern w:val="0"/>
                  <w:sz w:val="18"/>
                  <w:szCs w:val="18"/>
                  <w:lang w:val="en-US" w:bidi="ar"/>
                </w:rPr>
                <w:delText>0</w:delText>
              </w:r>
            </w:del>
            <w:del w:id="2489" w:author="LV" w:date="2026-07-14T16:50:22Z">
              <w:r>
                <w:rPr>
                  <w:rFonts w:hint="default" w:ascii="仿宋_GB2312" w:hAnsi="宋体" w:eastAsia="仿宋_GB2312" w:cs="仿宋_GB2312"/>
                  <w:kern w:val="0"/>
                  <w:sz w:val="18"/>
                  <w:szCs w:val="18"/>
                  <w:lang w:val="en-US" w:eastAsia="zh-CN" w:bidi="ar"/>
                </w:rPr>
                <w:delText>7</w:delText>
              </w:r>
            </w:del>
            <w:ins w:id="2490" w:author="LV" w:date="2026-07-14T16:50:22Z">
              <w:r>
                <w:rPr>
                  <w:rFonts w:hint="eastAsia" w:ascii="仿宋_GB2312" w:hAnsi="宋体" w:eastAsia="仿宋_GB2312" w:cs="仿宋_GB2312"/>
                  <w:kern w:val="0"/>
                  <w:sz w:val="18"/>
                  <w:szCs w:val="18"/>
                  <w:lang w:val="en-US" w:eastAsia="zh-CN" w:bidi="ar"/>
                </w:rPr>
                <w:t>14</w:t>
              </w:r>
            </w:ins>
          </w:p>
        </w:tc>
        <w:tc>
          <w:tcPr>
            <w:tcW w:w="1005" w:type="dxa"/>
            <w:vMerge w:val="restart"/>
            <w:tcBorders>
              <w:tl2br w:val="nil"/>
              <w:tr2bl w:val="nil"/>
            </w:tcBorders>
            <w:shd w:val="clear" w:color="auto" w:fill="auto"/>
            <w:tcMar>
              <w:top w:w="15" w:type="dxa"/>
              <w:left w:w="15" w:type="dxa"/>
              <w:right w:w="15" w:type="dxa"/>
            </w:tcMar>
            <w:vAlign w:val="center"/>
          </w:tcPr>
          <w:p w14:paraId="2AEA298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煤矿对重大危险源未登记建档，未进行定期检测、评估、监控，未制定应急预案，或者未告知应急措施的</w:t>
            </w:r>
          </w:p>
        </w:tc>
        <w:tc>
          <w:tcPr>
            <w:tcW w:w="3667" w:type="dxa"/>
            <w:vMerge w:val="restart"/>
            <w:tcBorders>
              <w:tl2br w:val="nil"/>
              <w:tr2bl w:val="nil"/>
            </w:tcBorders>
            <w:shd w:val="clear" w:color="auto" w:fill="auto"/>
            <w:tcMar>
              <w:top w:w="15" w:type="dxa"/>
              <w:left w:w="15" w:type="dxa"/>
              <w:right w:w="15" w:type="dxa"/>
            </w:tcMar>
            <w:vAlign w:val="center"/>
          </w:tcPr>
          <w:p w14:paraId="7F2D31C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《安全生产法》第四十条 生产经营单位对重大危险源应当登记建档，进行定期检测、评估、监控，并制定应急预案，告知从业人员和相关人员在紧急情况下应当采取的应急措施。生产经营单位应当按照国家有关规定将本单位重大危险源及有关安全措施、应急措施报有关地方人民政府应急管理部门和有关部门备案。有关地方人民政府应急管理部门和有关部门应当通过相关信息系统实现信息共享。</w:t>
            </w:r>
          </w:p>
        </w:tc>
        <w:tc>
          <w:tcPr>
            <w:tcW w:w="4082" w:type="dxa"/>
            <w:vMerge w:val="restart"/>
            <w:tcBorders>
              <w:tl2br w:val="nil"/>
              <w:tr2bl w:val="nil"/>
            </w:tcBorders>
            <w:shd w:val="clear" w:color="auto" w:fill="auto"/>
            <w:tcMar>
              <w:top w:w="15" w:type="dxa"/>
              <w:left w:w="15" w:type="dxa"/>
              <w:right w:w="15" w:type="dxa"/>
            </w:tcMar>
            <w:vAlign w:val="center"/>
          </w:tcPr>
          <w:p w14:paraId="7B8ABE3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《安全生产法》第一百零一条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二）对重大危险源未登记建档，未进行定期检测、评估、监控，未制定应急预案，或者未告知应急措施的。</w:t>
            </w:r>
          </w:p>
        </w:tc>
        <w:tc>
          <w:tcPr>
            <w:tcW w:w="459" w:type="dxa"/>
            <w:tcBorders>
              <w:tl2br w:val="nil"/>
              <w:tr2bl w:val="nil"/>
            </w:tcBorders>
            <w:shd w:val="clear" w:color="auto" w:fill="auto"/>
            <w:noWrap/>
            <w:tcMar>
              <w:top w:w="15" w:type="dxa"/>
              <w:left w:w="15" w:type="dxa"/>
              <w:right w:w="15" w:type="dxa"/>
            </w:tcMar>
            <w:vAlign w:val="center"/>
          </w:tcPr>
          <w:p w14:paraId="1140681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718DE72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3316FF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543661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859B5A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D5B740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7EBE19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B670B8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6AA54F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2B9DDAD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1C8A2F9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00A185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78FAC1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CEBBD0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84B703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5A4005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F86968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786E085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44AA9B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661D73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47F25F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6AF3AA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4710CF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9F24B4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631AA9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7FFE07E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1处重大危险源未登记建档，未进行定期检测、评估、监控，未制定应急预案，或者未告知应急措施的。</w:t>
            </w:r>
          </w:p>
        </w:tc>
        <w:tc>
          <w:tcPr>
            <w:tcW w:w="2655" w:type="dxa"/>
            <w:tcBorders>
              <w:tl2br w:val="nil"/>
              <w:tr2bl w:val="nil"/>
            </w:tcBorders>
            <w:shd w:val="clear" w:color="auto" w:fill="auto"/>
            <w:tcMar>
              <w:top w:w="15" w:type="dxa"/>
              <w:left w:w="15" w:type="dxa"/>
              <w:right w:w="15" w:type="dxa"/>
            </w:tcMar>
            <w:vAlign w:val="center"/>
          </w:tcPr>
          <w:p w14:paraId="57F8DE9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处3万元以下的罚款。</w:t>
            </w:r>
          </w:p>
        </w:tc>
      </w:tr>
      <w:tr w14:paraId="788F90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511EE0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3BA62C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8547BD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D40121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790EE5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692B7FD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2处重大危险源未登记建档，未进行定期检测、评估、监控，未制定应急预案，或者未告知应急措施的。</w:t>
            </w:r>
          </w:p>
        </w:tc>
        <w:tc>
          <w:tcPr>
            <w:tcW w:w="2655" w:type="dxa"/>
            <w:tcBorders>
              <w:tl2br w:val="nil"/>
              <w:tr2bl w:val="nil"/>
            </w:tcBorders>
            <w:shd w:val="clear" w:color="auto" w:fill="auto"/>
            <w:tcMar>
              <w:top w:w="15" w:type="dxa"/>
              <w:left w:w="15" w:type="dxa"/>
              <w:right w:w="15" w:type="dxa"/>
            </w:tcMar>
            <w:vAlign w:val="center"/>
          </w:tcPr>
          <w:p w14:paraId="6550AA6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处3万元以上7万元以下的罚款。</w:t>
            </w:r>
          </w:p>
        </w:tc>
      </w:tr>
      <w:tr w14:paraId="218DD4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955CE8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FD4E47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89A096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D902AE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5E35BC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6E5449A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3处以上重大危险源未登记建档，未进行定期检测、评估、监控，未制定应急预案，或者未告知应急措施的。</w:t>
            </w:r>
          </w:p>
        </w:tc>
        <w:tc>
          <w:tcPr>
            <w:tcW w:w="2655" w:type="dxa"/>
            <w:tcBorders>
              <w:tl2br w:val="nil"/>
              <w:tr2bl w:val="nil"/>
            </w:tcBorders>
            <w:shd w:val="clear" w:color="auto" w:fill="auto"/>
            <w:tcMar>
              <w:top w:w="15" w:type="dxa"/>
              <w:left w:w="15" w:type="dxa"/>
              <w:right w:w="15" w:type="dxa"/>
            </w:tcMar>
            <w:vAlign w:val="center"/>
          </w:tcPr>
          <w:p w14:paraId="7AFD9B4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处7万元以上10万元以下的罚款。</w:t>
            </w:r>
          </w:p>
        </w:tc>
      </w:tr>
      <w:tr w14:paraId="3AE44A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30F3E34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color w:val="auto"/>
                <w:sz w:val="18"/>
                <w:szCs w:val="18"/>
                <w:lang w:val="en-US" w:eastAsia="zh-CN"/>
              </w:rPr>
            </w:pPr>
            <w:r>
              <w:rPr>
                <w:rFonts w:hint="eastAsia" w:ascii="仿宋_GB2312" w:hAnsi="宋体" w:eastAsia="仿宋_GB2312" w:cs="仿宋_GB2312"/>
                <w:color w:val="auto"/>
                <w:kern w:val="0"/>
                <w:sz w:val="18"/>
                <w:szCs w:val="18"/>
                <w:lang w:bidi="ar"/>
              </w:rPr>
              <w:t>1</w:t>
            </w:r>
            <w:del w:id="2491" w:author="LV" w:date="2026-07-14T16:50:31Z">
              <w:r>
                <w:rPr>
                  <w:rFonts w:hint="default" w:ascii="仿宋_GB2312" w:hAnsi="宋体" w:eastAsia="仿宋_GB2312" w:cs="仿宋_GB2312"/>
                  <w:color w:val="auto"/>
                  <w:kern w:val="0"/>
                  <w:sz w:val="18"/>
                  <w:szCs w:val="18"/>
                  <w:lang w:val="en-US" w:bidi="ar"/>
                </w:rPr>
                <w:delText>0</w:delText>
              </w:r>
            </w:del>
            <w:del w:id="2492" w:author="LV" w:date="2026-07-14T16:50:31Z">
              <w:r>
                <w:rPr>
                  <w:rFonts w:hint="default" w:ascii="仿宋_GB2312" w:hAnsi="宋体" w:eastAsia="仿宋_GB2312" w:cs="仿宋_GB2312"/>
                  <w:color w:val="auto"/>
                  <w:kern w:val="0"/>
                  <w:sz w:val="18"/>
                  <w:szCs w:val="18"/>
                  <w:lang w:val="en-US" w:eastAsia="zh-CN" w:bidi="ar"/>
                </w:rPr>
                <w:delText>8</w:delText>
              </w:r>
            </w:del>
            <w:ins w:id="2493" w:author="LV" w:date="2026-07-14T16:50:31Z">
              <w:r>
                <w:rPr>
                  <w:rFonts w:hint="eastAsia" w:ascii="仿宋_GB2312" w:hAnsi="宋体" w:eastAsia="仿宋_GB2312" w:cs="仿宋_GB2312"/>
                  <w:color w:val="auto"/>
                  <w:kern w:val="0"/>
                  <w:sz w:val="18"/>
                  <w:szCs w:val="18"/>
                  <w:lang w:val="en-US" w:eastAsia="zh-CN" w:bidi="ar"/>
                </w:rPr>
                <w:t>15</w:t>
              </w:r>
            </w:ins>
          </w:p>
        </w:tc>
        <w:tc>
          <w:tcPr>
            <w:tcW w:w="1005" w:type="dxa"/>
            <w:vMerge w:val="restart"/>
            <w:tcBorders>
              <w:tl2br w:val="nil"/>
              <w:tr2bl w:val="nil"/>
            </w:tcBorders>
            <w:shd w:val="clear" w:color="auto" w:fill="auto"/>
            <w:tcMar>
              <w:top w:w="15" w:type="dxa"/>
              <w:left w:w="15" w:type="dxa"/>
              <w:right w:w="15" w:type="dxa"/>
            </w:tcMar>
            <w:vAlign w:val="center"/>
          </w:tcPr>
          <w:p w14:paraId="076CBC5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煤矿对重大危险源未登记建档，未进行定期检测、评估、监控，未制定应急预案，或者未告知应急措施，逾期未改正的</w:t>
            </w:r>
          </w:p>
        </w:tc>
        <w:tc>
          <w:tcPr>
            <w:tcW w:w="3667" w:type="dxa"/>
            <w:vMerge w:val="restart"/>
            <w:tcBorders>
              <w:tl2br w:val="nil"/>
              <w:tr2bl w:val="nil"/>
            </w:tcBorders>
            <w:shd w:val="clear" w:color="auto" w:fill="auto"/>
            <w:tcMar>
              <w:top w:w="15" w:type="dxa"/>
              <w:left w:w="15" w:type="dxa"/>
              <w:right w:w="15" w:type="dxa"/>
            </w:tcMar>
            <w:vAlign w:val="center"/>
          </w:tcPr>
          <w:p w14:paraId="78D81EE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《安全生产法》第四十条 生产经营单位对重大危险源应当登记建档，进行定期检测、评估、监控，并制定应急预案，告知从业人员和相关人员在紧急情况下应当采取的应急措施。生产经营单位应当按照国家有关规定将本单位重大危险源及有关安全措施、应急措施报有关地方人民政府应急管理部门和有关部门备案。有关地方人民政府应急管理部门和有关部门应当通过相关信息系统实现信息共享。</w:t>
            </w:r>
          </w:p>
        </w:tc>
        <w:tc>
          <w:tcPr>
            <w:tcW w:w="4082" w:type="dxa"/>
            <w:vMerge w:val="restart"/>
            <w:tcBorders>
              <w:tl2br w:val="nil"/>
              <w:tr2bl w:val="nil"/>
            </w:tcBorders>
            <w:shd w:val="clear" w:color="auto" w:fill="auto"/>
            <w:tcMar>
              <w:top w:w="15" w:type="dxa"/>
              <w:left w:w="15" w:type="dxa"/>
              <w:right w:w="15" w:type="dxa"/>
            </w:tcMar>
            <w:vAlign w:val="center"/>
          </w:tcPr>
          <w:p w14:paraId="63A80BF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《安全生产法》第一百零一条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二）对重大危险源未登记建档，未进行定期检测、评估、监控，未制定应急预案，或者未告知应急措施的。</w:t>
            </w:r>
          </w:p>
        </w:tc>
        <w:tc>
          <w:tcPr>
            <w:tcW w:w="459" w:type="dxa"/>
            <w:tcBorders>
              <w:tl2br w:val="nil"/>
              <w:tr2bl w:val="nil"/>
            </w:tcBorders>
            <w:shd w:val="clear" w:color="auto" w:fill="auto"/>
            <w:noWrap/>
            <w:tcMar>
              <w:top w:w="15" w:type="dxa"/>
              <w:left w:w="15" w:type="dxa"/>
              <w:right w:w="15" w:type="dxa"/>
            </w:tcMar>
            <w:vAlign w:val="center"/>
          </w:tcPr>
          <w:p w14:paraId="720764F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5703421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03F0EE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33620F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CE890C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color w:val="auto"/>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70567A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E4E0E9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363CCA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654E56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46D4BA5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39FF0C23">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72C316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17234E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color w:val="auto"/>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0EDE5F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045E9A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20C45C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582F77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105F30C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315B8D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2026C0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71739A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color w:val="auto"/>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51DCF5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8D13D8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B4454C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2A7210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6DD8ED1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1处重大危险源未登记建档，未进行定期检测、评估、监控，未制定应急预案，或者未告知应急措施的，逾期未改正的。</w:t>
            </w:r>
          </w:p>
        </w:tc>
        <w:tc>
          <w:tcPr>
            <w:tcW w:w="2655" w:type="dxa"/>
            <w:tcBorders>
              <w:tl2br w:val="nil"/>
              <w:tr2bl w:val="nil"/>
            </w:tcBorders>
            <w:shd w:val="clear" w:color="auto" w:fill="auto"/>
            <w:tcMar>
              <w:top w:w="15" w:type="dxa"/>
              <w:left w:w="15" w:type="dxa"/>
              <w:right w:w="15" w:type="dxa"/>
            </w:tcMar>
            <w:vAlign w:val="center"/>
          </w:tcPr>
          <w:p w14:paraId="4D1D999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责令停产停业整顿，对煤矿处10万元以上13万元以下的罚款，对其直接负责的主管人员和其他直接责任人员处2万元以上3万元以下的罚款。</w:t>
            </w:r>
          </w:p>
        </w:tc>
      </w:tr>
      <w:tr w14:paraId="78685F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02CB65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color w:val="auto"/>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0242C6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C6A5B5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C3BEC4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1EB2D6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324233C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pacing w:val="-6"/>
                <w:sz w:val="18"/>
                <w:szCs w:val="18"/>
              </w:rPr>
            </w:pPr>
            <w:r>
              <w:rPr>
                <w:rFonts w:hint="eastAsia" w:ascii="仿宋_GB2312" w:hAnsi="宋体" w:eastAsia="仿宋_GB2312" w:cs="仿宋_GB2312"/>
                <w:color w:val="auto"/>
                <w:spacing w:val="-6"/>
                <w:kern w:val="0"/>
                <w:sz w:val="18"/>
                <w:szCs w:val="18"/>
                <w:lang w:bidi="ar"/>
              </w:rPr>
              <w:t>2处重大危险源未登记建档，未进行定期检测、评估、监控，未制定应急预案，或者未告知应急措施的，逾期未改正</w:t>
            </w:r>
            <w:r>
              <w:rPr>
                <w:rFonts w:hint="eastAsia" w:ascii="仿宋_GB2312" w:hAnsi="宋体" w:eastAsia="仿宋_GB2312" w:cs="仿宋_GB2312"/>
                <w:color w:val="auto"/>
                <w:spacing w:val="-6"/>
                <w:kern w:val="0"/>
                <w:sz w:val="18"/>
                <w:szCs w:val="18"/>
                <w:lang w:val="en-US" w:eastAsia="zh-CN" w:bidi="ar"/>
              </w:rPr>
              <w:t>1处以上</w:t>
            </w:r>
            <w:r>
              <w:rPr>
                <w:rFonts w:hint="eastAsia" w:ascii="仿宋_GB2312" w:hAnsi="宋体" w:eastAsia="仿宋_GB2312" w:cs="仿宋_GB2312"/>
                <w:color w:val="auto"/>
                <w:spacing w:val="-6"/>
                <w:kern w:val="0"/>
                <w:sz w:val="18"/>
                <w:szCs w:val="18"/>
                <w:lang w:bidi="ar"/>
              </w:rPr>
              <w:t>的。</w:t>
            </w:r>
          </w:p>
        </w:tc>
        <w:tc>
          <w:tcPr>
            <w:tcW w:w="2655" w:type="dxa"/>
            <w:tcBorders>
              <w:tl2br w:val="nil"/>
              <w:tr2bl w:val="nil"/>
            </w:tcBorders>
            <w:shd w:val="clear" w:color="auto" w:fill="auto"/>
            <w:tcMar>
              <w:top w:w="15" w:type="dxa"/>
              <w:left w:w="15" w:type="dxa"/>
              <w:right w:w="15" w:type="dxa"/>
            </w:tcMar>
            <w:vAlign w:val="center"/>
          </w:tcPr>
          <w:p w14:paraId="0E9A632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责令停产停业整顿，对煤矿处13万元以上17万元以下的罚款，对其直接负责的主管人员和其他直接责任人员处3万元以上4万元以下的罚款。</w:t>
            </w:r>
          </w:p>
        </w:tc>
      </w:tr>
      <w:tr w14:paraId="343886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14BD95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color w:val="auto"/>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EAA711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C89451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3ED71B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1AE4E1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05C447D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3处以上重大危险源未登记建档，未进行定期检测、评估、监控，未制定应急预案，或者未告知应急措施的，逾期未改正</w:t>
            </w:r>
            <w:r>
              <w:rPr>
                <w:rFonts w:hint="eastAsia" w:ascii="仿宋_GB2312" w:hAnsi="宋体" w:eastAsia="仿宋_GB2312" w:cs="仿宋_GB2312"/>
                <w:color w:val="auto"/>
                <w:spacing w:val="-6"/>
                <w:kern w:val="0"/>
                <w:sz w:val="18"/>
                <w:szCs w:val="18"/>
                <w:lang w:val="en-US" w:eastAsia="zh-CN" w:bidi="ar"/>
              </w:rPr>
              <w:t>1处以上</w:t>
            </w:r>
            <w:r>
              <w:rPr>
                <w:rFonts w:hint="eastAsia" w:ascii="仿宋_GB2312" w:hAnsi="宋体" w:eastAsia="仿宋_GB2312" w:cs="仿宋_GB2312"/>
                <w:color w:val="auto"/>
                <w:kern w:val="0"/>
                <w:sz w:val="18"/>
                <w:szCs w:val="18"/>
                <w:lang w:bidi="ar"/>
              </w:rPr>
              <w:t>的。</w:t>
            </w:r>
          </w:p>
        </w:tc>
        <w:tc>
          <w:tcPr>
            <w:tcW w:w="2655" w:type="dxa"/>
            <w:tcBorders>
              <w:tl2br w:val="nil"/>
              <w:tr2bl w:val="nil"/>
            </w:tcBorders>
            <w:shd w:val="clear" w:color="auto" w:fill="auto"/>
            <w:tcMar>
              <w:top w:w="15" w:type="dxa"/>
              <w:left w:w="15" w:type="dxa"/>
              <w:right w:w="15" w:type="dxa"/>
            </w:tcMar>
            <w:vAlign w:val="center"/>
          </w:tcPr>
          <w:p w14:paraId="00719D8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责令停产停业整顿，对煤矿处17万元以上20万元以下的罚款，对其直接负责的主管人员和其他直接责任人员处4万元以上5万元以下的罚款。</w:t>
            </w:r>
          </w:p>
        </w:tc>
      </w:tr>
      <w:tr w14:paraId="0F6259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4237C06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1</w:t>
            </w:r>
            <w:del w:id="2494" w:author="LV" w:date="2026-07-14T16:50:38Z">
              <w:r>
                <w:rPr>
                  <w:rFonts w:hint="default" w:ascii="仿宋_GB2312" w:hAnsi="宋体" w:eastAsia="仿宋_GB2312" w:cs="仿宋_GB2312"/>
                  <w:kern w:val="0"/>
                  <w:sz w:val="18"/>
                  <w:szCs w:val="18"/>
                  <w:lang w:val="en-US" w:bidi="ar"/>
                </w:rPr>
                <w:delText>0</w:delText>
              </w:r>
            </w:del>
            <w:del w:id="2495" w:author="LV" w:date="2026-07-14T16:50:38Z">
              <w:r>
                <w:rPr>
                  <w:rFonts w:hint="default" w:ascii="仿宋_GB2312" w:hAnsi="宋体" w:eastAsia="仿宋_GB2312" w:cs="仿宋_GB2312"/>
                  <w:kern w:val="0"/>
                  <w:sz w:val="18"/>
                  <w:szCs w:val="18"/>
                  <w:lang w:val="en-US" w:eastAsia="zh-CN" w:bidi="ar"/>
                </w:rPr>
                <w:delText>9</w:delText>
              </w:r>
            </w:del>
            <w:ins w:id="2496" w:author="LV" w:date="2026-07-14T16:50:38Z">
              <w:r>
                <w:rPr>
                  <w:rFonts w:hint="eastAsia" w:ascii="仿宋_GB2312" w:hAnsi="宋体" w:eastAsia="仿宋_GB2312" w:cs="仿宋_GB2312"/>
                  <w:kern w:val="0"/>
                  <w:sz w:val="18"/>
                  <w:szCs w:val="18"/>
                  <w:lang w:val="en-US" w:eastAsia="zh-CN" w:bidi="ar"/>
                </w:rPr>
                <w:t>1</w:t>
              </w:r>
            </w:ins>
            <w:ins w:id="2497" w:author="LV" w:date="2026-07-14T16:50:39Z">
              <w:r>
                <w:rPr>
                  <w:rFonts w:hint="eastAsia" w:ascii="仿宋_GB2312" w:hAnsi="宋体" w:eastAsia="仿宋_GB2312" w:cs="仿宋_GB2312"/>
                  <w:kern w:val="0"/>
                  <w:sz w:val="18"/>
                  <w:szCs w:val="18"/>
                  <w:lang w:val="en-US" w:eastAsia="zh-CN" w:bidi="ar"/>
                </w:rPr>
                <w:t>6</w:t>
              </w:r>
            </w:ins>
          </w:p>
        </w:tc>
        <w:tc>
          <w:tcPr>
            <w:tcW w:w="1005" w:type="dxa"/>
            <w:vMerge w:val="restart"/>
            <w:tcBorders>
              <w:tl2br w:val="nil"/>
              <w:tr2bl w:val="nil"/>
            </w:tcBorders>
            <w:shd w:val="clear" w:color="auto" w:fill="auto"/>
            <w:tcMar>
              <w:top w:w="15" w:type="dxa"/>
              <w:left w:w="15" w:type="dxa"/>
              <w:right w:w="15" w:type="dxa"/>
            </w:tcMar>
            <w:vAlign w:val="center"/>
          </w:tcPr>
          <w:p w14:paraId="6BF469C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煤矿的危险作业未安排专门人员进行现场安全管理的</w:t>
            </w:r>
          </w:p>
        </w:tc>
        <w:tc>
          <w:tcPr>
            <w:tcW w:w="3667" w:type="dxa"/>
            <w:vMerge w:val="restart"/>
            <w:tcBorders>
              <w:tl2br w:val="nil"/>
              <w:tr2bl w:val="nil"/>
            </w:tcBorders>
            <w:shd w:val="clear" w:color="auto" w:fill="auto"/>
            <w:tcMar>
              <w:top w:w="15" w:type="dxa"/>
              <w:left w:w="15" w:type="dxa"/>
              <w:right w:w="15" w:type="dxa"/>
            </w:tcMar>
            <w:vAlign w:val="center"/>
          </w:tcPr>
          <w:p w14:paraId="4481FBE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《安全生产法》第四十三条 生产经营单位进行爆破、吊装、动火、临时用电以及国务院应急管理部门会同国务院有关部门规定的其他危险作业，应当安排专门人员进行现场安全管理，确保操作规程的遵守和安全措施的落实。</w:t>
            </w:r>
          </w:p>
          <w:p w14:paraId="705520A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《煤矿安全生产条例》第三十四条  在煤矿进行石门揭煤、探放水、巷道贯通、清理煤仓、强制放顶、火区密闭和启封、动火以及国家矿山安全监察机构规定的其他危险作业，应当采取专门安全技术措施，并安排专门人员进行现场安全管理。</w:t>
            </w:r>
          </w:p>
        </w:tc>
        <w:tc>
          <w:tcPr>
            <w:tcW w:w="4082" w:type="dxa"/>
            <w:vMerge w:val="restart"/>
            <w:tcBorders>
              <w:tl2br w:val="nil"/>
              <w:tr2bl w:val="nil"/>
            </w:tcBorders>
            <w:shd w:val="clear" w:color="auto" w:fill="auto"/>
            <w:tcMar>
              <w:top w:w="15" w:type="dxa"/>
              <w:left w:w="15" w:type="dxa"/>
              <w:right w:w="15" w:type="dxa"/>
            </w:tcMar>
            <w:vAlign w:val="center"/>
          </w:tcPr>
          <w:p w14:paraId="48BD6C1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bidi="ar"/>
              </w:rPr>
              <w:t>《安全生产法》第一百零一条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三）进行爆破、吊装、动火、临时用电以及国务院应急管理部门会同国务院有关部门规定的其他危险作业，未安排专门人员进行现场安全管理的。</w:t>
            </w:r>
          </w:p>
          <w:p w14:paraId="1E2DF4B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bidi="ar"/>
              </w:rPr>
              <w:t>《煤矿安全生产条例》第六十二条第五项  煤矿企业有下列行为之一的，依照《中华人民共和国安全生产法》有关规定予以处罚：（五）进行危险作业，未采取专门安全技术措施并安排专门人员进行现场安全管理的。</w:t>
            </w:r>
          </w:p>
        </w:tc>
        <w:tc>
          <w:tcPr>
            <w:tcW w:w="459" w:type="dxa"/>
            <w:tcBorders>
              <w:tl2br w:val="nil"/>
              <w:tr2bl w:val="nil"/>
            </w:tcBorders>
            <w:shd w:val="clear" w:color="auto" w:fill="auto"/>
            <w:noWrap/>
            <w:tcMar>
              <w:top w:w="15" w:type="dxa"/>
              <w:left w:w="15" w:type="dxa"/>
              <w:right w:w="15" w:type="dxa"/>
            </w:tcMar>
            <w:vAlign w:val="center"/>
          </w:tcPr>
          <w:p w14:paraId="3148887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351E85B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D7E77B6">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22D86A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6FE130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9A1312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BBC99A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D57124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6F9174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207FBEE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110B672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6F347F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2338FC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F47831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C3391D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EE67E6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718F33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1F5A9AF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16B4AF6E">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2EFB54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45C1A4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8D9F8B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9AA6B3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A145E1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3C88B2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38ED56C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1处危险作业未安排专门人员进行现场安全管理的。</w:t>
            </w:r>
          </w:p>
        </w:tc>
        <w:tc>
          <w:tcPr>
            <w:tcW w:w="2655" w:type="dxa"/>
            <w:tcBorders>
              <w:tl2br w:val="nil"/>
              <w:tr2bl w:val="nil"/>
            </w:tcBorders>
            <w:shd w:val="clear" w:color="auto" w:fill="auto"/>
            <w:tcMar>
              <w:top w:w="15" w:type="dxa"/>
              <w:left w:w="15" w:type="dxa"/>
              <w:right w:w="15" w:type="dxa"/>
            </w:tcMar>
            <w:vAlign w:val="center"/>
          </w:tcPr>
          <w:p w14:paraId="0175885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处3万元以下的罚款。</w:t>
            </w:r>
          </w:p>
        </w:tc>
      </w:tr>
      <w:tr w14:paraId="08E2FD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6E5023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22CB2C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2A6F92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A0EF2D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3B489F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63030D6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2处危险作业未安排专门人员进行现场安全管理的。</w:t>
            </w:r>
          </w:p>
        </w:tc>
        <w:tc>
          <w:tcPr>
            <w:tcW w:w="2655" w:type="dxa"/>
            <w:tcBorders>
              <w:tl2br w:val="nil"/>
              <w:tr2bl w:val="nil"/>
            </w:tcBorders>
            <w:shd w:val="clear" w:color="auto" w:fill="auto"/>
            <w:tcMar>
              <w:top w:w="15" w:type="dxa"/>
              <w:left w:w="15" w:type="dxa"/>
              <w:right w:w="15" w:type="dxa"/>
            </w:tcMar>
            <w:vAlign w:val="center"/>
          </w:tcPr>
          <w:p w14:paraId="7961770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处3万元以上7万元以下的罚款。</w:t>
            </w:r>
          </w:p>
        </w:tc>
      </w:tr>
      <w:tr w14:paraId="2FFB4A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4B0A63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2ACAE6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F64F7F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FF8796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7C0151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5C4563E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sz w:val="18"/>
                <w:szCs w:val="18"/>
              </w:rPr>
              <w:t>没有采取安全技术措施或者3处以上危险作业未安排专门人员进行现场安全管理的。</w:t>
            </w:r>
          </w:p>
        </w:tc>
        <w:tc>
          <w:tcPr>
            <w:tcW w:w="2655" w:type="dxa"/>
            <w:tcBorders>
              <w:tl2br w:val="nil"/>
              <w:tr2bl w:val="nil"/>
            </w:tcBorders>
            <w:shd w:val="clear" w:color="auto" w:fill="auto"/>
            <w:tcMar>
              <w:top w:w="15" w:type="dxa"/>
              <w:left w:w="15" w:type="dxa"/>
              <w:right w:w="15" w:type="dxa"/>
            </w:tcMar>
            <w:vAlign w:val="center"/>
          </w:tcPr>
          <w:p w14:paraId="3A31F36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处7万元以上10万元以下的罚款。</w:t>
            </w:r>
          </w:p>
        </w:tc>
      </w:tr>
      <w:tr w14:paraId="246F19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579840C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color w:val="auto"/>
                <w:sz w:val="18"/>
                <w:szCs w:val="18"/>
                <w:lang w:val="en-US" w:eastAsia="zh-CN"/>
              </w:rPr>
            </w:pPr>
            <w:r>
              <w:rPr>
                <w:rFonts w:hint="eastAsia" w:ascii="仿宋_GB2312" w:hAnsi="宋体" w:eastAsia="仿宋_GB2312" w:cs="仿宋_GB2312"/>
                <w:color w:val="auto"/>
                <w:kern w:val="0"/>
                <w:sz w:val="18"/>
                <w:szCs w:val="18"/>
                <w:lang w:bidi="ar"/>
              </w:rPr>
              <w:t>1</w:t>
            </w:r>
            <w:r>
              <w:rPr>
                <w:rFonts w:hint="eastAsia" w:ascii="仿宋_GB2312" w:hAnsi="宋体" w:eastAsia="仿宋_GB2312" w:cs="仿宋_GB2312"/>
                <w:color w:val="auto"/>
                <w:kern w:val="0"/>
                <w:sz w:val="18"/>
                <w:szCs w:val="18"/>
                <w:lang w:val="en-US" w:eastAsia="zh-CN" w:bidi="ar"/>
              </w:rPr>
              <w:t>1</w:t>
            </w:r>
            <w:del w:id="2498" w:author="LV" w:date="2026-07-14T16:50:43Z">
              <w:r>
                <w:rPr>
                  <w:rFonts w:hint="default" w:ascii="仿宋_GB2312" w:hAnsi="宋体" w:eastAsia="仿宋_GB2312" w:cs="仿宋_GB2312"/>
                  <w:color w:val="auto"/>
                  <w:kern w:val="0"/>
                  <w:sz w:val="18"/>
                  <w:szCs w:val="18"/>
                  <w:lang w:val="en-US" w:eastAsia="zh-CN" w:bidi="ar"/>
                </w:rPr>
                <w:delText>0</w:delText>
              </w:r>
            </w:del>
            <w:ins w:id="2499" w:author="LV" w:date="2026-07-14T16:50:43Z">
              <w:r>
                <w:rPr>
                  <w:rFonts w:hint="eastAsia" w:ascii="仿宋_GB2312" w:hAnsi="宋体" w:eastAsia="仿宋_GB2312" w:cs="仿宋_GB2312"/>
                  <w:color w:val="auto"/>
                  <w:kern w:val="0"/>
                  <w:sz w:val="18"/>
                  <w:szCs w:val="18"/>
                  <w:lang w:val="en-US" w:eastAsia="zh-CN" w:bidi="ar"/>
                </w:rPr>
                <w:t>7</w:t>
              </w:r>
            </w:ins>
          </w:p>
        </w:tc>
        <w:tc>
          <w:tcPr>
            <w:tcW w:w="1005" w:type="dxa"/>
            <w:vMerge w:val="restart"/>
            <w:tcBorders>
              <w:tl2br w:val="nil"/>
              <w:tr2bl w:val="nil"/>
            </w:tcBorders>
            <w:shd w:val="clear" w:color="auto" w:fill="auto"/>
            <w:tcMar>
              <w:top w:w="15" w:type="dxa"/>
              <w:left w:w="15" w:type="dxa"/>
              <w:right w:w="15" w:type="dxa"/>
            </w:tcMar>
            <w:vAlign w:val="center"/>
          </w:tcPr>
          <w:p w14:paraId="68D4C91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煤矿</w:t>
            </w:r>
            <w:r>
              <w:rPr>
                <w:rFonts w:ascii="仿宋_GB2312" w:hAnsi="宋体" w:eastAsia="仿宋_GB2312" w:cs="仿宋_GB2312"/>
                <w:color w:val="auto"/>
                <w:kern w:val="0"/>
                <w:sz w:val="18"/>
                <w:szCs w:val="18"/>
                <w:lang w:bidi="ar"/>
              </w:rPr>
              <w:t>的</w:t>
            </w:r>
            <w:r>
              <w:rPr>
                <w:rFonts w:hint="eastAsia" w:ascii="仿宋_GB2312" w:hAnsi="宋体" w:eastAsia="仿宋_GB2312" w:cs="仿宋_GB2312"/>
                <w:color w:val="auto"/>
                <w:kern w:val="0"/>
                <w:sz w:val="18"/>
                <w:szCs w:val="18"/>
                <w:lang w:bidi="ar"/>
              </w:rPr>
              <w:t>危险作业未安排专门人员进行现场安全管理，逾期未改正的</w:t>
            </w:r>
          </w:p>
        </w:tc>
        <w:tc>
          <w:tcPr>
            <w:tcW w:w="3667" w:type="dxa"/>
            <w:vMerge w:val="restart"/>
            <w:tcBorders>
              <w:tl2br w:val="nil"/>
              <w:tr2bl w:val="nil"/>
            </w:tcBorders>
            <w:shd w:val="clear" w:color="auto" w:fill="auto"/>
            <w:tcMar>
              <w:top w:w="15" w:type="dxa"/>
              <w:left w:w="15" w:type="dxa"/>
              <w:right w:w="15" w:type="dxa"/>
            </w:tcMar>
            <w:vAlign w:val="center"/>
          </w:tcPr>
          <w:p w14:paraId="404D038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bidi="ar"/>
              </w:rPr>
              <w:t>《安全生产法》第四十三条 生产经营单位进行爆破、吊装、动火、临时用电以及国务院应急管理部门会同国务院有关部门规定的其他危险作业，应当安排专门人员进行现场安全管理，确保操作规程的遵守和安全措施的落实。</w:t>
            </w:r>
          </w:p>
          <w:p w14:paraId="3F9F037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bidi="ar"/>
              </w:rPr>
              <w:t>《煤矿安全生产条例》第三十四条  在煤矿进行石门揭煤、探放水、巷道贯通、清理煤仓、强制放顶、火区密闭和启封、动火以及国家矿山安全监察机构规定的其他危险作业，应当采取专门安全技术措施，并安排专门人员进行现场安全管理。</w:t>
            </w:r>
          </w:p>
        </w:tc>
        <w:tc>
          <w:tcPr>
            <w:tcW w:w="4082" w:type="dxa"/>
            <w:vMerge w:val="restart"/>
            <w:tcBorders>
              <w:tl2br w:val="nil"/>
              <w:tr2bl w:val="nil"/>
            </w:tcBorders>
            <w:shd w:val="clear" w:color="auto" w:fill="auto"/>
            <w:tcMar>
              <w:top w:w="15" w:type="dxa"/>
              <w:left w:w="15" w:type="dxa"/>
              <w:right w:w="15" w:type="dxa"/>
            </w:tcMar>
            <w:vAlign w:val="center"/>
          </w:tcPr>
          <w:p w14:paraId="730B518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bidi="ar"/>
              </w:rPr>
              <w:t>《安全生产法》第一百零一条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三）进行爆破、吊装、动火、临时用电以及国务院应急管理部门会同国务院有关部门规定的其他危险作业，未安排专门人员进行现场安全管理的。</w:t>
            </w:r>
          </w:p>
          <w:p w14:paraId="171DD51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bidi="ar"/>
              </w:rPr>
              <w:t>《煤矿安全生产条例》第六十二条第五项  煤矿企业有下列行为之一的，依照《中华人民共和国安全生产法》有关规定予以处罚：（五）进行危险作业，未采取专门安全技术措施并安排专门人员进行现场安全管理的。</w:t>
            </w:r>
          </w:p>
        </w:tc>
        <w:tc>
          <w:tcPr>
            <w:tcW w:w="459" w:type="dxa"/>
            <w:tcBorders>
              <w:tl2br w:val="nil"/>
              <w:tr2bl w:val="nil"/>
            </w:tcBorders>
            <w:shd w:val="clear" w:color="auto" w:fill="auto"/>
            <w:noWrap/>
            <w:tcMar>
              <w:top w:w="15" w:type="dxa"/>
              <w:left w:w="15" w:type="dxa"/>
              <w:right w:w="15" w:type="dxa"/>
            </w:tcMar>
            <w:vAlign w:val="center"/>
          </w:tcPr>
          <w:p w14:paraId="7DEA567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5B0E2FF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96D521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4141AC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546C13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color w:val="auto"/>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1659D7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ABD566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380225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376EAB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421DF13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2AAE024F">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1D188B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7D638D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color w:val="auto"/>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378CE8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DC15A8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65E50E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2C7817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1F20E05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385CD7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1F758B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9565F1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color w:val="auto"/>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497ACC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596FE3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298566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CC4BE8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1E41A3C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1处危险作业未安排专门人员进行现场安全管理，逾期未改正的。</w:t>
            </w:r>
          </w:p>
        </w:tc>
        <w:tc>
          <w:tcPr>
            <w:tcW w:w="2655" w:type="dxa"/>
            <w:tcBorders>
              <w:tl2br w:val="nil"/>
              <w:tr2bl w:val="nil"/>
            </w:tcBorders>
            <w:shd w:val="clear" w:color="auto" w:fill="auto"/>
            <w:tcMar>
              <w:top w:w="15" w:type="dxa"/>
              <w:left w:w="15" w:type="dxa"/>
              <w:right w:w="15" w:type="dxa"/>
            </w:tcMar>
            <w:vAlign w:val="center"/>
          </w:tcPr>
          <w:p w14:paraId="4217714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责令停产停业整顿，对煤矿处10万元以上13万元以下的罚款，对其直接负责的主管人员和其他直接责任人员处2万元以上3万元以下的罚款。</w:t>
            </w:r>
          </w:p>
        </w:tc>
      </w:tr>
      <w:tr w14:paraId="03D734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C79E53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color w:val="auto"/>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43555C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0944FA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48BDBF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C3C030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5BD1B63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2处危险作业未安排专门人员进行现场安全管理，逾期未改正</w:t>
            </w:r>
            <w:r>
              <w:rPr>
                <w:rFonts w:hint="eastAsia" w:ascii="仿宋_GB2312" w:hAnsi="宋体" w:eastAsia="仿宋_GB2312" w:cs="仿宋_GB2312"/>
                <w:color w:val="auto"/>
                <w:spacing w:val="-6"/>
                <w:kern w:val="0"/>
                <w:sz w:val="18"/>
                <w:szCs w:val="18"/>
                <w:lang w:val="en-US" w:eastAsia="zh-CN" w:bidi="ar"/>
              </w:rPr>
              <w:t>1处以上</w:t>
            </w:r>
            <w:r>
              <w:rPr>
                <w:rFonts w:hint="eastAsia" w:ascii="仿宋_GB2312" w:hAnsi="宋体" w:eastAsia="仿宋_GB2312" w:cs="仿宋_GB2312"/>
                <w:color w:val="auto"/>
                <w:kern w:val="0"/>
                <w:sz w:val="18"/>
                <w:szCs w:val="18"/>
                <w:lang w:bidi="ar"/>
              </w:rPr>
              <w:t>的。</w:t>
            </w:r>
          </w:p>
        </w:tc>
        <w:tc>
          <w:tcPr>
            <w:tcW w:w="2655" w:type="dxa"/>
            <w:tcBorders>
              <w:tl2br w:val="nil"/>
              <w:tr2bl w:val="nil"/>
            </w:tcBorders>
            <w:shd w:val="clear" w:color="auto" w:fill="auto"/>
            <w:tcMar>
              <w:top w:w="15" w:type="dxa"/>
              <w:left w:w="15" w:type="dxa"/>
              <w:right w:w="15" w:type="dxa"/>
            </w:tcMar>
            <w:vAlign w:val="center"/>
          </w:tcPr>
          <w:p w14:paraId="0317FF1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责令停产停业整顿，对煤矿处13万元以上17万元以下的罚款，对其直接负责的主管人员和其他直接责任人员处3万元以上4万元以下的罚款。</w:t>
            </w:r>
          </w:p>
        </w:tc>
      </w:tr>
      <w:tr w14:paraId="25E2F6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8F084B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color w:val="auto"/>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9680E5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FEE3A8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5F315A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199411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4CD6735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sz w:val="18"/>
                <w:szCs w:val="18"/>
              </w:rPr>
              <w:t>没有采取安全技术措施逾期未改正的，或者3处以上危险作业未安排专门人员进行现场安全管理，逾期未改正</w:t>
            </w:r>
            <w:r>
              <w:rPr>
                <w:rFonts w:hint="eastAsia" w:ascii="仿宋_GB2312" w:hAnsi="宋体" w:eastAsia="仿宋_GB2312" w:cs="仿宋_GB2312"/>
                <w:color w:val="auto"/>
                <w:spacing w:val="-6"/>
                <w:kern w:val="0"/>
                <w:sz w:val="18"/>
                <w:szCs w:val="18"/>
                <w:lang w:val="en-US" w:eastAsia="zh-CN" w:bidi="ar"/>
              </w:rPr>
              <w:t>1处以上</w:t>
            </w:r>
            <w:r>
              <w:rPr>
                <w:rFonts w:hint="eastAsia" w:ascii="仿宋_GB2312" w:hAnsi="宋体" w:eastAsia="仿宋_GB2312" w:cs="仿宋_GB2312"/>
                <w:color w:val="auto"/>
                <w:sz w:val="18"/>
                <w:szCs w:val="18"/>
              </w:rPr>
              <w:t>的。</w:t>
            </w:r>
          </w:p>
        </w:tc>
        <w:tc>
          <w:tcPr>
            <w:tcW w:w="2655" w:type="dxa"/>
            <w:tcBorders>
              <w:tl2br w:val="nil"/>
              <w:tr2bl w:val="nil"/>
            </w:tcBorders>
            <w:shd w:val="clear" w:color="auto" w:fill="auto"/>
            <w:tcMar>
              <w:top w:w="15" w:type="dxa"/>
              <w:left w:w="15" w:type="dxa"/>
              <w:right w:w="15" w:type="dxa"/>
            </w:tcMar>
            <w:vAlign w:val="center"/>
          </w:tcPr>
          <w:p w14:paraId="27854AA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责令停产停业整顿，对煤矿处17万元以上20万元以下的罚款，对其直接负责的主管人员和其他直接责任人员处4万元以上5万元以下的罚款。</w:t>
            </w:r>
          </w:p>
        </w:tc>
      </w:tr>
      <w:tr w14:paraId="52199A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5518D67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z w:val="18"/>
                <w:szCs w:val="18"/>
                <w:lang w:eastAsia="zh-CN"/>
              </w:rPr>
            </w:pPr>
            <w:r>
              <w:rPr>
                <w:rFonts w:hint="eastAsia" w:ascii="仿宋_GB2312" w:hAnsi="宋体" w:eastAsia="仿宋_GB2312" w:cs="仿宋_GB2312"/>
                <w:kern w:val="0"/>
                <w:sz w:val="18"/>
                <w:szCs w:val="18"/>
                <w:lang w:bidi="ar"/>
              </w:rPr>
              <w:t>11</w:t>
            </w:r>
            <w:del w:id="2500" w:author="LV" w:date="2026-07-14T16:50:49Z">
              <w:r>
                <w:rPr>
                  <w:rFonts w:hint="default" w:ascii="仿宋_GB2312" w:hAnsi="宋体" w:eastAsia="仿宋_GB2312" w:cs="仿宋_GB2312"/>
                  <w:kern w:val="0"/>
                  <w:sz w:val="18"/>
                  <w:szCs w:val="18"/>
                  <w:lang w:val="en-US" w:eastAsia="zh-CN" w:bidi="ar"/>
                </w:rPr>
                <w:delText>1</w:delText>
              </w:r>
            </w:del>
            <w:ins w:id="2501" w:author="LV" w:date="2026-07-14T16:50:49Z">
              <w:r>
                <w:rPr>
                  <w:rFonts w:hint="eastAsia" w:ascii="仿宋_GB2312" w:hAnsi="宋体" w:eastAsia="仿宋_GB2312" w:cs="仿宋_GB2312"/>
                  <w:kern w:val="0"/>
                  <w:sz w:val="18"/>
                  <w:szCs w:val="18"/>
                  <w:lang w:val="en-US" w:eastAsia="zh-CN" w:bidi="ar"/>
                </w:rPr>
                <w:t>8</w:t>
              </w:r>
            </w:ins>
          </w:p>
        </w:tc>
        <w:tc>
          <w:tcPr>
            <w:tcW w:w="1005" w:type="dxa"/>
            <w:vMerge w:val="restart"/>
            <w:tcBorders>
              <w:tl2br w:val="nil"/>
              <w:tr2bl w:val="nil"/>
            </w:tcBorders>
            <w:shd w:val="clear" w:color="auto" w:fill="auto"/>
            <w:tcMar>
              <w:top w:w="15" w:type="dxa"/>
              <w:left w:w="15" w:type="dxa"/>
              <w:right w:w="15" w:type="dxa"/>
            </w:tcMar>
            <w:vAlign w:val="center"/>
          </w:tcPr>
          <w:p w14:paraId="0BEDC88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煤矿将生产经营项目、场所、设备发包或者出租给不具备安全生产条件或者相应资质的单位或者个人的</w:t>
            </w:r>
          </w:p>
        </w:tc>
        <w:tc>
          <w:tcPr>
            <w:tcW w:w="3667" w:type="dxa"/>
            <w:vMerge w:val="restart"/>
            <w:tcBorders>
              <w:tl2br w:val="nil"/>
              <w:tr2bl w:val="nil"/>
            </w:tcBorders>
            <w:shd w:val="clear" w:color="auto" w:fill="auto"/>
            <w:tcMar>
              <w:top w:w="15" w:type="dxa"/>
              <w:left w:w="15" w:type="dxa"/>
              <w:right w:w="15" w:type="dxa"/>
            </w:tcMar>
            <w:vAlign w:val="center"/>
          </w:tcPr>
          <w:p w14:paraId="49D4134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《安全生产法》第四十九条第一款 生产经营单位不得将生产经营项目、场所、设备发包或者出租给不具备安全生产条件或者相应资质的单位或者个人。</w:t>
            </w:r>
          </w:p>
        </w:tc>
        <w:tc>
          <w:tcPr>
            <w:tcW w:w="4082" w:type="dxa"/>
            <w:vMerge w:val="restart"/>
            <w:tcBorders>
              <w:tl2br w:val="nil"/>
              <w:tr2bl w:val="nil"/>
            </w:tcBorders>
            <w:shd w:val="clear" w:color="auto" w:fill="auto"/>
            <w:tcMar>
              <w:top w:w="15" w:type="dxa"/>
              <w:left w:w="15" w:type="dxa"/>
              <w:right w:w="15" w:type="dxa"/>
            </w:tcMar>
            <w:vAlign w:val="center"/>
          </w:tcPr>
          <w:p w14:paraId="208D6F0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《安全生产法》第一百零三条第一款 生产经营单位将生产经营项目、场所、设备发包或者出租给不具备安全生产条件或者相应资质的单位或者个人的，责令限期改正，没收违法所得；违法所得十万元以上的，并处违法所得二倍以上五倍以下的罚款；没有违法所得或者违法所得不足十万元的，单处或者并处十万元以上二十万元以下的罚款；对其直接负责的主管人员和其他直接责任人员处一万元以上二万元以下的罚款。</w:t>
            </w:r>
          </w:p>
        </w:tc>
        <w:tc>
          <w:tcPr>
            <w:tcW w:w="459" w:type="dxa"/>
            <w:tcBorders>
              <w:tl2br w:val="nil"/>
              <w:tr2bl w:val="nil"/>
            </w:tcBorders>
            <w:shd w:val="clear" w:color="auto" w:fill="auto"/>
            <w:noWrap/>
            <w:tcMar>
              <w:top w:w="15" w:type="dxa"/>
              <w:left w:w="15" w:type="dxa"/>
              <w:right w:w="15" w:type="dxa"/>
            </w:tcMar>
            <w:vAlign w:val="center"/>
          </w:tcPr>
          <w:p w14:paraId="68224E2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0C13BC9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721830C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3B2B2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653E77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FBC667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DB71D9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2E4D8B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F35C06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3C9BC6E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09CCE2A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10840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28D68B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B87292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274C12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09E4B0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1DD4C5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1DC456C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F0FE0B6">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539B1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CFFBFE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FD4043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6165FB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03B904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6F8AE7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6CF1D91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没有违法所得或者违法所得不足十万元的。</w:t>
            </w:r>
          </w:p>
        </w:tc>
        <w:tc>
          <w:tcPr>
            <w:tcW w:w="2655" w:type="dxa"/>
            <w:tcBorders>
              <w:tl2br w:val="nil"/>
              <w:tr2bl w:val="nil"/>
            </w:tcBorders>
            <w:shd w:val="clear" w:color="auto" w:fill="auto"/>
            <w:tcMar>
              <w:top w:w="15" w:type="dxa"/>
              <w:left w:w="15" w:type="dxa"/>
              <w:right w:w="15" w:type="dxa"/>
            </w:tcMar>
            <w:vAlign w:val="center"/>
          </w:tcPr>
          <w:p w14:paraId="79C2BAA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没收违法所得（有违法所得），对煤矿单处或者并处10万元以上20万元以下的罚款；对其直接负责的主管人员和其他直接责任人员处1万元以上2万元以下的罚款。</w:t>
            </w:r>
          </w:p>
        </w:tc>
      </w:tr>
      <w:tr w14:paraId="12C6BE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AAC728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139517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3E1706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87FF2F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19A01F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1421A61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违法所得十万元以上一百万元以下的。</w:t>
            </w:r>
          </w:p>
        </w:tc>
        <w:tc>
          <w:tcPr>
            <w:tcW w:w="2655" w:type="dxa"/>
            <w:tcBorders>
              <w:tl2br w:val="nil"/>
              <w:tr2bl w:val="nil"/>
            </w:tcBorders>
            <w:shd w:val="clear" w:color="auto" w:fill="auto"/>
            <w:tcMar>
              <w:top w:w="15" w:type="dxa"/>
              <w:left w:w="15" w:type="dxa"/>
              <w:right w:w="15" w:type="dxa"/>
            </w:tcMar>
            <w:vAlign w:val="center"/>
          </w:tcPr>
          <w:p w14:paraId="22ECF33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没收违法所得，对煤矿并处违法所得2倍以上4倍以下的罚款；对其直接负责的主管人员和其他直接责任人员处1万元以上2万元以下的罚款。</w:t>
            </w:r>
          </w:p>
        </w:tc>
      </w:tr>
      <w:tr w14:paraId="16F499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3D66F9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89E5C3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60B7C8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18A221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8B6891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59333C2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违法所得一百万元以上的。</w:t>
            </w:r>
          </w:p>
        </w:tc>
        <w:tc>
          <w:tcPr>
            <w:tcW w:w="2655" w:type="dxa"/>
            <w:tcBorders>
              <w:tl2br w:val="nil"/>
              <w:tr2bl w:val="nil"/>
            </w:tcBorders>
            <w:shd w:val="clear" w:color="auto" w:fill="auto"/>
            <w:tcMar>
              <w:top w:w="15" w:type="dxa"/>
              <w:left w:w="15" w:type="dxa"/>
              <w:right w:w="15" w:type="dxa"/>
            </w:tcMar>
            <w:vAlign w:val="center"/>
          </w:tcPr>
          <w:p w14:paraId="0DCD52B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没收违法所得，对煤矿并处违法所得4倍以上5倍以下的罚款；对其直接负责的主管人员和其他直接责任人员处1万元以上2万元以下的罚款。</w:t>
            </w:r>
          </w:p>
        </w:tc>
      </w:tr>
      <w:tr w14:paraId="4F6C53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52B59AD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z w:val="18"/>
                <w:szCs w:val="18"/>
                <w:lang w:eastAsia="zh-CN"/>
              </w:rPr>
            </w:pPr>
            <w:r>
              <w:rPr>
                <w:rFonts w:hint="eastAsia" w:ascii="仿宋_GB2312" w:hAnsi="宋体" w:eastAsia="仿宋_GB2312" w:cs="仿宋_GB2312"/>
                <w:kern w:val="0"/>
                <w:sz w:val="18"/>
                <w:szCs w:val="18"/>
                <w:lang w:bidi="ar"/>
              </w:rPr>
              <w:t>11</w:t>
            </w:r>
            <w:del w:id="2502" w:author="LV" w:date="2026-07-14T16:50:54Z">
              <w:r>
                <w:rPr>
                  <w:rFonts w:hint="default" w:ascii="仿宋_GB2312" w:hAnsi="宋体" w:eastAsia="仿宋_GB2312" w:cs="仿宋_GB2312"/>
                  <w:kern w:val="0"/>
                  <w:sz w:val="18"/>
                  <w:szCs w:val="18"/>
                  <w:lang w:val="en-US" w:eastAsia="zh-CN" w:bidi="ar"/>
                </w:rPr>
                <w:delText>2</w:delText>
              </w:r>
            </w:del>
            <w:ins w:id="2503" w:author="LV" w:date="2026-07-14T16:50:54Z">
              <w:r>
                <w:rPr>
                  <w:rFonts w:hint="eastAsia" w:ascii="仿宋_GB2312" w:hAnsi="宋体" w:eastAsia="仿宋_GB2312" w:cs="仿宋_GB2312"/>
                  <w:kern w:val="0"/>
                  <w:sz w:val="18"/>
                  <w:szCs w:val="18"/>
                  <w:lang w:val="en-US" w:eastAsia="zh-CN" w:bidi="ar"/>
                </w:rPr>
                <w:t>9</w:t>
              </w:r>
            </w:ins>
          </w:p>
        </w:tc>
        <w:tc>
          <w:tcPr>
            <w:tcW w:w="1005" w:type="dxa"/>
            <w:vMerge w:val="restart"/>
            <w:tcBorders>
              <w:tl2br w:val="nil"/>
              <w:tr2bl w:val="nil"/>
            </w:tcBorders>
            <w:shd w:val="clear" w:color="auto" w:fill="auto"/>
            <w:tcMar>
              <w:top w:w="15" w:type="dxa"/>
              <w:left w:w="15" w:type="dxa"/>
              <w:right w:w="15" w:type="dxa"/>
            </w:tcMar>
            <w:vAlign w:val="center"/>
          </w:tcPr>
          <w:p w14:paraId="344296B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煤矿未与承包单位、承租单位签订专门的安全生产管理协议或者未在承包合同、租赁合同中明确各自的安全生产管理职责，或者未对承包单位、承租单位的安全生产统一协调、管理的</w:t>
            </w:r>
          </w:p>
        </w:tc>
        <w:tc>
          <w:tcPr>
            <w:tcW w:w="3667" w:type="dxa"/>
            <w:vMerge w:val="restart"/>
            <w:tcBorders>
              <w:tl2br w:val="nil"/>
              <w:tr2bl w:val="nil"/>
            </w:tcBorders>
            <w:shd w:val="clear" w:color="auto" w:fill="auto"/>
            <w:tcMar>
              <w:top w:w="15" w:type="dxa"/>
              <w:left w:w="15" w:type="dxa"/>
              <w:right w:w="15" w:type="dxa"/>
            </w:tcMar>
            <w:vAlign w:val="center"/>
          </w:tcPr>
          <w:p w14:paraId="4957EFD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《安全生产法》第四十九条第二款 生产经营项目、场所发包或者出租给其他单位的，生产经营单位应当与承包单位、承租单位签订专门的安全生产管理协议，或者在承包合同、租赁合同中约定各自的安全生产管理职责；生产经营单位对承包单位、承租单位的安全生产工作统一协调、管理，定期进行安全检查，发现安全问题的，应当及时督促整改。</w:t>
            </w:r>
          </w:p>
        </w:tc>
        <w:tc>
          <w:tcPr>
            <w:tcW w:w="4082" w:type="dxa"/>
            <w:vMerge w:val="restart"/>
            <w:tcBorders>
              <w:tl2br w:val="nil"/>
              <w:tr2bl w:val="nil"/>
            </w:tcBorders>
            <w:shd w:val="clear" w:color="auto" w:fill="auto"/>
            <w:tcMar>
              <w:top w:w="15" w:type="dxa"/>
              <w:left w:w="15" w:type="dxa"/>
              <w:right w:w="15" w:type="dxa"/>
            </w:tcMar>
            <w:vAlign w:val="center"/>
          </w:tcPr>
          <w:p w14:paraId="10AE18F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《安全生产法》第一百零三条第二款 生产经营单位未与承包单位、承租单位签订专门的安全生产管理协议或者未在承包合同、租赁合同中明确各自的安全生产管理职责，或者未对承包单位、承租单位的安全生产统一协调、管理的，责令限期改正，处五万元以下的罚款，对其直接负责的主管人员和其他直接责任人员处一万元以下的罚款；逾期未改正的，责令停产停业整顿。</w:t>
            </w:r>
          </w:p>
        </w:tc>
        <w:tc>
          <w:tcPr>
            <w:tcW w:w="459" w:type="dxa"/>
            <w:tcBorders>
              <w:tl2br w:val="nil"/>
              <w:tr2bl w:val="nil"/>
            </w:tcBorders>
            <w:shd w:val="clear" w:color="auto" w:fill="auto"/>
            <w:noWrap/>
            <w:tcMar>
              <w:top w:w="15" w:type="dxa"/>
              <w:left w:w="15" w:type="dxa"/>
              <w:right w:w="15" w:type="dxa"/>
            </w:tcMar>
            <w:vAlign w:val="center"/>
          </w:tcPr>
          <w:p w14:paraId="46C97EB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275D67A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253B43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DB32D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6E8AF7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2F4064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FB8769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004344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705EBF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0F55AB7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06F28BD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8082D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1776D0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52CCCB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62CD77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D012F1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E953FD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537D7C6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B2B6563">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C8986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1ADFD5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DD442B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0EF6A6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0340B4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59" w:type="dxa"/>
            <w:tcBorders>
              <w:tl2br w:val="nil"/>
              <w:tr2bl w:val="nil"/>
            </w:tcBorders>
            <w:shd w:val="clear" w:color="auto" w:fill="auto"/>
            <w:noWrap/>
            <w:tcMar>
              <w:top w:w="15" w:type="dxa"/>
              <w:left w:w="15" w:type="dxa"/>
              <w:right w:w="15" w:type="dxa"/>
            </w:tcMar>
            <w:vAlign w:val="center"/>
          </w:tcPr>
          <w:p w14:paraId="298C314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从轻处罚</w:t>
            </w:r>
          </w:p>
        </w:tc>
        <w:tc>
          <w:tcPr>
            <w:tcW w:w="1829" w:type="dxa"/>
            <w:tcBorders>
              <w:tl2br w:val="nil"/>
              <w:tr2bl w:val="nil"/>
            </w:tcBorders>
            <w:shd w:val="clear" w:color="auto" w:fill="auto"/>
            <w:tcMar>
              <w:top w:w="15" w:type="dxa"/>
              <w:left w:w="15" w:type="dxa"/>
              <w:right w:w="15" w:type="dxa"/>
            </w:tcMar>
            <w:vAlign w:val="center"/>
          </w:tcPr>
          <w:p w14:paraId="38F59AC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未在承包合同、租赁合同中明确各自的安全生产管理职责</w:t>
            </w:r>
            <w:r>
              <w:rPr>
                <w:rFonts w:hint="eastAsia" w:ascii="仿宋_GB2312" w:hAnsi="宋体" w:eastAsia="仿宋_GB2312" w:cs="仿宋_GB2312"/>
                <w:kern w:val="0"/>
                <w:sz w:val="18"/>
                <w:szCs w:val="18"/>
                <w:highlight w:val="none"/>
                <w:lang w:val="en-US" w:eastAsia="zh-CN" w:bidi="ar"/>
              </w:rPr>
              <w:t>的</w:t>
            </w:r>
            <w:r>
              <w:rPr>
                <w:rFonts w:hint="eastAsia" w:ascii="仿宋_GB2312" w:hAnsi="宋体" w:eastAsia="仿宋_GB2312" w:cs="仿宋_GB2312"/>
                <w:kern w:val="0"/>
                <w:sz w:val="18"/>
                <w:szCs w:val="18"/>
                <w:highlight w:val="none"/>
                <w:lang w:bidi="ar"/>
              </w:rPr>
              <w:t>。</w:t>
            </w:r>
          </w:p>
        </w:tc>
        <w:tc>
          <w:tcPr>
            <w:tcW w:w="2655" w:type="dxa"/>
            <w:tcBorders>
              <w:tl2br w:val="nil"/>
              <w:tr2bl w:val="nil"/>
            </w:tcBorders>
            <w:shd w:val="clear" w:color="auto" w:fill="auto"/>
            <w:tcMar>
              <w:top w:w="15" w:type="dxa"/>
              <w:left w:w="15" w:type="dxa"/>
              <w:right w:w="15" w:type="dxa"/>
            </w:tcMar>
            <w:vAlign w:val="center"/>
          </w:tcPr>
          <w:p w14:paraId="5D4BBBA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处1万元以上2万元以下的罚款，对其直接负责的主管人员和其他直接责任人员处</w:t>
            </w:r>
            <w:r>
              <w:rPr>
                <w:rFonts w:hint="eastAsia" w:ascii="仿宋_GB2312" w:hAnsi="宋体" w:eastAsia="仿宋_GB2312" w:cs="仿宋_GB2312"/>
                <w:kern w:val="0"/>
                <w:sz w:val="18"/>
                <w:szCs w:val="18"/>
                <w:lang w:val="en-US" w:eastAsia="zh-CN" w:bidi="ar"/>
              </w:rPr>
              <w:t>3000</w:t>
            </w:r>
            <w:r>
              <w:rPr>
                <w:rFonts w:hint="eastAsia" w:ascii="仿宋_GB2312" w:hAnsi="宋体" w:eastAsia="仿宋_GB2312" w:cs="仿宋_GB2312"/>
                <w:kern w:val="0"/>
                <w:sz w:val="18"/>
                <w:szCs w:val="18"/>
                <w:lang w:bidi="ar"/>
              </w:rPr>
              <w:t>元以下的罚款</w:t>
            </w:r>
            <w:r>
              <w:rPr>
                <w:rFonts w:ascii="仿宋_GB2312" w:hAnsi="宋体" w:eastAsia="仿宋_GB2312" w:cs="仿宋_GB2312"/>
                <w:kern w:val="0"/>
                <w:sz w:val="18"/>
                <w:szCs w:val="18"/>
                <w:lang w:bidi="ar"/>
              </w:rPr>
              <w:t>。</w:t>
            </w:r>
          </w:p>
        </w:tc>
      </w:tr>
      <w:tr w14:paraId="024629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322D6E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127300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63A7CD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A70A0C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61973C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796E856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未对承包单位、承租单位的安全生产统一协调、管理的。</w:t>
            </w:r>
          </w:p>
        </w:tc>
        <w:tc>
          <w:tcPr>
            <w:tcW w:w="2655" w:type="dxa"/>
            <w:tcBorders>
              <w:tl2br w:val="nil"/>
              <w:tr2bl w:val="nil"/>
            </w:tcBorders>
            <w:shd w:val="clear" w:color="auto" w:fill="auto"/>
            <w:tcMar>
              <w:top w:w="15" w:type="dxa"/>
              <w:left w:w="15" w:type="dxa"/>
              <w:right w:w="15" w:type="dxa"/>
            </w:tcMar>
            <w:vAlign w:val="center"/>
          </w:tcPr>
          <w:p w14:paraId="65824C4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pacing w:val="-6"/>
                <w:sz w:val="18"/>
                <w:szCs w:val="18"/>
              </w:rPr>
            </w:pPr>
            <w:r>
              <w:rPr>
                <w:rFonts w:hint="eastAsia" w:ascii="仿宋_GB2312" w:hAnsi="宋体" w:eastAsia="仿宋_GB2312" w:cs="仿宋_GB2312"/>
                <w:spacing w:val="-6"/>
                <w:kern w:val="0"/>
                <w:sz w:val="18"/>
                <w:szCs w:val="18"/>
                <w:lang w:bidi="ar"/>
              </w:rPr>
              <w:t>处2万元以上4万元以下的罚款，对其直接负责的主管人员和其他直接责任人员处</w:t>
            </w:r>
            <w:r>
              <w:rPr>
                <w:rFonts w:hint="eastAsia" w:ascii="仿宋_GB2312" w:hAnsi="宋体" w:eastAsia="仿宋_GB2312" w:cs="仿宋_GB2312"/>
                <w:spacing w:val="-6"/>
                <w:kern w:val="0"/>
                <w:sz w:val="18"/>
                <w:szCs w:val="18"/>
                <w:lang w:val="en-US" w:eastAsia="zh-CN" w:bidi="ar"/>
              </w:rPr>
              <w:t>3000</w:t>
            </w:r>
            <w:r>
              <w:rPr>
                <w:rFonts w:hint="eastAsia" w:ascii="仿宋_GB2312" w:hAnsi="宋体" w:eastAsia="仿宋_GB2312" w:cs="仿宋_GB2312"/>
                <w:spacing w:val="-6"/>
                <w:kern w:val="0"/>
                <w:sz w:val="18"/>
                <w:szCs w:val="18"/>
                <w:lang w:bidi="ar"/>
              </w:rPr>
              <w:t>元以上</w:t>
            </w:r>
            <w:r>
              <w:rPr>
                <w:rFonts w:hint="eastAsia" w:ascii="仿宋_GB2312" w:hAnsi="宋体" w:eastAsia="仿宋_GB2312" w:cs="仿宋_GB2312"/>
                <w:spacing w:val="-6"/>
                <w:kern w:val="0"/>
                <w:sz w:val="18"/>
                <w:szCs w:val="18"/>
                <w:lang w:val="en-US" w:eastAsia="zh-CN" w:bidi="ar"/>
              </w:rPr>
              <w:t>8000</w:t>
            </w:r>
            <w:r>
              <w:rPr>
                <w:rFonts w:hint="eastAsia" w:ascii="仿宋_GB2312" w:hAnsi="宋体" w:eastAsia="仿宋_GB2312" w:cs="仿宋_GB2312"/>
                <w:spacing w:val="-6"/>
                <w:kern w:val="0"/>
                <w:sz w:val="18"/>
                <w:szCs w:val="18"/>
                <w:lang w:bidi="ar"/>
              </w:rPr>
              <w:t>元以下的罚款。</w:t>
            </w:r>
          </w:p>
        </w:tc>
      </w:tr>
      <w:tr w14:paraId="75E176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64DF32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F20DD9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FD4300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8AF106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60526A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512D7B8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未与承包单位、承租单位签订专门的安全生产管理协议的。</w:t>
            </w:r>
          </w:p>
        </w:tc>
        <w:tc>
          <w:tcPr>
            <w:tcW w:w="2655" w:type="dxa"/>
            <w:tcBorders>
              <w:tl2br w:val="nil"/>
              <w:tr2bl w:val="nil"/>
            </w:tcBorders>
            <w:shd w:val="clear" w:color="auto" w:fill="auto"/>
            <w:tcMar>
              <w:top w:w="15" w:type="dxa"/>
              <w:left w:w="15" w:type="dxa"/>
              <w:right w:w="15" w:type="dxa"/>
            </w:tcMar>
            <w:vAlign w:val="center"/>
          </w:tcPr>
          <w:p w14:paraId="57A50D1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pacing w:val="-6"/>
                <w:sz w:val="18"/>
                <w:szCs w:val="18"/>
              </w:rPr>
            </w:pPr>
            <w:r>
              <w:rPr>
                <w:rFonts w:hint="eastAsia" w:ascii="仿宋_GB2312" w:hAnsi="宋体" w:eastAsia="仿宋_GB2312" w:cs="仿宋_GB2312"/>
                <w:spacing w:val="-6"/>
                <w:kern w:val="0"/>
                <w:sz w:val="18"/>
                <w:szCs w:val="18"/>
                <w:lang w:bidi="ar"/>
              </w:rPr>
              <w:t>处4万元以上5万元以下的罚款，对其直接负责的主管人员和其他直接责任人员处</w:t>
            </w:r>
            <w:r>
              <w:rPr>
                <w:rFonts w:hint="eastAsia" w:ascii="仿宋_GB2312" w:hAnsi="宋体" w:eastAsia="仿宋_GB2312" w:cs="仿宋_GB2312"/>
                <w:spacing w:val="-6"/>
                <w:kern w:val="0"/>
                <w:sz w:val="18"/>
                <w:szCs w:val="18"/>
                <w:lang w:val="en-US" w:eastAsia="zh-CN" w:bidi="ar"/>
              </w:rPr>
              <w:t>8000</w:t>
            </w:r>
            <w:r>
              <w:rPr>
                <w:rFonts w:hint="eastAsia" w:ascii="仿宋_GB2312" w:hAnsi="宋体" w:eastAsia="仿宋_GB2312" w:cs="仿宋_GB2312"/>
                <w:spacing w:val="-6"/>
                <w:kern w:val="0"/>
                <w:sz w:val="18"/>
                <w:szCs w:val="18"/>
                <w:lang w:bidi="ar"/>
              </w:rPr>
              <w:t>元以上1万元以下的罚款。</w:t>
            </w:r>
          </w:p>
        </w:tc>
      </w:tr>
      <w:tr w14:paraId="0A0B16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7F2A645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1</w:t>
            </w:r>
            <w:del w:id="2504" w:author="LV" w:date="2026-07-14T16:50:58Z">
              <w:r>
                <w:rPr>
                  <w:rFonts w:hint="default" w:ascii="仿宋_GB2312" w:hAnsi="宋体" w:eastAsia="仿宋_GB2312" w:cs="仿宋_GB2312"/>
                  <w:kern w:val="0"/>
                  <w:sz w:val="18"/>
                  <w:szCs w:val="18"/>
                  <w:lang w:val="en-US" w:bidi="ar"/>
                </w:rPr>
                <w:delText>1</w:delText>
              </w:r>
            </w:del>
            <w:del w:id="2505" w:author="LV" w:date="2026-07-14T16:50:58Z">
              <w:r>
                <w:rPr>
                  <w:rFonts w:hint="default" w:ascii="仿宋_GB2312" w:hAnsi="宋体" w:eastAsia="仿宋_GB2312" w:cs="仿宋_GB2312"/>
                  <w:kern w:val="0"/>
                  <w:sz w:val="18"/>
                  <w:szCs w:val="18"/>
                  <w:lang w:val="en-US" w:eastAsia="zh-CN" w:bidi="ar"/>
                </w:rPr>
                <w:delText>3</w:delText>
              </w:r>
            </w:del>
            <w:ins w:id="2506" w:author="LV" w:date="2026-07-14T16:50:58Z">
              <w:r>
                <w:rPr>
                  <w:rFonts w:hint="eastAsia" w:ascii="仿宋_GB2312" w:hAnsi="宋体" w:eastAsia="仿宋_GB2312" w:cs="仿宋_GB2312"/>
                  <w:kern w:val="0"/>
                  <w:sz w:val="18"/>
                  <w:szCs w:val="18"/>
                  <w:lang w:val="en-US" w:eastAsia="zh-CN" w:bidi="ar"/>
                </w:rPr>
                <w:t>20</w:t>
              </w:r>
            </w:ins>
          </w:p>
        </w:tc>
        <w:tc>
          <w:tcPr>
            <w:tcW w:w="1005" w:type="dxa"/>
            <w:vMerge w:val="restart"/>
            <w:tcBorders>
              <w:tl2br w:val="nil"/>
              <w:tr2bl w:val="nil"/>
            </w:tcBorders>
            <w:shd w:val="clear" w:color="auto" w:fill="auto"/>
            <w:tcMar>
              <w:top w:w="15" w:type="dxa"/>
              <w:left w:w="15" w:type="dxa"/>
              <w:right w:w="15" w:type="dxa"/>
            </w:tcMar>
            <w:vAlign w:val="center"/>
          </w:tcPr>
          <w:p w14:paraId="1360EA0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煤矿未与承包单位、承租单位签订专门的安全生产管理协议或者未在承包合同、租赁合同中明确各自的安全生产管理职责，或者未对承包单位、承租单位的安全生产统一协调、管理，逾期未改正的</w:t>
            </w:r>
          </w:p>
        </w:tc>
        <w:tc>
          <w:tcPr>
            <w:tcW w:w="3667" w:type="dxa"/>
            <w:vMerge w:val="restart"/>
            <w:tcBorders>
              <w:tl2br w:val="nil"/>
              <w:tr2bl w:val="nil"/>
            </w:tcBorders>
            <w:shd w:val="clear" w:color="auto" w:fill="auto"/>
            <w:tcMar>
              <w:top w:w="15" w:type="dxa"/>
              <w:left w:w="15" w:type="dxa"/>
              <w:right w:w="15" w:type="dxa"/>
            </w:tcMar>
            <w:vAlign w:val="center"/>
          </w:tcPr>
          <w:p w14:paraId="36C0556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color w:val="auto"/>
                <w:kern w:val="0"/>
                <w:sz w:val="18"/>
                <w:szCs w:val="18"/>
                <w:lang w:bidi="ar"/>
              </w:rPr>
              <w:t>《安全生产法》第四十九条第二款 生产经营项目、场所发包或者出租给其他单位的，生产经营单位应当与承包单位、承租单位签订专门的安全生产管理协议，或者在承包合同、租赁合同中约定各自的安全生产管理职责；生产经营单位对承包单位、承租单位的安全生产工作统一协调、管理，定期进行安全检查，发现安全问题的，应当及时督促整改。</w:t>
            </w:r>
          </w:p>
        </w:tc>
        <w:tc>
          <w:tcPr>
            <w:tcW w:w="4082" w:type="dxa"/>
            <w:vMerge w:val="restart"/>
            <w:tcBorders>
              <w:tl2br w:val="nil"/>
              <w:tr2bl w:val="nil"/>
            </w:tcBorders>
            <w:shd w:val="clear" w:color="auto" w:fill="auto"/>
            <w:tcMar>
              <w:top w:w="15" w:type="dxa"/>
              <w:left w:w="15" w:type="dxa"/>
              <w:right w:w="15" w:type="dxa"/>
            </w:tcMar>
            <w:vAlign w:val="center"/>
          </w:tcPr>
          <w:p w14:paraId="7FBDEEC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《安全生产法》第一百零三条第二款 生产经营单位未与承包单位、承租单位签订专门的安全生产管理协议或者未在承包合同、租赁合同中明确各自的安全生产管理职责，或者未对承包单位、承租单位的安全生产统一协调、管理的，责令限期改正，处五万元以下的罚款，对其直接负责的主管人员和其他直接责任人员处一万元以下的罚款；逾期未改正的，责令停产停业整顿。</w:t>
            </w:r>
          </w:p>
        </w:tc>
        <w:tc>
          <w:tcPr>
            <w:tcW w:w="459" w:type="dxa"/>
            <w:tcBorders>
              <w:tl2br w:val="nil"/>
              <w:tr2bl w:val="nil"/>
            </w:tcBorders>
            <w:shd w:val="clear" w:color="auto" w:fill="auto"/>
            <w:noWrap/>
            <w:tcMar>
              <w:top w:w="15" w:type="dxa"/>
              <w:left w:w="15" w:type="dxa"/>
              <w:right w:w="15" w:type="dxa"/>
            </w:tcMar>
            <w:vAlign w:val="center"/>
          </w:tcPr>
          <w:p w14:paraId="7B3DE5F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3572ED6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6DF5214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6C3F3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23A438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77B00A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542169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C34E6E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104C49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7BF841D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505738D6">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BB8E6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4A0672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15701F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2A9105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1CF974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EB9B73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60AFEF9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C33663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969D1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CC97A3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6CF470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6AB64C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D38E38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972386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757F1344">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c>
          <w:tcPr>
            <w:tcW w:w="2655" w:type="dxa"/>
            <w:tcBorders>
              <w:tl2br w:val="nil"/>
              <w:tr2bl w:val="nil"/>
            </w:tcBorders>
            <w:shd w:val="clear" w:color="auto" w:fill="auto"/>
            <w:tcMar>
              <w:top w:w="15" w:type="dxa"/>
              <w:left w:w="15" w:type="dxa"/>
              <w:right w:w="15" w:type="dxa"/>
            </w:tcMar>
            <w:vAlign w:val="center"/>
          </w:tcPr>
          <w:p w14:paraId="74579B3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50CF9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2507" w:author="LV" w:date="2026-07-23T14:26:19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wBefore w:w="0" w:type="auto"/>
          <w:wAfter w:w="0" w:type="auto"/>
          <w:trHeight w:val="3905" w:hRule="atLeast"/>
          <w:jc w:val="center"/>
          <w:trPrChange w:id="2507" w:author="LV" w:date="2026-07-23T14:26:19Z">
            <w:trPr>
              <w:gridBefore w:val="1"/>
              <w:gridAfter w:val="1"/>
              <w:wBefore w:w="15" w:type="dxa"/>
              <w:wAfter w:w="60" w:type="dxa"/>
              <w:trHeight w:val="4175" w:hRule="atLeast"/>
              <w:jc w:val="center"/>
            </w:trPr>
          </w:trPrChange>
        </w:trPr>
        <w:tc>
          <w:tcPr>
            <w:tcW w:w="418" w:type="dxa"/>
            <w:vMerge w:val="continue"/>
            <w:tcBorders>
              <w:tl2br w:val="nil"/>
              <w:tr2bl w:val="nil"/>
            </w:tcBorders>
            <w:shd w:val="clear" w:color="auto" w:fill="auto"/>
            <w:noWrap/>
            <w:tcMar>
              <w:top w:w="15" w:type="dxa"/>
              <w:left w:w="15" w:type="dxa"/>
              <w:right w:w="15" w:type="dxa"/>
            </w:tcMar>
            <w:vAlign w:val="center"/>
            <w:tcPrChange w:id="2508" w:author="LV" w:date="2026-07-23T14:26:19Z">
              <w:tcPr>
                <w:tcW w:w="418" w:type="dxa"/>
                <w:gridSpan w:val="3"/>
                <w:vMerge w:val="continue"/>
                <w:tcBorders>
                  <w:tl2br w:val="nil"/>
                  <w:tr2bl w:val="nil"/>
                </w:tcBorders>
                <w:shd w:val="clear" w:color="auto" w:fill="auto"/>
                <w:noWrap/>
                <w:tcMar>
                  <w:top w:w="15" w:type="dxa"/>
                  <w:left w:w="15" w:type="dxa"/>
                  <w:right w:w="15" w:type="dxa"/>
                </w:tcMar>
                <w:vAlign w:val="center"/>
              </w:tcPr>
            </w:tcPrChange>
          </w:tcPr>
          <w:p w14:paraId="3449D0B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Change w:id="2509" w:author="LV" w:date="2026-07-23T14:26:19Z">
              <w:tcPr>
                <w:tcW w:w="1005" w:type="dxa"/>
                <w:gridSpan w:val="3"/>
                <w:vMerge w:val="continue"/>
                <w:tcBorders>
                  <w:tl2br w:val="nil"/>
                  <w:tr2bl w:val="nil"/>
                </w:tcBorders>
                <w:shd w:val="clear" w:color="auto" w:fill="auto"/>
                <w:tcMar>
                  <w:top w:w="15" w:type="dxa"/>
                  <w:left w:w="15" w:type="dxa"/>
                  <w:right w:w="15" w:type="dxa"/>
                </w:tcMar>
                <w:vAlign w:val="center"/>
              </w:tcPr>
            </w:tcPrChange>
          </w:tcPr>
          <w:p w14:paraId="4EFEA49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Change w:id="2510" w:author="LV" w:date="2026-07-23T14:26:19Z">
              <w:tcPr>
                <w:tcW w:w="3667" w:type="dxa"/>
                <w:gridSpan w:val="3"/>
                <w:vMerge w:val="continue"/>
                <w:tcBorders>
                  <w:tl2br w:val="nil"/>
                  <w:tr2bl w:val="nil"/>
                </w:tcBorders>
                <w:shd w:val="clear" w:color="auto" w:fill="auto"/>
                <w:tcMar>
                  <w:top w:w="15" w:type="dxa"/>
                  <w:left w:w="15" w:type="dxa"/>
                  <w:right w:w="15" w:type="dxa"/>
                </w:tcMar>
                <w:vAlign w:val="center"/>
              </w:tcPr>
            </w:tcPrChange>
          </w:tcPr>
          <w:p w14:paraId="5FA7D5F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Change w:id="2511" w:author="LV" w:date="2026-07-23T14:26:19Z">
              <w:tcPr>
                <w:tcW w:w="4082" w:type="dxa"/>
                <w:gridSpan w:val="3"/>
                <w:vMerge w:val="continue"/>
                <w:tcBorders>
                  <w:tl2br w:val="nil"/>
                  <w:tr2bl w:val="nil"/>
                </w:tcBorders>
                <w:shd w:val="clear" w:color="auto" w:fill="auto"/>
                <w:tcMar>
                  <w:top w:w="15" w:type="dxa"/>
                  <w:left w:w="15" w:type="dxa"/>
                  <w:right w:w="15" w:type="dxa"/>
                </w:tcMar>
                <w:vAlign w:val="center"/>
              </w:tcPr>
            </w:tcPrChange>
          </w:tcPr>
          <w:p w14:paraId="5E0E88F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Change w:id="2512" w:author="LV" w:date="2026-07-23T14:26:19Z">
              <w:tcPr>
                <w:tcW w:w="459" w:type="dxa"/>
                <w:gridSpan w:val="3"/>
                <w:tcBorders>
                  <w:tl2br w:val="nil"/>
                  <w:tr2bl w:val="nil"/>
                </w:tcBorders>
                <w:shd w:val="clear" w:color="auto" w:fill="auto"/>
                <w:noWrap/>
                <w:tcMar>
                  <w:top w:w="15" w:type="dxa"/>
                  <w:left w:w="15" w:type="dxa"/>
                  <w:right w:w="15" w:type="dxa"/>
                </w:tcMar>
                <w:vAlign w:val="center"/>
              </w:tcPr>
            </w:tcPrChange>
          </w:tcPr>
          <w:p w14:paraId="54924A9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Change w:id="2513" w:author="LV" w:date="2026-07-23T14:26:19Z">
              <w:tcPr>
                <w:tcW w:w="1829" w:type="dxa"/>
                <w:gridSpan w:val="3"/>
                <w:tcBorders>
                  <w:tl2br w:val="nil"/>
                  <w:tr2bl w:val="nil"/>
                </w:tcBorders>
                <w:shd w:val="clear" w:color="auto" w:fill="auto"/>
                <w:tcMar>
                  <w:top w:w="15" w:type="dxa"/>
                  <w:left w:w="15" w:type="dxa"/>
                  <w:right w:w="15" w:type="dxa"/>
                </w:tcMar>
                <w:vAlign w:val="center"/>
              </w:tcPr>
            </w:tcPrChange>
          </w:tcPr>
          <w:p w14:paraId="47F2AA0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未与承包单位、承租单位签订专门的安全生产管理协议或者未在承包合同、租赁合同中明确各自的安全生产管理职责，或者未对承包单位、承租单位的安全生产统一协调、管理的，逾期未改正的。</w:t>
            </w:r>
          </w:p>
        </w:tc>
        <w:tc>
          <w:tcPr>
            <w:tcW w:w="2655" w:type="dxa"/>
            <w:tcBorders>
              <w:tl2br w:val="nil"/>
              <w:tr2bl w:val="nil"/>
            </w:tcBorders>
            <w:shd w:val="clear" w:color="auto" w:fill="auto"/>
            <w:tcMar>
              <w:top w:w="15" w:type="dxa"/>
              <w:left w:w="15" w:type="dxa"/>
              <w:right w:w="15" w:type="dxa"/>
            </w:tcMar>
            <w:vAlign w:val="center"/>
            <w:tcPrChange w:id="2514" w:author="LV" w:date="2026-07-23T14:26:19Z">
              <w:tcPr>
                <w:tcW w:w="2655" w:type="dxa"/>
                <w:gridSpan w:val="3"/>
                <w:tcBorders>
                  <w:tl2br w:val="nil"/>
                  <w:tr2bl w:val="nil"/>
                </w:tcBorders>
                <w:shd w:val="clear" w:color="auto" w:fill="auto"/>
                <w:tcMar>
                  <w:top w:w="15" w:type="dxa"/>
                  <w:left w:w="15" w:type="dxa"/>
                  <w:right w:w="15" w:type="dxa"/>
                </w:tcMar>
                <w:vAlign w:val="center"/>
              </w:tcPr>
            </w:tcPrChange>
          </w:tcPr>
          <w:p w14:paraId="04D55EA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w:t>
            </w:r>
          </w:p>
        </w:tc>
      </w:tr>
      <w:tr w14:paraId="047A1C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9"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06D1BF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1C6B10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62D17D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ED4792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9EA49E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73F2558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c>
          <w:tcPr>
            <w:tcW w:w="2655" w:type="dxa"/>
            <w:tcBorders>
              <w:tl2br w:val="nil"/>
              <w:tr2bl w:val="nil"/>
            </w:tcBorders>
            <w:shd w:val="clear" w:color="auto" w:fill="auto"/>
            <w:tcMar>
              <w:top w:w="15" w:type="dxa"/>
              <w:left w:w="15" w:type="dxa"/>
              <w:right w:w="15" w:type="dxa"/>
            </w:tcMar>
            <w:vAlign w:val="center"/>
          </w:tcPr>
          <w:p w14:paraId="3AF29D6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31340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7458492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1</w:t>
            </w:r>
            <w:del w:id="2515" w:author="LV" w:date="2026-07-14T16:51:04Z">
              <w:r>
                <w:rPr>
                  <w:rFonts w:hint="default" w:ascii="仿宋_GB2312" w:hAnsi="宋体" w:eastAsia="仿宋_GB2312" w:cs="仿宋_GB2312"/>
                  <w:kern w:val="0"/>
                  <w:sz w:val="18"/>
                  <w:szCs w:val="18"/>
                  <w:lang w:val="en-US" w:bidi="ar"/>
                </w:rPr>
                <w:delText>1</w:delText>
              </w:r>
            </w:del>
            <w:del w:id="2516" w:author="LV" w:date="2026-07-14T16:51:04Z">
              <w:r>
                <w:rPr>
                  <w:rFonts w:hint="default" w:ascii="仿宋_GB2312" w:hAnsi="宋体" w:eastAsia="仿宋_GB2312" w:cs="仿宋_GB2312"/>
                  <w:kern w:val="0"/>
                  <w:sz w:val="18"/>
                  <w:szCs w:val="18"/>
                  <w:lang w:val="en-US" w:eastAsia="zh-CN" w:bidi="ar"/>
                </w:rPr>
                <w:delText>4</w:delText>
              </w:r>
            </w:del>
            <w:ins w:id="2517" w:author="LV" w:date="2026-07-14T16:51:04Z">
              <w:r>
                <w:rPr>
                  <w:rFonts w:hint="eastAsia" w:ascii="仿宋_GB2312" w:hAnsi="宋体" w:eastAsia="仿宋_GB2312" w:cs="仿宋_GB2312"/>
                  <w:kern w:val="0"/>
                  <w:sz w:val="18"/>
                  <w:szCs w:val="18"/>
                  <w:lang w:val="en-US" w:eastAsia="zh-CN" w:bidi="ar"/>
                </w:rPr>
                <w:t>21</w:t>
              </w:r>
            </w:ins>
          </w:p>
        </w:tc>
        <w:tc>
          <w:tcPr>
            <w:tcW w:w="1005" w:type="dxa"/>
            <w:vMerge w:val="restart"/>
            <w:tcBorders>
              <w:tl2br w:val="nil"/>
              <w:tr2bl w:val="nil"/>
            </w:tcBorders>
            <w:shd w:val="clear" w:color="auto" w:fill="auto"/>
            <w:tcMar>
              <w:top w:w="15" w:type="dxa"/>
              <w:left w:w="15" w:type="dxa"/>
              <w:right w:w="15" w:type="dxa"/>
            </w:tcMar>
            <w:vAlign w:val="center"/>
          </w:tcPr>
          <w:p w14:paraId="1885C2B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两个以上生产经营单位在同一作业区域内进行可能危及对方安全生产的生产经营活动，未签订安全生产管理协议或者未指定专职安全生产管理人员进行安全检查与协调的</w:t>
            </w:r>
          </w:p>
        </w:tc>
        <w:tc>
          <w:tcPr>
            <w:tcW w:w="3667" w:type="dxa"/>
            <w:vMerge w:val="restart"/>
            <w:tcBorders>
              <w:tl2br w:val="nil"/>
              <w:tr2bl w:val="nil"/>
            </w:tcBorders>
            <w:shd w:val="clear" w:color="auto" w:fill="auto"/>
            <w:tcMar>
              <w:top w:w="15" w:type="dxa"/>
              <w:left w:w="15" w:type="dxa"/>
              <w:right w:w="15" w:type="dxa"/>
            </w:tcMar>
            <w:vAlign w:val="center"/>
          </w:tcPr>
          <w:p w14:paraId="0315DB9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《安全生产法》第四十八条 两个以上生产经营单位在同一作业区域内进行生产经营活动，可能危及对方生产安全的，应当签订安全生产管理协议，明确各自的安全生产管理职责和应当采取的安全措施，并指定专职安全生产管理人员进行安全检查与协调。</w:t>
            </w:r>
          </w:p>
        </w:tc>
        <w:tc>
          <w:tcPr>
            <w:tcW w:w="4082" w:type="dxa"/>
            <w:vMerge w:val="restart"/>
            <w:tcBorders>
              <w:tl2br w:val="nil"/>
              <w:tr2bl w:val="nil"/>
            </w:tcBorders>
            <w:shd w:val="clear" w:color="auto" w:fill="auto"/>
            <w:tcMar>
              <w:top w:w="15" w:type="dxa"/>
              <w:left w:w="15" w:type="dxa"/>
              <w:right w:w="15" w:type="dxa"/>
            </w:tcMar>
            <w:vAlign w:val="center"/>
          </w:tcPr>
          <w:p w14:paraId="14E1AC0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《安全生产法》第一百零四条 两个以上生产经营单位在同一作业区域内进行可能危及对方安全生产的生产经营活动，未签订安全生产管理协议或者未指定专职安全生产管理人员进行安全检查与协调的，责令限期改正，处五万元以下的罚款，对其直接负责的主管人员和其他直接责任人员处一万元以下的罚款；逾期未改正的，责令停产停业。</w:t>
            </w:r>
          </w:p>
        </w:tc>
        <w:tc>
          <w:tcPr>
            <w:tcW w:w="459" w:type="dxa"/>
            <w:tcBorders>
              <w:tl2br w:val="nil"/>
              <w:tr2bl w:val="nil"/>
            </w:tcBorders>
            <w:shd w:val="clear" w:color="auto" w:fill="auto"/>
            <w:noWrap/>
            <w:tcMar>
              <w:top w:w="15" w:type="dxa"/>
              <w:left w:w="15" w:type="dxa"/>
              <w:right w:w="15" w:type="dxa"/>
            </w:tcMar>
            <w:vAlign w:val="center"/>
          </w:tcPr>
          <w:p w14:paraId="4D16562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173627A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4EDB3B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3DD87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BAD831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CC45AA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F44410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77C559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9808E8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53DAEC9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25391E8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D1B15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DCDADF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A3E0D4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4E7400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CDA4CC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AF4358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2B5A2E2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71EB101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178EB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9439B9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4180E7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B7F014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E1751A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0C8AC5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1E1D680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未签订安全生产管理协议的。</w:t>
            </w:r>
          </w:p>
        </w:tc>
        <w:tc>
          <w:tcPr>
            <w:tcW w:w="2655" w:type="dxa"/>
            <w:tcBorders>
              <w:tl2br w:val="nil"/>
              <w:tr2bl w:val="nil"/>
            </w:tcBorders>
            <w:shd w:val="clear" w:color="auto" w:fill="auto"/>
            <w:tcMar>
              <w:top w:w="15" w:type="dxa"/>
              <w:left w:w="15" w:type="dxa"/>
              <w:right w:w="15" w:type="dxa"/>
            </w:tcMar>
            <w:vAlign w:val="center"/>
          </w:tcPr>
          <w:p w14:paraId="00BD121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处1万元以上2万元以下的罚款，对其直接负责的主管人员和其他直接责任人员处</w:t>
            </w:r>
            <w:r>
              <w:rPr>
                <w:rFonts w:hint="eastAsia" w:ascii="仿宋_GB2312" w:hAnsi="宋体" w:eastAsia="仿宋_GB2312" w:cs="仿宋_GB2312"/>
                <w:kern w:val="0"/>
                <w:sz w:val="18"/>
                <w:szCs w:val="18"/>
                <w:highlight w:val="none"/>
                <w:lang w:val="en-US" w:eastAsia="zh-CN" w:bidi="ar"/>
              </w:rPr>
              <w:t>3000</w:t>
            </w:r>
            <w:r>
              <w:rPr>
                <w:rFonts w:hint="eastAsia" w:ascii="仿宋_GB2312" w:hAnsi="宋体" w:eastAsia="仿宋_GB2312" w:cs="仿宋_GB2312"/>
                <w:kern w:val="0"/>
                <w:sz w:val="18"/>
                <w:szCs w:val="18"/>
                <w:highlight w:val="none"/>
                <w:lang w:bidi="ar"/>
              </w:rPr>
              <w:t>元以下的罚款</w:t>
            </w:r>
            <w:r>
              <w:rPr>
                <w:rFonts w:ascii="仿宋_GB2312" w:hAnsi="宋体" w:eastAsia="仿宋_GB2312" w:cs="仿宋_GB2312"/>
                <w:kern w:val="0"/>
                <w:sz w:val="18"/>
                <w:szCs w:val="18"/>
                <w:highlight w:val="none"/>
                <w:lang w:bidi="ar"/>
              </w:rPr>
              <w:t>。</w:t>
            </w:r>
          </w:p>
        </w:tc>
      </w:tr>
      <w:tr w14:paraId="7DE4AB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C00430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91CD2F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E637BB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BFCCB9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64F737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4EA057B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未指定专职安全生产管理人员进行安全检查与协调的。</w:t>
            </w:r>
          </w:p>
        </w:tc>
        <w:tc>
          <w:tcPr>
            <w:tcW w:w="2655" w:type="dxa"/>
            <w:tcBorders>
              <w:tl2br w:val="nil"/>
              <w:tr2bl w:val="nil"/>
            </w:tcBorders>
            <w:shd w:val="clear" w:color="auto" w:fill="auto"/>
            <w:tcMar>
              <w:top w:w="15" w:type="dxa"/>
              <w:left w:w="15" w:type="dxa"/>
              <w:right w:w="15" w:type="dxa"/>
            </w:tcMar>
            <w:vAlign w:val="center"/>
          </w:tcPr>
          <w:p w14:paraId="15DA997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处2万元以上4万元以下的罚款，对其直接负责的主管人员和其他直接责任人员处</w:t>
            </w:r>
            <w:r>
              <w:rPr>
                <w:rFonts w:hint="eastAsia" w:ascii="仿宋_GB2312" w:hAnsi="宋体" w:eastAsia="仿宋_GB2312" w:cs="仿宋_GB2312"/>
                <w:kern w:val="0"/>
                <w:sz w:val="18"/>
                <w:szCs w:val="18"/>
                <w:highlight w:val="none"/>
                <w:lang w:val="en-US" w:eastAsia="zh-CN" w:bidi="ar"/>
              </w:rPr>
              <w:t>3000</w:t>
            </w:r>
            <w:r>
              <w:rPr>
                <w:rFonts w:hint="eastAsia" w:ascii="仿宋_GB2312" w:hAnsi="宋体" w:eastAsia="仿宋_GB2312" w:cs="仿宋_GB2312"/>
                <w:kern w:val="0"/>
                <w:sz w:val="18"/>
                <w:szCs w:val="18"/>
                <w:highlight w:val="none"/>
                <w:lang w:bidi="ar"/>
              </w:rPr>
              <w:t>元以上</w:t>
            </w:r>
            <w:r>
              <w:rPr>
                <w:rFonts w:hint="eastAsia" w:ascii="仿宋_GB2312" w:hAnsi="宋体" w:eastAsia="仿宋_GB2312" w:cs="仿宋_GB2312"/>
                <w:kern w:val="0"/>
                <w:sz w:val="18"/>
                <w:szCs w:val="18"/>
                <w:highlight w:val="none"/>
                <w:lang w:val="en-US" w:eastAsia="zh-CN" w:bidi="ar"/>
              </w:rPr>
              <w:t>8000</w:t>
            </w:r>
            <w:r>
              <w:rPr>
                <w:rFonts w:hint="eastAsia" w:ascii="仿宋_GB2312" w:hAnsi="宋体" w:eastAsia="仿宋_GB2312" w:cs="仿宋_GB2312"/>
                <w:kern w:val="0"/>
                <w:sz w:val="18"/>
                <w:szCs w:val="18"/>
                <w:highlight w:val="none"/>
                <w:lang w:bidi="ar"/>
              </w:rPr>
              <w:t>元以下的罚款</w:t>
            </w:r>
            <w:r>
              <w:rPr>
                <w:rFonts w:ascii="仿宋_GB2312" w:hAnsi="宋体" w:eastAsia="仿宋_GB2312" w:cs="仿宋_GB2312"/>
                <w:kern w:val="0"/>
                <w:sz w:val="18"/>
                <w:szCs w:val="18"/>
                <w:highlight w:val="none"/>
                <w:lang w:bidi="ar"/>
              </w:rPr>
              <w:t>。</w:t>
            </w:r>
          </w:p>
        </w:tc>
      </w:tr>
      <w:tr w14:paraId="685AFA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DB7D00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C935E7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ACEE29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913B1A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C71B26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3B2A0E9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既未签订安全生产管理协议又未指定专职安全生产管理人员进行安全检查与协调的。</w:t>
            </w:r>
          </w:p>
        </w:tc>
        <w:tc>
          <w:tcPr>
            <w:tcW w:w="2655" w:type="dxa"/>
            <w:tcBorders>
              <w:tl2br w:val="nil"/>
              <w:tr2bl w:val="nil"/>
            </w:tcBorders>
            <w:shd w:val="clear" w:color="auto" w:fill="auto"/>
            <w:tcMar>
              <w:top w:w="15" w:type="dxa"/>
              <w:left w:w="15" w:type="dxa"/>
              <w:right w:w="15" w:type="dxa"/>
            </w:tcMar>
            <w:vAlign w:val="center"/>
          </w:tcPr>
          <w:p w14:paraId="6DEB361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处4万元以上5万元以下的罚款，对其直接负责的主管人员和其他直接责任人员处</w:t>
            </w:r>
            <w:r>
              <w:rPr>
                <w:rFonts w:hint="eastAsia" w:ascii="仿宋_GB2312" w:hAnsi="宋体" w:eastAsia="仿宋_GB2312" w:cs="仿宋_GB2312"/>
                <w:kern w:val="0"/>
                <w:sz w:val="18"/>
                <w:szCs w:val="18"/>
                <w:highlight w:val="none"/>
                <w:lang w:val="en-US" w:eastAsia="zh-CN" w:bidi="ar"/>
              </w:rPr>
              <w:t>8000</w:t>
            </w:r>
            <w:r>
              <w:rPr>
                <w:rFonts w:hint="eastAsia" w:ascii="仿宋_GB2312" w:hAnsi="宋体" w:eastAsia="仿宋_GB2312" w:cs="仿宋_GB2312"/>
                <w:kern w:val="0"/>
                <w:sz w:val="18"/>
                <w:szCs w:val="18"/>
                <w:highlight w:val="none"/>
                <w:lang w:bidi="ar"/>
              </w:rPr>
              <w:t>元以上1万元以下的罚款。</w:t>
            </w:r>
          </w:p>
        </w:tc>
      </w:tr>
      <w:tr w14:paraId="4CB5C7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0768A73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1</w:t>
            </w:r>
            <w:del w:id="2518" w:author="LV" w:date="2026-07-14T16:51:11Z">
              <w:r>
                <w:rPr>
                  <w:rFonts w:hint="default" w:ascii="仿宋_GB2312" w:hAnsi="宋体" w:eastAsia="仿宋_GB2312" w:cs="仿宋_GB2312"/>
                  <w:kern w:val="0"/>
                  <w:sz w:val="18"/>
                  <w:szCs w:val="18"/>
                  <w:lang w:val="en-US" w:bidi="ar"/>
                </w:rPr>
                <w:delText>1</w:delText>
              </w:r>
            </w:del>
            <w:del w:id="2519" w:author="LV" w:date="2026-07-14T16:51:11Z">
              <w:r>
                <w:rPr>
                  <w:rFonts w:hint="default" w:ascii="仿宋_GB2312" w:hAnsi="宋体" w:eastAsia="仿宋_GB2312" w:cs="仿宋_GB2312"/>
                  <w:kern w:val="0"/>
                  <w:sz w:val="18"/>
                  <w:szCs w:val="18"/>
                  <w:lang w:val="en-US" w:eastAsia="zh-CN" w:bidi="ar"/>
                </w:rPr>
                <w:delText>5</w:delText>
              </w:r>
            </w:del>
            <w:ins w:id="2520" w:author="LV" w:date="2026-07-14T16:51:11Z">
              <w:r>
                <w:rPr>
                  <w:rFonts w:hint="eastAsia" w:ascii="仿宋_GB2312" w:hAnsi="宋体" w:eastAsia="仿宋_GB2312" w:cs="仿宋_GB2312"/>
                  <w:kern w:val="0"/>
                  <w:sz w:val="18"/>
                  <w:szCs w:val="18"/>
                  <w:lang w:val="en-US" w:eastAsia="zh-CN" w:bidi="ar"/>
                </w:rPr>
                <w:t>22</w:t>
              </w:r>
            </w:ins>
          </w:p>
        </w:tc>
        <w:tc>
          <w:tcPr>
            <w:tcW w:w="1005" w:type="dxa"/>
            <w:vMerge w:val="restart"/>
            <w:tcBorders>
              <w:tl2br w:val="nil"/>
              <w:tr2bl w:val="nil"/>
            </w:tcBorders>
            <w:shd w:val="clear" w:color="auto" w:fill="auto"/>
            <w:tcMar>
              <w:top w:w="15" w:type="dxa"/>
              <w:left w:w="15" w:type="dxa"/>
              <w:right w:w="15" w:type="dxa"/>
            </w:tcMar>
            <w:vAlign w:val="center"/>
          </w:tcPr>
          <w:p w14:paraId="2469293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两个以上生产经单位在同一作业区域内进行可能危及对方安全生产的生产经营活动，未签订安全生产管理协议或者未指定专职安全生产管理人员进行安全检查与协调，逾期未改正的</w:t>
            </w:r>
          </w:p>
        </w:tc>
        <w:tc>
          <w:tcPr>
            <w:tcW w:w="3667" w:type="dxa"/>
            <w:vMerge w:val="restart"/>
            <w:tcBorders>
              <w:tl2br w:val="nil"/>
              <w:tr2bl w:val="nil"/>
            </w:tcBorders>
            <w:shd w:val="clear" w:color="auto" w:fill="auto"/>
            <w:tcMar>
              <w:top w:w="15" w:type="dxa"/>
              <w:left w:w="15" w:type="dxa"/>
              <w:right w:w="15" w:type="dxa"/>
            </w:tcMar>
            <w:vAlign w:val="center"/>
          </w:tcPr>
          <w:p w14:paraId="6F0CB83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color w:val="auto"/>
                <w:kern w:val="0"/>
                <w:sz w:val="18"/>
                <w:szCs w:val="18"/>
                <w:lang w:bidi="ar"/>
              </w:rPr>
              <w:t>《安全生产法》第四十八条 两个以上生产经营单位在同一作业区域内进行生产经营活动，可能危及对方生产安全的，应当签订安全生产管理协议，明确各自的安全生产管理职责和应当采取的安全措施，并指定专职安全生产管理人员进行安全检查与协调。</w:t>
            </w:r>
          </w:p>
        </w:tc>
        <w:tc>
          <w:tcPr>
            <w:tcW w:w="4082" w:type="dxa"/>
            <w:vMerge w:val="restart"/>
            <w:tcBorders>
              <w:tl2br w:val="nil"/>
              <w:tr2bl w:val="nil"/>
            </w:tcBorders>
            <w:shd w:val="clear" w:color="auto" w:fill="auto"/>
            <w:tcMar>
              <w:top w:w="15" w:type="dxa"/>
              <w:left w:w="15" w:type="dxa"/>
              <w:right w:w="15" w:type="dxa"/>
            </w:tcMar>
            <w:vAlign w:val="center"/>
          </w:tcPr>
          <w:p w14:paraId="1B5B23D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《安全生产法》第一百零四条 两个以上生产经营单位在同一作业区域内进行可能危及对方安全生产的生产经营活动，未签订安全生产管理协议或者未指定专职安全生产管理人员进行安全检查与协调的，责令限期改正，处五万元以下的罚款，对其直接负责的主管人员和其他直接责任人员处一万元以下的罚款；逾期未改正的，责令停产停业。</w:t>
            </w:r>
          </w:p>
        </w:tc>
        <w:tc>
          <w:tcPr>
            <w:tcW w:w="459" w:type="dxa"/>
            <w:tcBorders>
              <w:tl2br w:val="nil"/>
              <w:tr2bl w:val="nil"/>
            </w:tcBorders>
            <w:shd w:val="clear" w:color="auto" w:fill="auto"/>
            <w:noWrap/>
            <w:tcMar>
              <w:top w:w="15" w:type="dxa"/>
              <w:left w:w="15" w:type="dxa"/>
              <w:right w:w="15" w:type="dxa"/>
            </w:tcMar>
            <w:vAlign w:val="center"/>
          </w:tcPr>
          <w:p w14:paraId="2303D1E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455227C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F1E49B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CAF7E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49A0F9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30CFCC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220FCE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2A3BD2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69F4CD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4B46B3F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6FE61DB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D5E12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831B62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854B6F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779237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42805A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26532D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56EEBC4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FF8159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7FF47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80A5CB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E66C21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3F4806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0B0FD4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AAD046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759A73B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c>
          <w:tcPr>
            <w:tcW w:w="2655" w:type="dxa"/>
            <w:tcBorders>
              <w:tl2br w:val="nil"/>
              <w:tr2bl w:val="nil"/>
            </w:tcBorders>
            <w:shd w:val="clear" w:color="auto" w:fill="auto"/>
            <w:tcMar>
              <w:top w:w="15" w:type="dxa"/>
              <w:left w:w="15" w:type="dxa"/>
              <w:right w:w="15" w:type="dxa"/>
            </w:tcMar>
            <w:vAlign w:val="center"/>
          </w:tcPr>
          <w:p w14:paraId="7FD64D8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ABE21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A05982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D294BD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9FFC7E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F7F2C5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A963DE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1631C8D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两个以上生产经</w:t>
            </w:r>
            <w:ins w:id="2521" w:author="LV" w:date="2026-07-23T15:48:23Z">
              <w:r>
                <w:rPr>
                  <w:rFonts w:hint="eastAsia" w:ascii="仿宋_GB2312" w:hAnsi="宋体" w:eastAsia="仿宋_GB2312" w:cs="仿宋_GB2312"/>
                  <w:kern w:val="0"/>
                  <w:sz w:val="18"/>
                  <w:szCs w:val="18"/>
                  <w:lang w:val="en-US" w:eastAsia="zh-CN" w:bidi="ar"/>
                </w:rPr>
                <w:t>营</w:t>
              </w:r>
            </w:ins>
            <w:r>
              <w:rPr>
                <w:rFonts w:hint="eastAsia" w:ascii="仿宋_GB2312" w:hAnsi="宋体" w:eastAsia="仿宋_GB2312" w:cs="仿宋_GB2312"/>
                <w:kern w:val="0"/>
                <w:sz w:val="18"/>
                <w:szCs w:val="18"/>
                <w:lang w:bidi="ar"/>
              </w:rPr>
              <w:t>单位在同一作业区域内进行可能危及对方安全生产的生产经营活动，未签订安全生产管理协议或者未指定专职安全生产管理人员进行安全检查与协调的，逾期未改正的。</w:t>
            </w:r>
          </w:p>
        </w:tc>
        <w:tc>
          <w:tcPr>
            <w:tcW w:w="2655" w:type="dxa"/>
            <w:tcBorders>
              <w:tl2br w:val="nil"/>
              <w:tr2bl w:val="nil"/>
            </w:tcBorders>
            <w:shd w:val="clear" w:color="auto" w:fill="auto"/>
            <w:tcMar>
              <w:top w:w="15" w:type="dxa"/>
              <w:left w:w="15" w:type="dxa"/>
              <w:right w:w="15" w:type="dxa"/>
            </w:tcMar>
            <w:vAlign w:val="center"/>
          </w:tcPr>
          <w:p w14:paraId="529E3D2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w:t>
            </w:r>
          </w:p>
        </w:tc>
      </w:tr>
      <w:tr w14:paraId="727D61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D1F946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AA4AD6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3EE754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E8CD59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2BEC20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5101CF4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c>
          <w:tcPr>
            <w:tcW w:w="2655" w:type="dxa"/>
            <w:tcBorders>
              <w:tl2br w:val="nil"/>
              <w:tr2bl w:val="nil"/>
            </w:tcBorders>
            <w:shd w:val="clear" w:color="auto" w:fill="auto"/>
            <w:tcMar>
              <w:top w:w="15" w:type="dxa"/>
              <w:left w:w="15" w:type="dxa"/>
              <w:right w:w="15" w:type="dxa"/>
            </w:tcMar>
            <w:vAlign w:val="center"/>
          </w:tcPr>
          <w:p w14:paraId="50B09A1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8B8D0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1FFF18C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1</w:t>
            </w:r>
            <w:del w:id="2522" w:author="LV" w:date="2026-07-14T16:51:16Z">
              <w:r>
                <w:rPr>
                  <w:rFonts w:hint="default" w:ascii="仿宋_GB2312" w:hAnsi="宋体" w:eastAsia="仿宋_GB2312" w:cs="仿宋_GB2312"/>
                  <w:kern w:val="0"/>
                  <w:sz w:val="18"/>
                  <w:szCs w:val="18"/>
                  <w:lang w:val="en-US" w:bidi="ar"/>
                </w:rPr>
                <w:delText>1</w:delText>
              </w:r>
            </w:del>
            <w:del w:id="2523" w:author="LV" w:date="2026-07-14T16:51:16Z">
              <w:r>
                <w:rPr>
                  <w:rFonts w:hint="default" w:ascii="仿宋_GB2312" w:hAnsi="宋体" w:eastAsia="仿宋_GB2312" w:cs="仿宋_GB2312"/>
                  <w:kern w:val="0"/>
                  <w:sz w:val="18"/>
                  <w:szCs w:val="18"/>
                  <w:lang w:val="en-US" w:eastAsia="zh-CN" w:bidi="ar"/>
                </w:rPr>
                <w:delText>6</w:delText>
              </w:r>
            </w:del>
            <w:ins w:id="2524" w:author="LV" w:date="2026-07-14T16:51:16Z">
              <w:r>
                <w:rPr>
                  <w:rFonts w:hint="eastAsia" w:ascii="仿宋_GB2312" w:hAnsi="宋体" w:eastAsia="仿宋_GB2312" w:cs="仿宋_GB2312"/>
                  <w:kern w:val="0"/>
                  <w:sz w:val="18"/>
                  <w:szCs w:val="18"/>
                  <w:lang w:val="en-US" w:eastAsia="zh-CN" w:bidi="ar"/>
                </w:rPr>
                <w:t>23</w:t>
              </w:r>
            </w:ins>
          </w:p>
        </w:tc>
        <w:tc>
          <w:tcPr>
            <w:tcW w:w="1005" w:type="dxa"/>
            <w:vMerge w:val="restart"/>
            <w:tcBorders>
              <w:tl2br w:val="nil"/>
              <w:tr2bl w:val="nil"/>
            </w:tcBorders>
            <w:shd w:val="clear" w:color="auto" w:fill="auto"/>
            <w:tcMar>
              <w:top w:w="15" w:type="dxa"/>
              <w:left w:w="15" w:type="dxa"/>
              <w:right w:w="15" w:type="dxa"/>
            </w:tcMar>
            <w:vAlign w:val="center"/>
          </w:tcPr>
          <w:p w14:paraId="010F37B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highlight w:val="none"/>
                <w:lang w:bidi="ar"/>
              </w:rPr>
              <w:t>与从业人员订立协议，免除或者减轻其对从业人员因生产安全事故伤亡依法应承担的责任的</w:t>
            </w:r>
          </w:p>
        </w:tc>
        <w:tc>
          <w:tcPr>
            <w:tcW w:w="3667" w:type="dxa"/>
            <w:vMerge w:val="restart"/>
            <w:tcBorders>
              <w:tl2br w:val="nil"/>
              <w:tr2bl w:val="nil"/>
            </w:tcBorders>
            <w:shd w:val="clear" w:color="auto" w:fill="auto"/>
            <w:tcMar>
              <w:top w:w="15" w:type="dxa"/>
              <w:left w:w="15" w:type="dxa"/>
              <w:right w:w="15" w:type="dxa"/>
            </w:tcMar>
            <w:vAlign w:val="center"/>
          </w:tcPr>
          <w:p w14:paraId="6000A26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《安全生产法》第五十二条第二款 生产经营单位不得以任何形式与从业人员订立协议，免除或者减轻其对从业人员因生产安全事故伤亡依法应承担的责任。</w:t>
            </w:r>
          </w:p>
        </w:tc>
        <w:tc>
          <w:tcPr>
            <w:tcW w:w="4082" w:type="dxa"/>
            <w:vMerge w:val="restart"/>
            <w:tcBorders>
              <w:tl2br w:val="nil"/>
              <w:tr2bl w:val="nil"/>
            </w:tcBorders>
            <w:shd w:val="clear" w:color="auto" w:fill="auto"/>
            <w:tcMar>
              <w:top w:w="15" w:type="dxa"/>
              <w:left w:w="15" w:type="dxa"/>
              <w:right w:w="15" w:type="dxa"/>
            </w:tcMar>
            <w:vAlign w:val="center"/>
          </w:tcPr>
          <w:p w14:paraId="4968DE6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《安全生产法》第一百零六条 生产经营单位与从业人员订立协议，免除或者减轻其对从业人员因生产安全事故伤亡依法应承担的责任的，该协议无效；对生产经营单位的主要负责人、个人经营的投资人处二万元以上十万元以下的罚款。</w:t>
            </w:r>
          </w:p>
        </w:tc>
        <w:tc>
          <w:tcPr>
            <w:tcW w:w="459" w:type="dxa"/>
            <w:tcBorders>
              <w:tl2br w:val="nil"/>
              <w:tr2bl w:val="nil"/>
            </w:tcBorders>
            <w:shd w:val="clear" w:color="auto" w:fill="auto"/>
            <w:noWrap/>
            <w:tcMar>
              <w:top w:w="15" w:type="dxa"/>
              <w:left w:w="15" w:type="dxa"/>
              <w:right w:w="15" w:type="dxa"/>
            </w:tcMar>
            <w:vAlign w:val="center"/>
          </w:tcPr>
          <w:p w14:paraId="40CC7CE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6B5EBD2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772402AD">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BA44B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3DBF94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C27B85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62145A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F83122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FD9117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08244D1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7D29FC9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36675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09ECDF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A7CC6E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04C01E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A3B368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229367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17BA735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6B471D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BA665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B2DD8B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787F41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33BF60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B9EA1C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1F1DC3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466448E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与1名从业人员订立协议，减轻其对从业人员因生产安全事故伤亡依法应承担责任的。</w:t>
            </w:r>
          </w:p>
        </w:tc>
        <w:tc>
          <w:tcPr>
            <w:tcW w:w="2655" w:type="dxa"/>
            <w:tcBorders>
              <w:tl2br w:val="nil"/>
              <w:tr2bl w:val="nil"/>
            </w:tcBorders>
            <w:shd w:val="clear" w:color="auto" w:fill="auto"/>
            <w:tcMar>
              <w:top w:w="15" w:type="dxa"/>
              <w:left w:w="15" w:type="dxa"/>
              <w:right w:w="15" w:type="dxa"/>
            </w:tcMar>
            <w:vAlign w:val="center"/>
          </w:tcPr>
          <w:p w14:paraId="64CAC4E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对生产经营单位的主要负责人、个人经营的投资人处2万元以上4万元以下的罚款</w:t>
            </w:r>
            <w:r>
              <w:rPr>
                <w:rFonts w:ascii="仿宋_GB2312" w:hAnsi="宋体" w:eastAsia="仿宋_GB2312" w:cs="仿宋_GB2312"/>
                <w:kern w:val="0"/>
                <w:sz w:val="18"/>
                <w:szCs w:val="18"/>
                <w:lang w:bidi="ar"/>
              </w:rPr>
              <w:t>。</w:t>
            </w:r>
          </w:p>
        </w:tc>
      </w:tr>
      <w:tr w14:paraId="4EAC83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66EEEC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C03EC5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6314FC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E91AFB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7A7906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40C4F15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与2名及以上从业人员订立协议，减轻其对从业人员因生产安全事故伤亡依法应承担责任的。</w:t>
            </w:r>
          </w:p>
        </w:tc>
        <w:tc>
          <w:tcPr>
            <w:tcW w:w="2655" w:type="dxa"/>
            <w:tcBorders>
              <w:tl2br w:val="nil"/>
              <w:tr2bl w:val="nil"/>
            </w:tcBorders>
            <w:shd w:val="clear" w:color="auto" w:fill="auto"/>
            <w:tcMar>
              <w:top w:w="15" w:type="dxa"/>
              <w:left w:w="15" w:type="dxa"/>
              <w:right w:w="15" w:type="dxa"/>
            </w:tcMar>
            <w:vAlign w:val="center"/>
          </w:tcPr>
          <w:p w14:paraId="170EEB4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对生产经营单位的主要负责人、个人经营的投资人处4万元以上</w:t>
            </w:r>
            <w:r>
              <w:rPr>
                <w:rFonts w:ascii="仿宋_GB2312" w:hAnsi="宋体" w:eastAsia="仿宋_GB2312" w:cs="仿宋_GB2312"/>
                <w:kern w:val="0"/>
                <w:sz w:val="18"/>
                <w:szCs w:val="18"/>
                <w:lang w:bidi="ar"/>
              </w:rPr>
              <w:t>6</w:t>
            </w:r>
            <w:r>
              <w:rPr>
                <w:rFonts w:hint="eastAsia" w:ascii="仿宋_GB2312" w:hAnsi="宋体" w:eastAsia="仿宋_GB2312" w:cs="仿宋_GB2312"/>
                <w:kern w:val="0"/>
                <w:sz w:val="18"/>
                <w:szCs w:val="18"/>
                <w:lang w:bidi="ar"/>
              </w:rPr>
              <w:t>万元以下的罚款</w:t>
            </w:r>
            <w:r>
              <w:rPr>
                <w:rFonts w:ascii="仿宋_GB2312" w:hAnsi="宋体" w:eastAsia="仿宋_GB2312" w:cs="仿宋_GB2312"/>
                <w:kern w:val="0"/>
                <w:sz w:val="18"/>
                <w:szCs w:val="18"/>
                <w:lang w:bidi="ar"/>
              </w:rPr>
              <w:t>。</w:t>
            </w:r>
          </w:p>
        </w:tc>
      </w:tr>
      <w:tr w14:paraId="445F63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5B692F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AE27FB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7A3475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655E7B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5604A7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52DF1C4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与从业人员订立协议，免除其对从业人员因生产安全事故伤亡依法应承担责任的。</w:t>
            </w:r>
          </w:p>
        </w:tc>
        <w:tc>
          <w:tcPr>
            <w:tcW w:w="2655" w:type="dxa"/>
            <w:tcBorders>
              <w:tl2br w:val="nil"/>
              <w:tr2bl w:val="nil"/>
            </w:tcBorders>
            <w:shd w:val="clear" w:color="auto" w:fill="auto"/>
            <w:tcMar>
              <w:top w:w="15" w:type="dxa"/>
              <w:left w:w="15" w:type="dxa"/>
              <w:right w:w="15" w:type="dxa"/>
            </w:tcMar>
            <w:vAlign w:val="center"/>
          </w:tcPr>
          <w:p w14:paraId="6802A5B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对生产经营单位的主要负责人、个人经营的投资人处</w:t>
            </w:r>
            <w:r>
              <w:rPr>
                <w:rFonts w:ascii="仿宋_GB2312" w:hAnsi="宋体" w:eastAsia="仿宋_GB2312" w:cs="仿宋_GB2312"/>
                <w:kern w:val="0"/>
                <w:sz w:val="18"/>
                <w:szCs w:val="18"/>
                <w:lang w:bidi="ar"/>
              </w:rPr>
              <w:t>6</w:t>
            </w:r>
            <w:r>
              <w:rPr>
                <w:rFonts w:hint="eastAsia" w:ascii="仿宋_GB2312" w:hAnsi="宋体" w:eastAsia="仿宋_GB2312" w:cs="仿宋_GB2312"/>
                <w:kern w:val="0"/>
                <w:sz w:val="18"/>
                <w:szCs w:val="18"/>
                <w:lang w:bidi="ar"/>
              </w:rPr>
              <w:t>万元以上10万元以下的罚款</w:t>
            </w:r>
            <w:r>
              <w:rPr>
                <w:rFonts w:ascii="仿宋_GB2312" w:hAnsi="宋体" w:eastAsia="仿宋_GB2312" w:cs="仿宋_GB2312"/>
                <w:kern w:val="0"/>
                <w:sz w:val="18"/>
                <w:szCs w:val="18"/>
                <w:lang w:bidi="ar"/>
              </w:rPr>
              <w:t>。</w:t>
            </w:r>
          </w:p>
        </w:tc>
      </w:tr>
      <w:tr w14:paraId="4025A6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31AF951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1</w:t>
            </w:r>
            <w:del w:id="2525" w:author="LV" w:date="2026-07-14T16:51:20Z">
              <w:r>
                <w:rPr>
                  <w:rFonts w:hint="default" w:ascii="仿宋_GB2312" w:hAnsi="宋体" w:eastAsia="仿宋_GB2312" w:cs="仿宋_GB2312"/>
                  <w:kern w:val="0"/>
                  <w:sz w:val="18"/>
                  <w:szCs w:val="18"/>
                  <w:lang w:val="en-US" w:bidi="ar"/>
                </w:rPr>
                <w:delText>1</w:delText>
              </w:r>
            </w:del>
            <w:del w:id="2526" w:author="LV" w:date="2026-07-14T16:51:20Z">
              <w:r>
                <w:rPr>
                  <w:rFonts w:hint="default" w:ascii="仿宋_GB2312" w:hAnsi="宋体" w:eastAsia="仿宋_GB2312" w:cs="仿宋_GB2312"/>
                  <w:kern w:val="0"/>
                  <w:sz w:val="18"/>
                  <w:szCs w:val="18"/>
                  <w:lang w:val="en-US" w:eastAsia="zh-CN" w:bidi="ar"/>
                </w:rPr>
                <w:delText>7</w:delText>
              </w:r>
            </w:del>
            <w:ins w:id="2527" w:author="LV" w:date="2026-07-14T16:51:20Z">
              <w:r>
                <w:rPr>
                  <w:rFonts w:hint="eastAsia" w:ascii="仿宋_GB2312" w:hAnsi="宋体" w:eastAsia="仿宋_GB2312" w:cs="仿宋_GB2312"/>
                  <w:kern w:val="0"/>
                  <w:sz w:val="18"/>
                  <w:szCs w:val="18"/>
                  <w:lang w:val="en-US" w:eastAsia="zh-CN" w:bidi="ar"/>
                </w:rPr>
                <w:t>24</w:t>
              </w:r>
            </w:ins>
          </w:p>
        </w:tc>
        <w:tc>
          <w:tcPr>
            <w:tcW w:w="1005" w:type="dxa"/>
            <w:vMerge w:val="restart"/>
            <w:tcBorders>
              <w:tl2br w:val="nil"/>
              <w:tr2bl w:val="nil"/>
            </w:tcBorders>
            <w:shd w:val="clear" w:color="auto" w:fill="auto"/>
            <w:tcMar>
              <w:top w:w="15" w:type="dxa"/>
              <w:left w:w="15" w:type="dxa"/>
              <w:right w:w="15" w:type="dxa"/>
            </w:tcMar>
            <w:vAlign w:val="center"/>
          </w:tcPr>
          <w:p w14:paraId="1200CB0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拒不改正拒绝、阻碍负有安全生产监督管理职责的部门依法实施监督检查的</w:t>
            </w:r>
          </w:p>
        </w:tc>
        <w:tc>
          <w:tcPr>
            <w:tcW w:w="3667" w:type="dxa"/>
            <w:vMerge w:val="restart"/>
            <w:tcBorders>
              <w:tl2br w:val="nil"/>
              <w:tr2bl w:val="nil"/>
            </w:tcBorders>
            <w:shd w:val="clear" w:color="auto" w:fill="auto"/>
            <w:tcMar>
              <w:top w:w="15" w:type="dxa"/>
              <w:left w:w="15" w:type="dxa"/>
              <w:right w:w="15" w:type="dxa"/>
            </w:tcMar>
            <w:vAlign w:val="center"/>
          </w:tcPr>
          <w:p w14:paraId="08A4CA4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《安全生产法》第六十六条 生产经营单位对负有安全生产监督管理职责的部门的监督检查人员（以下统称安全生产监督检查人员）依法履行监督检查职责，应当予以配合，不得拒绝、阻挠。</w:t>
            </w:r>
          </w:p>
          <w:p w14:paraId="58FC599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三十七条煤矿企业及其有关人员对县级以上人民政府负有煤矿安全生产监督管理职责的部门、国家矿山安全监察机构及其设在地方的矿山安全监察机构依法履行职责，应当予以配合，按照要求如实提供有关情况，不得隐瞒或者拒绝、阻挠。</w:t>
            </w:r>
          </w:p>
        </w:tc>
        <w:tc>
          <w:tcPr>
            <w:tcW w:w="4082" w:type="dxa"/>
            <w:vMerge w:val="restart"/>
            <w:tcBorders>
              <w:tl2br w:val="nil"/>
              <w:tr2bl w:val="nil"/>
            </w:tcBorders>
            <w:shd w:val="clear" w:color="auto" w:fill="auto"/>
            <w:tcMar>
              <w:top w:w="15" w:type="dxa"/>
              <w:left w:w="15" w:type="dxa"/>
              <w:right w:w="15" w:type="dxa"/>
            </w:tcMar>
            <w:vAlign w:val="center"/>
          </w:tcPr>
          <w:p w14:paraId="4480542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《安全生产法》第一百零八条 违反本法规定，生产经营单位拒绝、阻碍负有安全生产监督管理职责的部门依法实施监督检查的，责令改正；拒不改正的，处二万元以上二十万元以下的罚款；对其直接负责的主管人员和其他直接责任人员处一万元以上二万元以下的罚款；构成犯罪的，依照刑法有关规定追究刑事责任。</w:t>
            </w:r>
          </w:p>
          <w:p w14:paraId="7520BEA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六十六条煤矿企业有下列行为之一的，责令改正；拒不改正的，处10万元以上20万元以下的罚款；对其直接负责的主管人员和其他直接责任人员处1万元以上2万元以下的罚款：（三）有其他拒绝、阻碍监督检查行为的。</w:t>
            </w:r>
          </w:p>
        </w:tc>
        <w:tc>
          <w:tcPr>
            <w:tcW w:w="459" w:type="dxa"/>
            <w:tcBorders>
              <w:tl2br w:val="nil"/>
              <w:tr2bl w:val="nil"/>
            </w:tcBorders>
            <w:shd w:val="clear" w:color="auto" w:fill="auto"/>
            <w:noWrap/>
            <w:tcMar>
              <w:top w:w="15" w:type="dxa"/>
              <w:left w:w="15" w:type="dxa"/>
              <w:right w:w="15" w:type="dxa"/>
            </w:tcMar>
            <w:vAlign w:val="center"/>
          </w:tcPr>
          <w:p w14:paraId="4C341E3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59C0F6A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F1EBBA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CB0A1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1DAEDD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7F373A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91571D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E0EF4E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B15C37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4BDFD82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2169D26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CA3C0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C93D01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8E2C66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9BA41D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2A1C63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D788ED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71D7F7E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E75EA1E">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6D3F5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84EB10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6EA284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527DD9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7ACB90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856F01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017ECE2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拒绝、阻碍负有安全生产监督管理职责的部门依法实施监督检查的，或者超过责令改正期限5日以下的</w:t>
            </w:r>
          </w:p>
        </w:tc>
        <w:tc>
          <w:tcPr>
            <w:tcW w:w="2655" w:type="dxa"/>
            <w:tcBorders>
              <w:tl2br w:val="nil"/>
              <w:tr2bl w:val="nil"/>
            </w:tcBorders>
            <w:shd w:val="clear" w:color="auto" w:fill="auto"/>
            <w:tcMar>
              <w:top w:w="15" w:type="dxa"/>
              <w:left w:w="15" w:type="dxa"/>
              <w:right w:w="15" w:type="dxa"/>
            </w:tcMar>
            <w:vAlign w:val="center"/>
          </w:tcPr>
          <w:p w14:paraId="2EA9615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对煤矿企业处10万元以上13万元以下罚款；对其直接负责的主管人员和其他直接责任人员处1万元以上2万元以下的罚款。。</w:t>
            </w:r>
          </w:p>
        </w:tc>
      </w:tr>
      <w:tr w14:paraId="39AEBE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19E20E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61DAE1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6ADB1B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6E84F5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310C9C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4E1F133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采用胁迫方式拒绝、阻碍负有安全生产监督管理职责的部门依法实施监督检查的，或者超过责令改正期限5日以上10日以下的</w:t>
            </w:r>
          </w:p>
        </w:tc>
        <w:tc>
          <w:tcPr>
            <w:tcW w:w="2655" w:type="dxa"/>
            <w:tcBorders>
              <w:tl2br w:val="nil"/>
              <w:tr2bl w:val="nil"/>
            </w:tcBorders>
            <w:shd w:val="clear" w:color="auto" w:fill="auto"/>
            <w:tcMar>
              <w:top w:w="15" w:type="dxa"/>
              <w:left w:w="15" w:type="dxa"/>
              <w:right w:w="15" w:type="dxa"/>
            </w:tcMar>
            <w:vAlign w:val="center"/>
          </w:tcPr>
          <w:p w14:paraId="58F0A86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对煤矿企业处13万元以上17万元以下罚款；对其直接负责的主管人员和其他直接责任人员处1万元以上2万元以下的罚款。</w:t>
            </w:r>
          </w:p>
        </w:tc>
      </w:tr>
      <w:tr w14:paraId="256A19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57B98B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663A33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2C3D93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A3F534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296CAA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2273CDC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采用暴力手段拒绝、阻碍负有安全生产监督管理职责的部门依法实施监督检查的，或者超过责令改正期限10日以上的</w:t>
            </w:r>
          </w:p>
        </w:tc>
        <w:tc>
          <w:tcPr>
            <w:tcW w:w="2655" w:type="dxa"/>
            <w:tcBorders>
              <w:tl2br w:val="nil"/>
              <w:tr2bl w:val="nil"/>
            </w:tcBorders>
            <w:shd w:val="clear" w:color="auto" w:fill="auto"/>
            <w:tcMar>
              <w:top w:w="15" w:type="dxa"/>
              <w:left w:w="15" w:type="dxa"/>
              <w:right w:w="15" w:type="dxa"/>
            </w:tcMar>
            <w:vAlign w:val="center"/>
          </w:tcPr>
          <w:p w14:paraId="1422ADB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对煤矿企业处17万元以上20万元以下罚款；对其直接负责的主管人员和其他直接责任人员处1万元以上2万元以下的罚款。</w:t>
            </w:r>
          </w:p>
        </w:tc>
      </w:tr>
      <w:tr w14:paraId="05B08A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69645FC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highlight w:val="none"/>
                <w:lang w:val="en-US" w:eastAsia="zh-CN"/>
              </w:rPr>
            </w:pPr>
            <w:r>
              <w:rPr>
                <w:rFonts w:hint="eastAsia" w:ascii="仿宋_GB2312" w:hAnsi="宋体" w:eastAsia="仿宋_GB2312" w:cs="仿宋_GB2312"/>
                <w:kern w:val="0"/>
                <w:sz w:val="18"/>
                <w:szCs w:val="18"/>
                <w:highlight w:val="none"/>
                <w:lang w:bidi="ar"/>
              </w:rPr>
              <w:t>1</w:t>
            </w:r>
            <w:del w:id="2528" w:author="LV" w:date="2026-07-14T16:51:24Z">
              <w:r>
                <w:rPr>
                  <w:rFonts w:hint="default" w:ascii="仿宋_GB2312" w:hAnsi="宋体" w:eastAsia="仿宋_GB2312" w:cs="仿宋_GB2312"/>
                  <w:kern w:val="0"/>
                  <w:sz w:val="18"/>
                  <w:szCs w:val="18"/>
                  <w:highlight w:val="none"/>
                  <w:lang w:val="en-US" w:bidi="ar"/>
                </w:rPr>
                <w:delText>1</w:delText>
              </w:r>
            </w:del>
            <w:del w:id="2529" w:author="LV" w:date="2026-07-14T16:51:24Z">
              <w:r>
                <w:rPr>
                  <w:rFonts w:hint="default" w:ascii="仿宋_GB2312" w:hAnsi="宋体" w:eastAsia="仿宋_GB2312" w:cs="仿宋_GB2312"/>
                  <w:kern w:val="0"/>
                  <w:sz w:val="18"/>
                  <w:szCs w:val="18"/>
                  <w:highlight w:val="none"/>
                  <w:lang w:val="en-US" w:eastAsia="zh-CN" w:bidi="ar"/>
                </w:rPr>
                <w:delText>8</w:delText>
              </w:r>
            </w:del>
            <w:ins w:id="2530" w:author="LV" w:date="2026-07-14T16:51:24Z">
              <w:r>
                <w:rPr>
                  <w:rFonts w:hint="eastAsia" w:ascii="仿宋_GB2312" w:hAnsi="宋体" w:eastAsia="仿宋_GB2312" w:cs="仿宋_GB2312"/>
                  <w:kern w:val="0"/>
                  <w:sz w:val="18"/>
                  <w:szCs w:val="18"/>
                  <w:highlight w:val="none"/>
                  <w:lang w:val="en-US" w:eastAsia="zh-CN" w:bidi="ar"/>
                </w:rPr>
                <w:t>25</w:t>
              </w:r>
            </w:ins>
          </w:p>
        </w:tc>
        <w:tc>
          <w:tcPr>
            <w:tcW w:w="1005" w:type="dxa"/>
            <w:vMerge w:val="restart"/>
            <w:tcBorders>
              <w:tl2br w:val="nil"/>
              <w:tr2bl w:val="nil"/>
            </w:tcBorders>
            <w:shd w:val="clear" w:color="auto" w:fill="auto"/>
            <w:tcMar>
              <w:top w:w="15" w:type="dxa"/>
              <w:left w:w="15" w:type="dxa"/>
              <w:right w:w="15" w:type="dxa"/>
            </w:tcMar>
            <w:vAlign w:val="center"/>
          </w:tcPr>
          <w:p w14:paraId="553A000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煤矿企业对机电设备及其防护装置、安全检测仪器未尽管理职责的</w:t>
            </w:r>
          </w:p>
        </w:tc>
        <w:tc>
          <w:tcPr>
            <w:tcW w:w="3667" w:type="dxa"/>
            <w:vMerge w:val="restart"/>
            <w:tcBorders>
              <w:tl2br w:val="nil"/>
              <w:tr2bl w:val="nil"/>
            </w:tcBorders>
            <w:shd w:val="clear" w:color="auto" w:fill="auto"/>
            <w:tcMar>
              <w:top w:w="15" w:type="dxa"/>
              <w:left w:w="15" w:type="dxa"/>
              <w:right w:w="15" w:type="dxa"/>
            </w:tcMar>
            <w:vAlign w:val="center"/>
          </w:tcPr>
          <w:p w14:paraId="7F33D71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《矿山安全法实施条例》第十五条</w:t>
            </w:r>
            <w:r>
              <w:rPr>
                <w:rFonts w:ascii="仿宋_GB2312" w:hAnsi="宋体" w:eastAsia="仿宋_GB2312" w:cs="仿宋_GB2312"/>
                <w:kern w:val="0"/>
                <w:sz w:val="18"/>
                <w:szCs w:val="18"/>
                <w:highlight w:val="none"/>
                <w:lang w:bidi="ar"/>
              </w:rPr>
              <w:t xml:space="preserve"> </w:t>
            </w:r>
            <w:r>
              <w:rPr>
                <w:rFonts w:hint="eastAsia" w:ascii="仿宋_GB2312" w:hAnsi="宋体" w:eastAsia="仿宋_GB2312" w:cs="仿宋_GB2312"/>
                <w:kern w:val="0"/>
                <w:sz w:val="18"/>
                <w:szCs w:val="18"/>
                <w:highlight w:val="none"/>
                <w:lang w:bidi="ar"/>
              </w:rPr>
              <w:t>矿山企业应当对机电设备及其防护装置、安全检测仪器定期检查、维修，并建立技术档案，保证使用安全。非负责设备运行的人员，不得操作设备。非值班电气人员，不得进行电气作业。操作电气设备的人员，应当有可靠的绝缘保护。检修电气设备时，不得带电作业。</w:t>
            </w:r>
          </w:p>
        </w:tc>
        <w:tc>
          <w:tcPr>
            <w:tcW w:w="4082" w:type="dxa"/>
            <w:vMerge w:val="restart"/>
            <w:tcBorders>
              <w:tl2br w:val="nil"/>
              <w:tr2bl w:val="nil"/>
            </w:tcBorders>
            <w:shd w:val="clear" w:color="auto" w:fill="auto"/>
            <w:tcMar>
              <w:top w:w="15" w:type="dxa"/>
              <w:left w:w="15" w:type="dxa"/>
              <w:right w:w="15" w:type="dxa"/>
            </w:tcMar>
            <w:vAlign w:val="center"/>
          </w:tcPr>
          <w:p w14:paraId="5E4562B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《矿山安全法实施条例》第五十四条</w:t>
            </w:r>
            <w:r>
              <w:rPr>
                <w:rFonts w:ascii="仿宋_GB2312" w:hAnsi="宋体" w:eastAsia="仿宋_GB2312" w:cs="仿宋_GB2312"/>
                <w:kern w:val="0"/>
                <w:sz w:val="18"/>
                <w:szCs w:val="18"/>
                <w:highlight w:val="none"/>
                <w:lang w:bidi="ar"/>
              </w:rPr>
              <w:t xml:space="preserve"> </w:t>
            </w:r>
            <w:r>
              <w:rPr>
                <w:rFonts w:hint="eastAsia" w:ascii="仿宋_GB2312" w:hAnsi="宋体" w:eastAsia="仿宋_GB2312" w:cs="仿宋_GB2312"/>
                <w:kern w:val="0"/>
                <w:sz w:val="18"/>
                <w:szCs w:val="18"/>
                <w:highlight w:val="none"/>
                <w:lang w:bidi="ar"/>
              </w:rPr>
              <w:t>违反本条例第十五条、第十六条、第十七条、第十八条、第十九条、第二十条、第二十一条、第二十二条、第二十三条、第二十五条规定的，由劳动行政主管部门责令改正，可以处</w:t>
            </w:r>
            <w:r>
              <w:rPr>
                <w:rFonts w:ascii="仿宋_GB2312" w:hAnsi="宋体" w:eastAsia="仿宋_GB2312" w:cs="仿宋_GB2312"/>
                <w:kern w:val="0"/>
                <w:sz w:val="18"/>
                <w:szCs w:val="18"/>
                <w:highlight w:val="none"/>
                <w:lang w:bidi="ar"/>
              </w:rPr>
              <w:t>2万元以下的罚款。</w:t>
            </w:r>
          </w:p>
        </w:tc>
        <w:tc>
          <w:tcPr>
            <w:tcW w:w="459" w:type="dxa"/>
            <w:tcBorders>
              <w:tl2br w:val="nil"/>
              <w:tr2bl w:val="nil"/>
            </w:tcBorders>
            <w:shd w:val="clear" w:color="auto" w:fill="auto"/>
            <w:noWrap/>
            <w:tcMar>
              <w:top w:w="15" w:type="dxa"/>
              <w:left w:w="15" w:type="dxa"/>
              <w:right w:w="15" w:type="dxa"/>
            </w:tcMar>
            <w:vAlign w:val="center"/>
          </w:tcPr>
          <w:p w14:paraId="3F29679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不予处罚</w:t>
            </w:r>
          </w:p>
        </w:tc>
        <w:tc>
          <w:tcPr>
            <w:tcW w:w="1829" w:type="dxa"/>
            <w:tcBorders>
              <w:tl2br w:val="nil"/>
              <w:tr2bl w:val="nil"/>
            </w:tcBorders>
            <w:shd w:val="clear" w:color="auto" w:fill="auto"/>
            <w:tcMar>
              <w:top w:w="15" w:type="dxa"/>
              <w:left w:w="15" w:type="dxa"/>
              <w:right w:w="15" w:type="dxa"/>
            </w:tcMar>
            <w:vAlign w:val="center"/>
          </w:tcPr>
          <w:p w14:paraId="468B119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E6B156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无</w:t>
            </w:r>
          </w:p>
        </w:tc>
      </w:tr>
      <w:tr w14:paraId="4CCE2C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CF0448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highlight w:val="none"/>
              </w:rPr>
            </w:pPr>
          </w:p>
        </w:tc>
        <w:tc>
          <w:tcPr>
            <w:tcW w:w="1005" w:type="dxa"/>
            <w:vMerge w:val="continue"/>
            <w:tcBorders>
              <w:tl2br w:val="nil"/>
              <w:tr2bl w:val="nil"/>
            </w:tcBorders>
            <w:shd w:val="clear" w:color="auto" w:fill="auto"/>
            <w:tcMar>
              <w:top w:w="15" w:type="dxa"/>
              <w:left w:w="15" w:type="dxa"/>
              <w:right w:w="15" w:type="dxa"/>
            </w:tcMar>
            <w:vAlign w:val="center"/>
          </w:tcPr>
          <w:p w14:paraId="0BE7931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3667" w:type="dxa"/>
            <w:vMerge w:val="continue"/>
            <w:tcBorders>
              <w:tl2br w:val="nil"/>
              <w:tr2bl w:val="nil"/>
            </w:tcBorders>
            <w:shd w:val="clear" w:color="auto" w:fill="auto"/>
            <w:tcMar>
              <w:top w:w="15" w:type="dxa"/>
              <w:left w:w="15" w:type="dxa"/>
              <w:right w:w="15" w:type="dxa"/>
            </w:tcMar>
            <w:vAlign w:val="center"/>
          </w:tcPr>
          <w:p w14:paraId="7E19211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082" w:type="dxa"/>
            <w:vMerge w:val="continue"/>
            <w:tcBorders>
              <w:tl2br w:val="nil"/>
              <w:tr2bl w:val="nil"/>
            </w:tcBorders>
            <w:shd w:val="clear" w:color="auto" w:fill="auto"/>
            <w:tcMar>
              <w:top w:w="15" w:type="dxa"/>
              <w:left w:w="15" w:type="dxa"/>
              <w:right w:w="15" w:type="dxa"/>
            </w:tcMar>
            <w:vAlign w:val="center"/>
          </w:tcPr>
          <w:p w14:paraId="57C8FBD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59" w:type="dxa"/>
            <w:tcBorders>
              <w:tl2br w:val="nil"/>
              <w:tr2bl w:val="nil"/>
            </w:tcBorders>
            <w:shd w:val="clear" w:color="auto" w:fill="auto"/>
            <w:noWrap/>
            <w:tcMar>
              <w:top w:w="15" w:type="dxa"/>
              <w:left w:w="15" w:type="dxa"/>
              <w:right w:w="15" w:type="dxa"/>
            </w:tcMar>
            <w:vAlign w:val="center"/>
          </w:tcPr>
          <w:p w14:paraId="5452CD6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免予处罚</w:t>
            </w:r>
          </w:p>
        </w:tc>
        <w:tc>
          <w:tcPr>
            <w:tcW w:w="1829" w:type="dxa"/>
            <w:tcBorders>
              <w:tl2br w:val="nil"/>
              <w:tr2bl w:val="nil"/>
            </w:tcBorders>
            <w:shd w:val="clear" w:color="auto" w:fill="auto"/>
            <w:tcMar>
              <w:top w:w="15" w:type="dxa"/>
              <w:left w:w="15" w:type="dxa"/>
              <w:right w:w="15" w:type="dxa"/>
            </w:tcMar>
            <w:vAlign w:val="center"/>
          </w:tcPr>
          <w:p w14:paraId="7F50E60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不适用</w:t>
            </w:r>
          </w:p>
        </w:tc>
        <w:tc>
          <w:tcPr>
            <w:tcW w:w="2655" w:type="dxa"/>
            <w:tcBorders>
              <w:tl2br w:val="nil"/>
              <w:tr2bl w:val="nil"/>
            </w:tcBorders>
            <w:shd w:val="clear" w:color="auto" w:fill="auto"/>
            <w:tcMar>
              <w:top w:w="15" w:type="dxa"/>
              <w:left w:w="15" w:type="dxa"/>
              <w:right w:w="15" w:type="dxa"/>
            </w:tcMar>
            <w:vAlign w:val="center"/>
          </w:tcPr>
          <w:p w14:paraId="453B6CFE">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无</w:t>
            </w:r>
          </w:p>
        </w:tc>
      </w:tr>
      <w:tr w14:paraId="30A06D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5A9612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highlight w:val="none"/>
              </w:rPr>
            </w:pPr>
          </w:p>
        </w:tc>
        <w:tc>
          <w:tcPr>
            <w:tcW w:w="1005" w:type="dxa"/>
            <w:vMerge w:val="continue"/>
            <w:tcBorders>
              <w:tl2br w:val="nil"/>
              <w:tr2bl w:val="nil"/>
            </w:tcBorders>
            <w:shd w:val="clear" w:color="auto" w:fill="auto"/>
            <w:tcMar>
              <w:top w:w="15" w:type="dxa"/>
              <w:left w:w="15" w:type="dxa"/>
              <w:right w:w="15" w:type="dxa"/>
            </w:tcMar>
            <w:vAlign w:val="center"/>
          </w:tcPr>
          <w:p w14:paraId="2A8C886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3667" w:type="dxa"/>
            <w:vMerge w:val="continue"/>
            <w:tcBorders>
              <w:tl2br w:val="nil"/>
              <w:tr2bl w:val="nil"/>
            </w:tcBorders>
            <w:shd w:val="clear" w:color="auto" w:fill="auto"/>
            <w:tcMar>
              <w:top w:w="15" w:type="dxa"/>
              <w:left w:w="15" w:type="dxa"/>
              <w:right w:w="15" w:type="dxa"/>
            </w:tcMar>
            <w:vAlign w:val="center"/>
          </w:tcPr>
          <w:p w14:paraId="71E5811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082" w:type="dxa"/>
            <w:vMerge w:val="continue"/>
            <w:tcBorders>
              <w:tl2br w:val="nil"/>
              <w:tr2bl w:val="nil"/>
            </w:tcBorders>
            <w:shd w:val="clear" w:color="auto" w:fill="auto"/>
            <w:tcMar>
              <w:top w:w="15" w:type="dxa"/>
              <w:left w:w="15" w:type="dxa"/>
              <w:right w:w="15" w:type="dxa"/>
            </w:tcMar>
            <w:vAlign w:val="center"/>
          </w:tcPr>
          <w:p w14:paraId="6BB581C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59" w:type="dxa"/>
            <w:tcBorders>
              <w:tl2br w:val="nil"/>
              <w:tr2bl w:val="nil"/>
            </w:tcBorders>
            <w:shd w:val="clear" w:color="auto" w:fill="auto"/>
            <w:noWrap/>
            <w:tcMar>
              <w:top w:w="15" w:type="dxa"/>
              <w:left w:w="15" w:type="dxa"/>
              <w:right w:w="15" w:type="dxa"/>
            </w:tcMar>
            <w:vAlign w:val="center"/>
          </w:tcPr>
          <w:p w14:paraId="69019FF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减轻处罚</w:t>
            </w:r>
          </w:p>
        </w:tc>
        <w:tc>
          <w:tcPr>
            <w:tcW w:w="1829" w:type="dxa"/>
            <w:tcBorders>
              <w:tl2br w:val="nil"/>
              <w:tr2bl w:val="nil"/>
            </w:tcBorders>
            <w:shd w:val="clear" w:color="auto" w:fill="auto"/>
            <w:tcMar>
              <w:top w:w="15" w:type="dxa"/>
              <w:left w:w="15" w:type="dxa"/>
              <w:right w:w="15" w:type="dxa"/>
            </w:tcMar>
            <w:vAlign w:val="center"/>
          </w:tcPr>
          <w:p w14:paraId="5A231BE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FB0BB3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无</w:t>
            </w:r>
          </w:p>
        </w:tc>
      </w:tr>
      <w:tr w14:paraId="57038C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08A58B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highlight w:val="none"/>
              </w:rPr>
            </w:pPr>
          </w:p>
        </w:tc>
        <w:tc>
          <w:tcPr>
            <w:tcW w:w="1005" w:type="dxa"/>
            <w:vMerge w:val="continue"/>
            <w:tcBorders>
              <w:tl2br w:val="nil"/>
              <w:tr2bl w:val="nil"/>
            </w:tcBorders>
            <w:shd w:val="clear" w:color="auto" w:fill="auto"/>
            <w:tcMar>
              <w:top w:w="15" w:type="dxa"/>
              <w:left w:w="15" w:type="dxa"/>
              <w:right w:w="15" w:type="dxa"/>
            </w:tcMar>
            <w:vAlign w:val="center"/>
          </w:tcPr>
          <w:p w14:paraId="6A13B7D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3667" w:type="dxa"/>
            <w:vMerge w:val="continue"/>
            <w:tcBorders>
              <w:tl2br w:val="nil"/>
              <w:tr2bl w:val="nil"/>
            </w:tcBorders>
            <w:shd w:val="clear" w:color="auto" w:fill="auto"/>
            <w:tcMar>
              <w:top w:w="15" w:type="dxa"/>
              <w:left w:w="15" w:type="dxa"/>
              <w:right w:w="15" w:type="dxa"/>
            </w:tcMar>
            <w:vAlign w:val="center"/>
          </w:tcPr>
          <w:p w14:paraId="08A9793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082" w:type="dxa"/>
            <w:vMerge w:val="continue"/>
            <w:tcBorders>
              <w:tl2br w:val="nil"/>
              <w:tr2bl w:val="nil"/>
            </w:tcBorders>
            <w:shd w:val="clear" w:color="auto" w:fill="auto"/>
            <w:tcMar>
              <w:top w:w="15" w:type="dxa"/>
              <w:left w:w="15" w:type="dxa"/>
              <w:right w:w="15" w:type="dxa"/>
            </w:tcMar>
            <w:vAlign w:val="center"/>
          </w:tcPr>
          <w:p w14:paraId="111CA4B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59" w:type="dxa"/>
            <w:tcBorders>
              <w:tl2br w:val="nil"/>
              <w:tr2bl w:val="nil"/>
            </w:tcBorders>
            <w:shd w:val="clear" w:color="auto" w:fill="auto"/>
            <w:noWrap/>
            <w:tcMar>
              <w:top w:w="15" w:type="dxa"/>
              <w:left w:w="15" w:type="dxa"/>
              <w:right w:w="15" w:type="dxa"/>
            </w:tcMar>
            <w:vAlign w:val="center"/>
          </w:tcPr>
          <w:p w14:paraId="247D87E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从轻处罚</w:t>
            </w:r>
          </w:p>
        </w:tc>
        <w:tc>
          <w:tcPr>
            <w:tcW w:w="1829" w:type="dxa"/>
            <w:tcBorders>
              <w:tl2br w:val="nil"/>
              <w:tr2bl w:val="nil"/>
            </w:tcBorders>
            <w:shd w:val="clear" w:color="auto" w:fill="auto"/>
            <w:tcMar>
              <w:top w:w="15" w:type="dxa"/>
              <w:left w:w="15" w:type="dxa"/>
              <w:right w:w="15" w:type="dxa"/>
            </w:tcMar>
            <w:vAlign w:val="center"/>
          </w:tcPr>
          <w:p w14:paraId="5761CC6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矿山企业未建立技术档案的。</w:t>
            </w:r>
          </w:p>
        </w:tc>
        <w:tc>
          <w:tcPr>
            <w:tcW w:w="2655" w:type="dxa"/>
            <w:tcBorders>
              <w:tl2br w:val="nil"/>
              <w:tr2bl w:val="nil"/>
            </w:tcBorders>
            <w:shd w:val="clear" w:color="auto" w:fill="auto"/>
            <w:tcMar>
              <w:top w:w="15" w:type="dxa"/>
              <w:left w:w="15" w:type="dxa"/>
              <w:right w:w="15" w:type="dxa"/>
            </w:tcMar>
            <w:vAlign w:val="center"/>
          </w:tcPr>
          <w:p w14:paraId="01A1C78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可以处1</w:t>
            </w:r>
            <w:r>
              <w:rPr>
                <w:rFonts w:ascii="仿宋_GB2312" w:hAnsi="宋体" w:eastAsia="仿宋_GB2312" w:cs="仿宋_GB2312"/>
                <w:kern w:val="0"/>
                <w:sz w:val="18"/>
                <w:szCs w:val="18"/>
                <w:highlight w:val="none"/>
                <w:lang w:val="de-DE" w:bidi="ar"/>
              </w:rPr>
              <w:t>.3</w:t>
            </w:r>
            <w:r>
              <w:rPr>
                <w:rFonts w:hint="eastAsia" w:ascii="仿宋_GB2312" w:hAnsi="宋体" w:eastAsia="仿宋_GB2312" w:cs="仿宋_GB2312"/>
                <w:kern w:val="0"/>
                <w:sz w:val="18"/>
                <w:szCs w:val="18"/>
                <w:highlight w:val="none"/>
                <w:lang w:bidi="ar"/>
              </w:rPr>
              <w:t>万元以下的罚款。</w:t>
            </w:r>
          </w:p>
        </w:tc>
      </w:tr>
      <w:tr w14:paraId="0371D6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C0AFE9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highlight w:val="none"/>
              </w:rPr>
            </w:pPr>
          </w:p>
        </w:tc>
        <w:tc>
          <w:tcPr>
            <w:tcW w:w="1005" w:type="dxa"/>
            <w:vMerge w:val="continue"/>
            <w:tcBorders>
              <w:tl2br w:val="nil"/>
              <w:tr2bl w:val="nil"/>
            </w:tcBorders>
            <w:shd w:val="clear" w:color="auto" w:fill="auto"/>
            <w:tcMar>
              <w:top w:w="15" w:type="dxa"/>
              <w:left w:w="15" w:type="dxa"/>
              <w:right w:w="15" w:type="dxa"/>
            </w:tcMar>
            <w:vAlign w:val="center"/>
          </w:tcPr>
          <w:p w14:paraId="340161B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3667" w:type="dxa"/>
            <w:vMerge w:val="continue"/>
            <w:tcBorders>
              <w:tl2br w:val="nil"/>
              <w:tr2bl w:val="nil"/>
            </w:tcBorders>
            <w:shd w:val="clear" w:color="auto" w:fill="auto"/>
            <w:tcMar>
              <w:top w:w="15" w:type="dxa"/>
              <w:left w:w="15" w:type="dxa"/>
              <w:right w:w="15" w:type="dxa"/>
            </w:tcMar>
            <w:vAlign w:val="center"/>
          </w:tcPr>
          <w:p w14:paraId="74B7C5A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082" w:type="dxa"/>
            <w:vMerge w:val="continue"/>
            <w:tcBorders>
              <w:tl2br w:val="nil"/>
              <w:tr2bl w:val="nil"/>
            </w:tcBorders>
            <w:shd w:val="clear" w:color="auto" w:fill="auto"/>
            <w:tcMar>
              <w:top w:w="15" w:type="dxa"/>
              <w:left w:w="15" w:type="dxa"/>
              <w:right w:w="15" w:type="dxa"/>
            </w:tcMar>
            <w:vAlign w:val="center"/>
          </w:tcPr>
          <w:p w14:paraId="32D72E3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59" w:type="dxa"/>
            <w:tcBorders>
              <w:tl2br w:val="nil"/>
              <w:tr2bl w:val="nil"/>
            </w:tcBorders>
            <w:shd w:val="clear" w:color="auto" w:fill="auto"/>
            <w:noWrap/>
            <w:tcMar>
              <w:top w:w="15" w:type="dxa"/>
              <w:left w:w="15" w:type="dxa"/>
              <w:right w:w="15" w:type="dxa"/>
            </w:tcMar>
            <w:vAlign w:val="center"/>
          </w:tcPr>
          <w:p w14:paraId="4BC1B28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一般处罚</w:t>
            </w:r>
          </w:p>
        </w:tc>
        <w:tc>
          <w:tcPr>
            <w:tcW w:w="1829" w:type="dxa"/>
            <w:tcBorders>
              <w:tl2br w:val="nil"/>
              <w:tr2bl w:val="nil"/>
            </w:tcBorders>
            <w:shd w:val="clear" w:color="auto" w:fill="auto"/>
            <w:tcMar>
              <w:top w:w="15" w:type="dxa"/>
              <w:left w:w="15" w:type="dxa"/>
              <w:right w:w="15" w:type="dxa"/>
            </w:tcMar>
            <w:vAlign w:val="center"/>
          </w:tcPr>
          <w:p w14:paraId="0D3E4CD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矿山企业未对机电设备及其防护装置、安全检测仪器定期检查、维修的。</w:t>
            </w:r>
          </w:p>
        </w:tc>
        <w:tc>
          <w:tcPr>
            <w:tcW w:w="2655" w:type="dxa"/>
            <w:tcBorders>
              <w:tl2br w:val="nil"/>
              <w:tr2bl w:val="nil"/>
            </w:tcBorders>
            <w:shd w:val="clear" w:color="auto" w:fill="auto"/>
            <w:tcMar>
              <w:top w:w="15" w:type="dxa"/>
              <w:left w:w="15" w:type="dxa"/>
              <w:right w:w="15" w:type="dxa"/>
            </w:tcMar>
            <w:vAlign w:val="center"/>
          </w:tcPr>
          <w:p w14:paraId="6E29BD7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可以处1</w:t>
            </w:r>
            <w:r>
              <w:rPr>
                <w:rFonts w:ascii="仿宋_GB2312" w:hAnsi="宋体" w:eastAsia="仿宋_GB2312" w:cs="仿宋_GB2312"/>
                <w:kern w:val="0"/>
                <w:sz w:val="18"/>
                <w:szCs w:val="18"/>
                <w:highlight w:val="none"/>
                <w:lang w:val="de-DE" w:bidi="ar"/>
              </w:rPr>
              <w:t>.3</w:t>
            </w:r>
            <w:r>
              <w:rPr>
                <w:rFonts w:hint="eastAsia" w:ascii="仿宋_GB2312" w:hAnsi="宋体" w:eastAsia="仿宋_GB2312" w:cs="仿宋_GB2312"/>
                <w:kern w:val="0"/>
                <w:sz w:val="18"/>
                <w:szCs w:val="18"/>
                <w:highlight w:val="none"/>
                <w:lang w:bidi="ar"/>
              </w:rPr>
              <w:t>万元以上</w:t>
            </w:r>
            <w:r>
              <w:rPr>
                <w:rFonts w:ascii="仿宋_GB2312" w:hAnsi="宋体" w:eastAsia="仿宋_GB2312" w:cs="仿宋_GB2312"/>
                <w:kern w:val="0"/>
                <w:sz w:val="18"/>
                <w:szCs w:val="18"/>
                <w:highlight w:val="none"/>
                <w:lang w:val="de-DE" w:bidi="ar"/>
              </w:rPr>
              <w:t>1.8</w:t>
            </w:r>
            <w:r>
              <w:rPr>
                <w:rFonts w:hint="eastAsia" w:ascii="仿宋_GB2312" w:hAnsi="宋体" w:eastAsia="仿宋_GB2312" w:cs="仿宋_GB2312"/>
                <w:kern w:val="0"/>
                <w:sz w:val="18"/>
                <w:szCs w:val="18"/>
                <w:highlight w:val="none"/>
                <w:lang w:bidi="ar"/>
              </w:rPr>
              <w:t>万元以下的罚款。</w:t>
            </w:r>
          </w:p>
        </w:tc>
      </w:tr>
      <w:tr w14:paraId="600434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73526F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7130EB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36873B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FA4CAB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CC8F66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324768E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非负责设备运行的人员操作设备，非值班电气人员，进行电气作业的。</w:t>
            </w:r>
          </w:p>
        </w:tc>
        <w:tc>
          <w:tcPr>
            <w:tcW w:w="2655" w:type="dxa"/>
            <w:tcBorders>
              <w:tl2br w:val="nil"/>
              <w:tr2bl w:val="nil"/>
            </w:tcBorders>
            <w:shd w:val="clear" w:color="auto" w:fill="auto"/>
            <w:tcMar>
              <w:top w:w="15" w:type="dxa"/>
              <w:left w:w="15" w:type="dxa"/>
              <w:right w:w="15" w:type="dxa"/>
            </w:tcMar>
            <w:vAlign w:val="center"/>
          </w:tcPr>
          <w:p w14:paraId="696A59B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w:t>
            </w:r>
            <w:r>
              <w:rPr>
                <w:rFonts w:ascii="仿宋_GB2312" w:hAnsi="宋体" w:eastAsia="仿宋_GB2312" w:cs="仿宋_GB2312"/>
                <w:kern w:val="0"/>
                <w:sz w:val="18"/>
                <w:szCs w:val="18"/>
                <w:lang w:val="de-DE" w:bidi="ar"/>
              </w:rPr>
              <w:t>1.</w:t>
            </w:r>
            <w:r>
              <w:rPr>
                <w:rFonts w:hint="eastAsia" w:ascii="仿宋_GB2312" w:hAnsi="宋体" w:eastAsia="仿宋_GB2312" w:cs="仿宋_GB2312"/>
                <w:kern w:val="0"/>
                <w:sz w:val="18"/>
                <w:szCs w:val="18"/>
                <w:lang w:bidi="ar"/>
              </w:rPr>
              <w:t>8万元以上2万元以下的罚款。</w:t>
            </w:r>
          </w:p>
        </w:tc>
      </w:tr>
      <w:tr w14:paraId="6940EA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53A7F91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highlight w:val="none"/>
                <w:lang w:val="en-US" w:eastAsia="zh-CN"/>
              </w:rPr>
            </w:pPr>
            <w:r>
              <w:rPr>
                <w:rFonts w:hint="eastAsia" w:ascii="仿宋_GB2312" w:hAnsi="宋体" w:eastAsia="仿宋_GB2312" w:cs="仿宋_GB2312"/>
                <w:kern w:val="0"/>
                <w:sz w:val="18"/>
                <w:szCs w:val="18"/>
                <w:highlight w:val="none"/>
                <w:lang w:bidi="ar"/>
              </w:rPr>
              <w:t>1</w:t>
            </w:r>
            <w:del w:id="2531" w:author="LV" w:date="2026-07-14T16:51:51Z">
              <w:r>
                <w:rPr>
                  <w:rFonts w:hint="default" w:ascii="仿宋_GB2312" w:hAnsi="宋体" w:eastAsia="仿宋_GB2312" w:cs="仿宋_GB2312"/>
                  <w:kern w:val="0"/>
                  <w:sz w:val="18"/>
                  <w:szCs w:val="18"/>
                  <w:highlight w:val="none"/>
                  <w:lang w:val="en-US" w:bidi="ar"/>
                </w:rPr>
                <w:delText>1</w:delText>
              </w:r>
            </w:del>
            <w:del w:id="2532" w:author="LV" w:date="2026-07-14T16:51:51Z">
              <w:r>
                <w:rPr>
                  <w:rFonts w:hint="default" w:ascii="仿宋_GB2312" w:hAnsi="宋体" w:eastAsia="仿宋_GB2312" w:cs="仿宋_GB2312"/>
                  <w:kern w:val="0"/>
                  <w:sz w:val="18"/>
                  <w:szCs w:val="18"/>
                  <w:highlight w:val="none"/>
                  <w:lang w:val="en-US" w:eastAsia="zh-CN" w:bidi="ar"/>
                </w:rPr>
                <w:delText>9</w:delText>
              </w:r>
            </w:del>
            <w:ins w:id="2533" w:author="LV" w:date="2026-07-14T16:51:51Z">
              <w:r>
                <w:rPr>
                  <w:rFonts w:hint="eastAsia" w:ascii="仿宋_GB2312" w:hAnsi="宋体" w:eastAsia="仿宋_GB2312" w:cs="仿宋_GB2312"/>
                  <w:kern w:val="0"/>
                  <w:sz w:val="18"/>
                  <w:szCs w:val="18"/>
                  <w:highlight w:val="none"/>
                  <w:lang w:val="en-US" w:eastAsia="zh-CN" w:bidi="ar"/>
                </w:rPr>
                <w:t>26</w:t>
              </w:r>
            </w:ins>
          </w:p>
        </w:tc>
        <w:tc>
          <w:tcPr>
            <w:tcW w:w="1005" w:type="dxa"/>
            <w:vMerge w:val="restart"/>
            <w:tcBorders>
              <w:tl2br w:val="nil"/>
              <w:tr2bl w:val="nil"/>
            </w:tcBorders>
            <w:shd w:val="clear" w:color="auto" w:fill="auto"/>
            <w:tcMar>
              <w:top w:w="15" w:type="dxa"/>
              <w:left w:w="15" w:type="dxa"/>
              <w:right w:w="15" w:type="dxa"/>
            </w:tcMar>
            <w:vAlign w:val="center"/>
          </w:tcPr>
          <w:p w14:paraId="05108F9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煤矿未依法对有毒有害物质进行检测的</w:t>
            </w:r>
          </w:p>
        </w:tc>
        <w:tc>
          <w:tcPr>
            <w:tcW w:w="3667" w:type="dxa"/>
            <w:vMerge w:val="restart"/>
            <w:tcBorders>
              <w:tl2br w:val="nil"/>
              <w:tr2bl w:val="nil"/>
            </w:tcBorders>
            <w:shd w:val="clear" w:color="auto" w:fill="auto"/>
            <w:tcMar>
              <w:top w:w="15" w:type="dxa"/>
              <w:left w:w="15" w:type="dxa"/>
              <w:right w:w="15" w:type="dxa"/>
            </w:tcMar>
            <w:vAlign w:val="center"/>
          </w:tcPr>
          <w:p w14:paraId="5E7503D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《矿山安全法实施条例》第十六条 矿山作业场所空气中的有毒有害物质的浓度，不得超过国家标准或者行业标准；矿山企业应当按照国家规定的方法，按照下列要求定期检测：（一）粉尘作业点，每月至少检测两次；（二）三硝基甲苯作业点，每月至少检测一次；（三）放射性物质作业点，每月至少检测三次；（四）其他有毒有害物质作业点，井下每月至少检测一次，地面每季度至少检测一次；（五）采用个体采样方法检测呼吸性粉尘的，每季度至少检测一次。</w:t>
            </w:r>
          </w:p>
        </w:tc>
        <w:tc>
          <w:tcPr>
            <w:tcW w:w="4082" w:type="dxa"/>
            <w:vMerge w:val="restart"/>
            <w:tcBorders>
              <w:tl2br w:val="nil"/>
              <w:tr2bl w:val="nil"/>
            </w:tcBorders>
            <w:shd w:val="clear" w:color="auto" w:fill="auto"/>
            <w:tcMar>
              <w:top w:w="15" w:type="dxa"/>
              <w:left w:w="15" w:type="dxa"/>
              <w:right w:w="15" w:type="dxa"/>
            </w:tcMar>
            <w:vAlign w:val="center"/>
          </w:tcPr>
          <w:p w14:paraId="311F325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《矿山安全法实施条例》第五十四条 违反本条例第十五条、第十六条、第十七条、第十八条、第十九条、第二十条、第二十一条、第二十二条、第二十三条、第二十五条规定的，由劳动行政主管部门责令改正，可以处2万元以下的罚款。</w:t>
            </w:r>
          </w:p>
        </w:tc>
        <w:tc>
          <w:tcPr>
            <w:tcW w:w="459" w:type="dxa"/>
            <w:tcBorders>
              <w:tl2br w:val="nil"/>
              <w:tr2bl w:val="nil"/>
            </w:tcBorders>
            <w:shd w:val="clear" w:color="auto" w:fill="auto"/>
            <w:noWrap/>
            <w:tcMar>
              <w:top w:w="15" w:type="dxa"/>
              <w:left w:w="15" w:type="dxa"/>
              <w:right w:w="15" w:type="dxa"/>
            </w:tcMar>
            <w:vAlign w:val="center"/>
          </w:tcPr>
          <w:p w14:paraId="5FAE6C0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不予处罚</w:t>
            </w:r>
          </w:p>
        </w:tc>
        <w:tc>
          <w:tcPr>
            <w:tcW w:w="1829" w:type="dxa"/>
            <w:tcBorders>
              <w:tl2br w:val="nil"/>
              <w:tr2bl w:val="nil"/>
            </w:tcBorders>
            <w:shd w:val="clear" w:color="auto" w:fill="auto"/>
            <w:tcMar>
              <w:top w:w="15" w:type="dxa"/>
              <w:left w:w="15" w:type="dxa"/>
              <w:right w:w="15" w:type="dxa"/>
            </w:tcMar>
            <w:vAlign w:val="center"/>
          </w:tcPr>
          <w:p w14:paraId="7A9CAF2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2997C3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无</w:t>
            </w:r>
          </w:p>
        </w:tc>
      </w:tr>
      <w:tr w14:paraId="22A08D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B6E14C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340F67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36A8C5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F9E616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32091B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36B7C68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6A27198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DECCB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159716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FC47A3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6A4844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6ED25B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EE74EA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3680DF1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F3D6B7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43886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7F8CF9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07E21F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199EF9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80417F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A03B52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57D883CD">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矿山企业有1处未按要求定期检测的。</w:t>
            </w:r>
          </w:p>
        </w:tc>
        <w:tc>
          <w:tcPr>
            <w:tcW w:w="2655" w:type="dxa"/>
            <w:tcBorders>
              <w:tl2br w:val="nil"/>
              <w:tr2bl w:val="nil"/>
            </w:tcBorders>
            <w:shd w:val="clear" w:color="auto" w:fill="auto"/>
            <w:tcMar>
              <w:top w:w="15" w:type="dxa"/>
              <w:left w:w="15" w:type="dxa"/>
              <w:right w:w="15" w:type="dxa"/>
            </w:tcMar>
            <w:vAlign w:val="center"/>
          </w:tcPr>
          <w:p w14:paraId="12F8C8D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w:t>
            </w:r>
            <w:r>
              <w:rPr>
                <w:rFonts w:ascii="仿宋_GB2312" w:hAnsi="宋体" w:eastAsia="仿宋_GB2312" w:cs="仿宋_GB2312"/>
                <w:kern w:val="0"/>
                <w:sz w:val="18"/>
                <w:szCs w:val="18"/>
                <w:lang w:val="de-DE" w:bidi="ar"/>
              </w:rPr>
              <w:t>1.</w:t>
            </w:r>
            <w:r>
              <w:rPr>
                <w:rFonts w:hint="eastAsia" w:ascii="仿宋_GB2312" w:hAnsi="宋体" w:eastAsia="仿宋_GB2312" w:cs="仿宋_GB2312"/>
                <w:kern w:val="0"/>
                <w:sz w:val="18"/>
                <w:szCs w:val="18"/>
                <w:lang w:bidi="ar"/>
              </w:rPr>
              <w:t>3万元以下的罚款。</w:t>
            </w:r>
          </w:p>
        </w:tc>
      </w:tr>
      <w:tr w14:paraId="3FF2B1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BABC3F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66F449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7BD2EE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5669DF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CA388D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08EC463E">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矿山企业有2处及以上未按要求定期检测的。</w:t>
            </w:r>
          </w:p>
        </w:tc>
        <w:tc>
          <w:tcPr>
            <w:tcW w:w="2655" w:type="dxa"/>
            <w:tcBorders>
              <w:tl2br w:val="nil"/>
              <w:tr2bl w:val="nil"/>
            </w:tcBorders>
            <w:shd w:val="clear" w:color="auto" w:fill="auto"/>
            <w:tcMar>
              <w:top w:w="15" w:type="dxa"/>
              <w:left w:w="15" w:type="dxa"/>
              <w:right w:w="15" w:type="dxa"/>
            </w:tcMar>
            <w:vAlign w:val="center"/>
          </w:tcPr>
          <w:p w14:paraId="1758E7B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w:t>
            </w:r>
            <w:r>
              <w:rPr>
                <w:rFonts w:ascii="仿宋_GB2312" w:hAnsi="宋体" w:eastAsia="仿宋_GB2312" w:cs="仿宋_GB2312"/>
                <w:kern w:val="0"/>
                <w:sz w:val="18"/>
                <w:szCs w:val="18"/>
                <w:lang w:val="de-DE" w:bidi="ar"/>
              </w:rPr>
              <w:t>1.</w:t>
            </w:r>
            <w:r>
              <w:rPr>
                <w:rFonts w:hint="eastAsia" w:ascii="仿宋_GB2312" w:hAnsi="宋体" w:eastAsia="仿宋_GB2312" w:cs="仿宋_GB2312"/>
                <w:kern w:val="0"/>
                <w:sz w:val="18"/>
                <w:szCs w:val="18"/>
                <w:lang w:bidi="ar"/>
              </w:rPr>
              <w:t>3</w:t>
            </w:r>
            <w:r>
              <w:rPr>
                <w:rFonts w:hint="default" w:ascii="仿宋_GB2312" w:hAnsi="宋体" w:eastAsia="仿宋_GB2312" w:cs="仿宋_GB2312"/>
                <w:kern w:val="0"/>
                <w:sz w:val="18"/>
                <w:szCs w:val="18"/>
                <w:lang w:bidi="ar"/>
              </w:rPr>
              <w:t>万</w:t>
            </w:r>
            <w:r>
              <w:rPr>
                <w:rFonts w:hint="eastAsia" w:ascii="仿宋_GB2312" w:hAnsi="宋体" w:eastAsia="仿宋_GB2312" w:cs="仿宋_GB2312"/>
                <w:kern w:val="0"/>
                <w:sz w:val="18"/>
                <w:szCs w:val="18"/>
                <w:lang w:bidi="ar"/>
              </w:rPr>
              <w:t>元以上1.8万元以下的罚款。</w:t>
            </w:r>
          </w:p>
        </w:tc>
      </w:tr>
      <w:tr w14:paraId="421B99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8"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2533F7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8DEE79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2D3BD8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FD57AA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0BF805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7A35764F">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矿山作业场所空气中的有毒有害物质的浓度，超过国家标准或者行业标准的。</w:t>
            </w:r>
          </w:p>
        </w:tc>
        <w:tc>
          <w:tcPr>
            <w:tcW w:w="2655" w:type="dxa"/>
            <w:tcBorders>
              <w:tl2br w:val="nil"/>
              <w:tr2bl w:val="nil"/>
            </w:tcBorders>
            <w:shd w:val="clear" w:color="auto" w:fill="auto"/>
            <w:tcMar>
              <w:top w:w="15" w:type="dxa"/>
              <w:left w:w="15" w:type="dxa"/>
              <w:right w:w="15" w:type="dxa"/>
            </w:tcMar>
            <w:vAlign w:val="center"/>
          </w:tcPr>
          <w:p w14:paraId="58F3DCE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可以处1.8万元以上2万元以下的罚款。</w:t>
            </w:r>
          </w:p>
        </w:tc>
      </w:tr>
      <w:tr w14:paraId="7275F3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0BB1419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1</w:t>
            </w:r>
            <w:r>
              <w:rPr>
                <w:rFonts w:hint="eastAsia" w:ascii="仿宋_GB2312" w:hAnsi="宋体" w:eastAsia="仿宋_GB2312" w:cs="仿宋_GB2312"/>
                <w:kern w:val="0"/>
                <w:sz w:val="18"/>
                <w:szCs w:val="18"/>
                <w:lang w:val="en-US" w:eastAsia="zh-CN" w:bidi="ar"/>
              </w:rPr>
              <w:t>2</w:t>
            </w:r>
            <w:del w:id="2534" w:author="LV" w:date="2026-07-14T16:52:01Z">
              <w:r>
                <w:rPr>
                  <w:rFonts w:hint="default" w:ascii="仿宋_GB2312" w:hAnsi="宋体" w:eastAsia="仿宋_GB2312" w:cs="仿宋_GB2312"/>
                  <w:kern w:val="0"/>
                  <w:sz w:val="18"/>
                  <w:szCs w:val="18"/>
                  <w:lang w:val="en-US" w:eastAsia="zh-CN" w:bidi="ar"/>
                </w:rPr>
                <w:delText>0</w:delText>
              </w:r>
            </w:del>
            <w:ins w:id="2535" w:author="LV" w:date="2026-07-14T16:52:01Z">
              <w:r>
                <w:rPr>
                  <w:rFonts w:hint="eastAsia" w:ascii="仿宋_GB2312" w:hAnsi="宋体" w:eastAsia="仿宋_GB2312" w:cs="仿宋_GB2312"/>
                  <w:kern w:val="0"/>
                  <w:sz w:val="18"/>
                  <w:szCs w:val="18"/>
                  <w:lang w:val="en-US" w:eastAsia="zh-CN" w:bidi="ar"/>
                </w:rPr>
                <w:t>7</w:t>
              </w:r>
            </w:ins>
          </w:p>
        </w:tc>
        <w:tc>
          <w:tcPr>
            <w:tcW w:w="1005" w:type="dxa"/>
            <w:vMerge w:val="restart"/>
            <w:tcBorders>
              <w:tl2br w:val="nil"/>
              <w:tr2bl w:val="nil"/>
            </w:tcBorders>
            <w:shd w:val="clear" w:color="auto" w:fill="auto"/>
            <w:tcMar>
              <w:top w:w="15" w:type="dxa"/>
              <w:left w:w="15" w:type="dxa"/>
              <w:right w:w="15" w:type="dxa"/>
            </w:tcMar>
            <w:vAlign w:val="center"/>
          </w:tcPr>
          <w:p w14:paraId="68761FB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煤矿未按规定管理顶帮或者支护的</w:t>
            </w:r>
          </w:p>
        </w:tc>
        <w:tc>
          <w:tcPr>
            <w:tcW w:w="3667" w:type="dxa"/>
            <w:vMerge w:val="restart"/>
            <w:tcBorders>
              <w:tl2br w:val="nil"/>
              <w:tr2bl w:val="nil"/>
            </w:tcBorders>
            <w:shd w:val="clear" w:color="auto" w:fill="auto"/>
            <w:tcMar>
              <w:top w:w="15" w:type="dxa"/>
              <w:left w:w="15" w:type="dxa"/>
              <w:right w:w="15" w:type="dxa"/>
            </w:tcMar>
            <w:vAlign w:val="center"/>
          </w:tcPr>
          <w:p w14:paraId="17A0DA6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《矿山安全法实施条例》第十七条第一款 井下采掘作业，必须按照作业规程的规定管理顶帮。采掘作业通过地质破碎带或者其他顶帮破碎地点时，应当加强支护。</w:t>
            </w:r>
          </w:p>
        </w:tc>
        <w:tc>
          <w:tcPr>
            <w:tcW w:w="4082" w:type="dxa"/>
            <w:vMerge w:val="restart"/>
            <w:tcBorders>
              <w:tl2br w:val="nil"/>
              <w:tr2bl w:val="nil"/>
            </w:tcBorders>
            <w:shd w:val="clear" w:color="auto" w:fill="auto"/>
            <w:tcMar>
              <w:top w:w="15" w:type="dxa"/>
              <w:left w:w="15" w:type="dxa"/>
              <w:right w:w="15" w:type="dxa"/>
            </w:tcMar>
            <w:vAlign w:val="center"/>
          </w:tcPr>
          <w:p w14:paraId="2D352B4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《矿山安全法实施条例》第五十四条 违反本条例第十五条、第十六条、第十七条、第十八条、第十九条、第二十条、第二十一条、第二十二条、第二十三条、第二十五条规定的，由劳动行政主管部门责令改正，可以处2万元以下的罚款。</w:t>
            </w:r>
          </w:p>
        </w:tc>
        <w:tc>
          <w:tcPr>
            <w:tcW w:w="459" w:type="dxa"/>
            <w:tcBorders>
              <w:tl2br w:val="nil"/>
              <w:tr2bl w:val="nil"/>
            </w:tcBorders>
            <w:shd w:val="clear" w:color="auto" w:fill="auto"/>
            <w:noWrap/>
            <w:tcMar>
              <w:top w:w="15" w:type="dxa"/>
              <w:left w:w="15" w:type="dxa"/>
              <w:right w:w="15" w:type="dxa"/>
            </w:tcMar>
            <w:vAlign w:val="center"/>
          </w:tcPr>
          <w:p w14:paraId="49E7833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098764F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6C41CF6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11B8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938029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635990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34F89F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8C3102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4284F8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6C936D1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4F77BDD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5E5D9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7A8800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9B8BB6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394051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0BB381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E816E0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409C2A3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15AFF72D">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537E7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B7CA62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D9A3F8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829FA0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7CB18D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F6EE9F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56E3F5BF">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井下采掘作业有1处未按照作业规程的规定管理顶帮。</w:t>
            </w:r>
          </w:p>
        </w:tc>
        <w:tc>
          <w:tcPr>
            <w:tcW w:w="2655" w:type="dxa"/>
            <w:tcBorders>
              <w:tl2br w:val="nil"/>
              <w:tr2bl w:val="nil"/>
            </w:tcBorders>
            <w:shd w:val="clear" w:color="auto" w:fill="auto"/>
            <w:tcMar>
              <w:top w:w="15" w:type="dxa"/>
              <w:left w:w="15" w:type="dxa"/>
              <w:right w:w="15" w:type="dxa"/>
            </w:tcMar>
            <w:vAlign w:val="center"/>
          </w:tcPr>
          <w:p w14:paraId="28593BB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w:t>
            </w:r>
            <w:r>
              <w:rPr>
                <w:rFonts w:ascii="仿宋_GB2312" w:hAnsi="宋体" w:eastAsia="仿宋_GB2312" w:cs="仿宋_GB2312"/>
                <w:kern w:val="0"/>
                <w:sz w:val="18"/>
                <w:szCs w:val="18"/>
                <w:lang w:val="de-DE" w:bidi="ar"/>
              </w:rPr>
              <w:t>1.</w:t>
            </w:r>
            <w:r>
              <w:rPr>
                <w:rFonts w:hint="eastAsia" w:ascii="仿宋_GB2312" w:hAnsi="宋体" w:eastAsia="仿宋_GB2312" w:cs="仿宋_GB2312"/>
                <w:kern w:val="0"/>
                <w:sz w:val="18"/>
                <w:szCs w:val="18"/>
                <w:lang w:bidi="ar"/>
              </w:rPr>
              <w:t>3万元以下的罚款。</w:t>
            </w:r>
          </w:p>
        </w:tc>
      </w:tr>
      <w:tr w14:paraId="5C6507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1975BB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EEDBEB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9E7F45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4C9B4C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269713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4142AEED">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井下采掘作业有2处未按照作业规程的规定管理顶帮。</w:t>
            </w:r>
          </w:p>
        </w:tc>
        <w:tc>
          <w:tcPr>
            <w:tcW w:w="2655" w:type="dxa"/>
            <w:tcBorders>
              <w:tl2br w:val="nil"/>
              <w:tr2bl w:val="nil"/>
            </w:tcBorders>
            <w:shd w:val="clear" w:color="auto" w:fill="auto"/>
            <w:tcMar>
              <w:top w:w="15" w:type="dxa"/>
              <w:left w:w="15" w:type="dxa"/>
              <w:right w:w="15" w:type="dxa"/>
            </w:tcMar>
            <w:vAlign w:val="center"/>
          </w:tcPr>
          <w:p w14:paraId="2DF6CD1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w:t>
            </w:r>
            <w:r>
              <w:rPr>
                <w:rFonts w:ascii="仿宋_GB2312" w:hAnsi="宋体" w:eastAsia="仿宋_GB2312" w:cs="仿宋_GB2312"/>
                <w:kern w:val="0"/>
                <w:sz w:val="18"/>
                <w:szCs w:val="18"/>
                <w:lang w:val="de-DE" w:bidi="ar"/>
              </w:rPr>
              <w:t>1.</w:t>
            </w:r>
            <w:r>
              <w:rPr>
                <w:rFonts w:hint="eastAsia" w:ascii="仿宋_GB2312" w:hAnsi="宋体" w:eastAsia="仿宋_GB2312" w:cs="仿宋_GB2312"/>
                <w:kern w:val="0"/>
                <w:sz w:val="18"/>
                <w:szCs w:val="18"/>
                <w:lang w:bidi="ar"/>
              </w:rPr>
              <w:t>3万元以上1.8万元以下的罚款。</w:t>
            </w:r>
          </w:p>
        </w:tc>
      </w:tr>
      <w:tr w14:paraId="15AEE9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4FBE96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411F0B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53B931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57DF1E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514FC9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72E49F6C">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井下采掘作业有3处及以上未按照作业规程的规定管理顶帮。</w:t>
            </w:r>
          </w:p>
        </w:tc>
        <w:tc>
          <w:tcPr>
            <w:tcW w:w="2655" w:type="dxa"/>
            <w:tcBorders>
              <w:tl2br w:val="nil"/>
              <w:tr2bl w:val="nil"/>
            </w:tcBorders>
            <w:shd w:val="clear" w:color="auto" w:fill="auto"/>
            <w:tcMar>
              <w:top w:w="15" w:type="dxa"/>
              <w:left w:w="15" w:type="dxa"/>
              <w:right w:w="15" w:type="dxa"/>
            </w:tcMar>
            <w:vAlign w:val="center"/>
          </w:tcPr>
          <w:p w14:paraId="0A7F9FB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可以处1.8万元以上2万元以下的罚款。</w:t>
            </w:r>
          </w:p>
        </w:tc>
      </w:tr>
      <w:tr w14:paraId="68336A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050B5E9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z w:val="18"/>
                <w:szCs w:val="18"/>
                <w:lang w:eastAsia="zh-CN"/>
              </w:rPr>
            </w:pPr>
            <w:r>
              <w:rPr>
                <w:rFonts w:hint="eastAsia" w:ascii="仿宋_GB2312" w:hAnsi="宋体" w:eastAsia="仿宋_GB2312" w:cs="仿宋_GB2312"/>
                <w:kern w:val="0"/>
                <w:sz w:val="18"/>
                <w:szCs w:val="18"/>
                <w:lang w:bidi="ar"/>
              </w:rPr>
              <w:t>12</w:t>
            </w:r>
            <w:del w:id="2536" w:author="LV" w:date="2026-07-14T16:52:09Z">
              <w:r>
                <w:rPr>
                  <w:rFonts w:hint="default" w:ascii="仿宋_GB2312" w:hAnsi="宋体" w:eastAsia="仿宋_GB2312" w:cs="仿宋_GB2312"/>
                  <w:kern w:val="0"/>
                  <w:sz w:val="18"/>
                  <w:szCs w:val="18"/>
                  <w:lang w:val="en-US" w:eastAsia="zh-CN" w:bidi="ar"/>
                </w:rPr>
                <w:delText>1</w:delText>
              </w:r>
            </w:del>
            <w:ins w:id="2537" w:author="LV" w:date="2026-07-14T16:52:09Z">
              <w:r>
                <w:rPr>
                  <w:rFonts w:hint="eastAsia" w:ascii="仿宋_GB2312" w:hAnsi="宋体" w:eastAsia="仿宋_GB2312" w:cs="仿宋_GB2312"/>
                  <w:kern w:val="0"/>
                  <w:sz w:val="18"/>
                  <w:szCs w:val="18"/>
                  <w:lang w:val="en-US" w:eastAsia="zh-CN" w:bidi="ar"/>
                </w:rPr>
                <w:t>8</w:t>
              </w:r>
            </w:ins>
          </w:p>
        </w:tc>
        <w:tc>
          <w:tcPr>
            <w:tcW w:w="1005" w:type="dxa"/>
            <w:vMerge w:val="restart"/>
            <w:tcBorders>
              <w:tl2br w:val="nil"/>
              <w:tr2bl w:val="nil"/>
            </w:tcBorders>
            <w:shd w:val="clear" w:color="auto" w:fill="auto"/>
            <w:tcMar>
              <w:top w:w="15" w:type="dxa"/>
              <w:left w:w="15" w:type="dxa"/>
              <w:right w:w="15" w:type="dxa"/>
            </w:tcMar>
            <w:vAlign w:val="center"/>
          </w:tcPr>
          <w:p w14:paraId="112CD9E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有自然发火可能性的煤矿未采取有关措施的</w:t>
            </w:r>
          </w:p>
        </w:tc>
        <w:tc>
          <w:tcPr>
            <w:tcW w:w="3667" w:type="dxa"/>
            <w:vMerge w:val="restart"/>
            <w:tcBorders>
              <w:tl2br w:val="nil"/>
              <w:tr2bl w:val="nil"/>
            </w:tcBorders>
            <w:shd w:val="clear" w:color="auto" w:fill="auto"/>
            <w:tcMar>
              <w:top w:w="15" w:type="dxa"/>
              <w:left w:w="15" w:type="dxa"/>
              <w:right w:w="15" w:type="dxa"/>
            </w:tcMar>
            <w:vAlign w:val="center"/>
          </w:tcPr>
          <w:p w14:paraId="303009D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《矿山安全法实施条例》第二十条 有自然发火可能性的矿井，应当采取下列措施：（一）及时清出采场浮矿和其他可燃物质，回采结束后及时封闭采空区；（二）采取防火灌浆或者其他有效的预防自然发火的措施；（三）定期检查井巷和采区封闭情况，测定可能自然发火地点的温度和风量；定期检测火区内的温度、气压和空气成份。</w:t>
            </w:r>
          </w:p>
        </w:tc>
        <w:tc>
          <w:tcPr>
            <w:tcW w:w="4082" w:type="dxa"/>
            <w:vMerge w:val="restart"/>
            <w:tcBorders>
              <w:tl2br w:val="nil"/>
              <w:tr2bl w:val="nil"/>
            </w:tcBorders>
            <w:shd w:val="clear" w:color="auto" w:fill="auto"/>
            <w:tcMar>
              <w:top w:w="15" w:type="dxa"/>
              <w:left w:w="15" w:type="dxa"/>
              <w:right w:w="15" w:type="dxa"/>
            </w:tcMar>
            <w:vAlign w:val="center"/>
          </w:tcPr>
          <w:p w14:paraId="3C075DA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《矿山安全法实施条例》第五十四条 违反本条例第十五条、第十六条、第十七条、第十八条、第十九条、第二十条、第二十一条、第二十二条、第二十三条、第二十五条规定的，由劳动行政主管部门责令改正，可以处2万元以下的罚款。</w:t>
            </w:r>
          </w:p>
        </w:tc>
        <w:tc>
          <w:tcPr>
            <w:tcW w:w="459" w:type="dxa"/>
            <w:tcBorders>
              <w:tl2br w:val="nil"/>
              <w:tr2bl w:val="nil"/>
            </w:tcBorders>
            <w:shd w:val="clear" w:color="auto" w:fill="auto"/>
            <w:noWrap/>
            <w:tcMar>
              <w:top w:w="15" w:type="dxa"/>
              <w:left w:w="15" w:type="dxa"/>
              <w:right w:w="15" w:type="dxa"/>
            </w:tcMar>
            <w:vAlign w:val="center"/>
          </w:tcPr>
          <w:p w14:paraId="08459CC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10200B7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7F88E4D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AC3C7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AE6310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71819C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33280A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5F84D4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307921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0BF030B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6AFEFC9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66814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10AD17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D6B002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DD340D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9640BE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C17041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7A92288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1AC3108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F3F73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C708A9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7C95E6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3115AB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F37CF6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81936F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2747709A">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违反《矿山安全法实施条例》第二十条第（三）项情形的。</w:t>
            </w:r>
          </w:p>
        </w:tc>
        <w:tc>
          <w:tcPr>
            <w:tcW w:w="2655" w:type="dxa"/>
            <w:tcBorders>
              <w:tl2br w:val="nil"/>
              <w:tr2bl w:val="nil"/>
            </w:tcBorders>
            <w:shd w:val="clear" w:color="auto" w:fill="auto"/>
            <w:tcMar>
              <w:top w:w="15" w:type="dxa"/>
              <w:left w:w="15" w:type="dxa"/>
              <w:right w:w="15" w:type="dxa"/>
            </w:tcMar>
            <w:vAlign w:val="center"/>
          </w:tcPr>
          <w:p w14:paraId="1310BB70">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w:t>
            </w:r>
            <w:r>
              <w:rPr>
                <w:rFonts w:ascii="仿宋_GB2312" w:hAnsi="宋体" w:eastAsia="仿宋_GB2312" w:cs="仿宋_GB2312"/>
                <w:kern w:val="0"/>
                <w:sz w:val="18"/>
                <w:szCs w:val="18"/>
                <w:lang w:val="de-DE" w:bidi="ar"/>
              </w:rPr>
              <w:t>1.</w:t>
            </w:r>
            <w:r>
              <w:rPr>
                <w:rFonts w:hint="eastAsia" w:ascii="仿宋_GB2312" w:hAnsi="宋体" w:eastAsia="仿宋_GB2312" w:cs="仿宋_GB2312"/>
                <w:kern w:val="0"/>
                <w:sz w:val="18"/>
                <w:szCs w:val="18"/>
                <w:lang w:bidi="ar"/>
              </w:rPr>
              <w:t>3万元以下的罚款。</w:t>
            </w:r>
          </w:p>
        </w:tc>
      </w:tr>
      <w:tr w14:paraId="373F02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964957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40F89A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EC974E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F330B0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3F07FC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6E522AA7">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违反《矿山安全法实施条例》第二十条第（一）项情形的。</w:t>
            </w:r>
          </w:p>
        </w:tc>
        <w:tc>
          <w:tcPr>
            <w:tcW w:w="2655" w:type="dxa"/>
            <w:tcBorders>
              <w:tl2br w:val="nil"/>
              <w:tr2bl w:val="nil"/>
            </w:tcBorders>
            <w:shd w:val="clear" w:color="auto" w:fill="auto"/>
            <w:tcMar>
              <w:top w:w="15" w:type="dxa"/>
              <w:left w:w="15" w:type="dxa"/>
              <w:right w:w="15" w:type="dxa"/>
            </w:tcMar>
            <w:vAlign w:val="center"/>
          </w:tcPr>
          <w:p w14:paraId="1492C5D1">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w:t>
            </w:r>
            <w:r>
              <w:rPr>
                <w:rFonts w:ascii="仿宋_GB2312" w:hAnsi="宋体" w:eastAsia="仿宋_GB2312" w:cs="仿宋_GB2312"/>
                <w:kern w:val="0"/>
                <w:sz w:val="18"/>
                <w:szCs w:val="18"/>
                <w:lang w:val="de-DE" w:bidi="ar"/>
              </w:rPr>
              <w:t>1.</w:t>
            </w:r>
            <w:r>
              <w:rPr>
                <w:rFonts w:hint="eastAsia" w:ascii="仿宋_GB2312" w:hAnsi="宋体" w:eastAsia="仿宋_GB2312" w:cs="仿宋_GB2312"/>
                <w:kern w:val="0"/>
                <w:sz w:val="18"/>
                <w:szCs w:val="18"/>
                <w:lang w:bidi="ar"/>
              </w:rPr>
              <w:t>3万元以上1.8万元以下的罚款。</w:t>
            </w:r>
          </w:p>
        </w:tc>
      </w:tr>
      <w:tr w14:paraId="72D110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9CF9B8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823C22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149006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054714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E79A06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6DB5791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违反《矿山安全法实施条例》第二十条第（二）项情形的。</w:t>
            </w:r>
          </w:p>
        </w:tc>
        <w:tc>
          <w:tcPr>
            <w:tcW w:w="2655" w:type="dxa"/>
            <w:tcBorders>
              <w:tl2br w:val="nil"/>
              <w:tr2bl w:val="nil"/>
            </w:tcBorders>
            <w:shd w:val="clear" w:color="auto" w:fill="auto"/>
            <w:tcMar>
              <w:top w:w="15" w:type="dxa"/>
              <w:left w:w="15" w:type="dxa"/>
              <w:right w:w="15" w:type="dxa"/>
            </w:tcMar>
            <w:vAlign w:val="center"/>
          </w:tcPr>
          <w:p w14:paraId="73B62F0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可以处1.8万元以上2万元以下的罚款。</w:t>
            </w:r>
          </w:p>
        </w:tc>
      </w:tr>
      <w:tr w14:paraId="5F12FD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3ED7F81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z w:val="18"/>
                <w:szCs w:val="18"/>
                <w:lang w:eastAsia="zh-CN"/>
              </w:rPr>
            </w:pPr>
            <w:r>
              <w:rPr>
                <w:rFonts w:hint="eastAsia" w:ascii="仿宋_GB2312" w:hAnsi="宋体" w:eastAsia="仿宋_GB2312" w:cs="仿宋_GB2312"/>
                <w:kern w:val="0"/>
                <w:sz w:val="18"/>
                <w:szCs w:val="18"/>
                <w:lang w:bidi="ar"/>
              </w:rPr>
              <w:t>12</w:t>
            </w:r>
            <w:del w:id="2538" w:author="LV" w:date="2026-07-14T16:52:12Z">
              <w:r>
                <w:rPr>
                  <w:rFonts w:hint="default" w:ascii="仿宋_GB2312" w:hAnsi="宋体" w:eastAsia="仿宋_GB2312" w:cs="仿宋_GB2312"/>
                  <w:kern w:val="0"/>
                  <w:sz w:val="18"/>
                  <w:szCs w:val="18"/>
                  <w:lang w:val="en-US" w:eastAsia="zh-CN" w:bidi="ar"/>
                </w:rPr>
                <w:delText>2</w:delText>
              </w:r>
            </w:del>
            <w:ins w:id="2539" w:author="LV" w:date="2026-07-14T16:52:12Z">
              <w:r>
                <w:rPr>
                  <w:rFonts w:hint="eastAsia" w:ascii="仿宋_GB2312" w:hAnsi="宋体" w:eastAsia="仿宋_GB2312" w:cs="仿宋_GB2312"/>
                  <w:kern w:val="0"/>
                  <w:sz w:val="18"/>
                  <w:szCs w:val="18"/>
                  <w:lang w:val="en-US" w:eastAsia="zh-CN" w:bidi="ar"/>
                </w:rPr>
                <w:t>9</w:t>
              </w:r>
            </w:ins>
          </w:p>
        </w:tc>
        <w:tc>
          <w:tcPr>
            <w:tcW w:w="1005" w:type="dxa"/>
            <w:vMerge w:val="restart"/>
            <w:tcBorders>
              <w:tl2br w:val="nil"/>
              <w:tr2bl w:val="nil"/>
            </w:tcBorders>
            <w:shd w:val="clear" w:color="auto" w:fill="auto"/>
            <w:tcMar>
              <w:top w:w="15" w:type="dxa"/>
              <w:left w:w="15" w:type="dxa"/>
              <w:right w:w="15" w:type="dxa"/>
            </w:tcMar>
            <w:vAlign w:val="center"/>
          </w:tcPr>
          <w:p w14:paraId="699EF22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煤矿井下采掘作业违反应当探水前进规定的</w:t>
            </w:r>
          </w:p>
        </w:tc>
        <w:tc>
          <w:tcPr>
            <w:tcW w:w="3667" w:type="dxa"/>
            <w:vMerge w:val="restart"/>
            <w:tcBorders>
              <w:tl2br w:val="nil"/>
              <w:tr2bl w:val="nil"/>
            </w:tcBorders>
            <w:shd w:val="clear" w:color="auto" w:fill="auto"/>
            <w:tcMar>
              <w:top w:w="15" w:type="dxa"/>
              <w:left w:w="15" w:type="dxa"/>
              <w:right w:w="15" w:type="dxa"/>
            </w:tcMar>
            <w:vAlign w:val="center"/>
          </w:tcPr>
          <w:p w14:paraId="452C140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《矿山安全法实施条例》第二十一条 井下采掘作业遇下列情形之一时，应当探水前进：（一）接近承压含水层或者含水的断层、流砂层、砾石层、溶洞、陷落柱时；（二）接近与地表水体相通的地质破碎带或者接近连通承压层的未封钻孔时；（三）接近积水的老窑、旧巷或者灌过泥浆的采空区时；（四）发现有出水征兆时；（五）掘开隔离矿柱或者岩柱放水时。</w:t>
            </w:r>
          </w:p>
        </w:tc>
        <w:tc>
          <w:tcPr>
            <w:tcW w:w="4082" w:type="dxa"/>
            <w:vMerge w:val="restart"/>
            <w:tcBorders>
              <w:tl2br w:val="nil"/>
              <w:tr2bl w:val="nil"/>
            </w:tcBorders>
            <w:shd w:val="clear" w:color="auto" w:fill="auto"/>
            <w:tcMar>
              <w:top w:w="15" w:type="dxa"/>
              <w:left w:w="15" w:type="dxa"/>
              <w:right w:w="15" w:type="dxa"/>
            </w:tcMar>
            <w:vAlign w:val="center"/>
          </w:tcPr>
          <w:p w14:paraId="50008DD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《矿山安全法实施条例》第五十四条 违反本条例第十五条、第十六条、第十七条、第十八条、第十九条、第二十条、第二十一条、第二十二条、第二十三条、第二十五条规定的，由劳动行政主管部门责令改正，可以处2万元以下的罚款。</w:t>
            </w:r>
          </w:p>
        </w:tc>
        <w:tc>
          <w:tcPr>
            <w:tcW w:w="459" w:type="dxa"/>
            <w:tcBorders>
              <w:tl2br w:val="nil"/>
              <w:tr2bl w:val="nil"/>
            </w:tcBorders>
            <w:shd w:val="clear" w:color="auto" w:fill="auto"/>
            <w:noWrap/>
            <w:tcMar>
              <w:top w:w="15" w:type="dxa"/>
              <w:left w:w="15" w:type="dxa"/>
              <w:right w:w="15" w:type="dxa"/>
            </w:tcMar>
            <w:vAlign w:val="center"/>
          </w:tcPr>
          <w:p w14:paraId="7553CE1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5740A26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05B4E2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B4378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B3C337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B3D427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1174CA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AE1490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50899F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2CC49C5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61EAA3D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61292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97EC08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C754C6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DA2CE7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212703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902760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529F505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469A81D">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FE2C2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DA84DC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highlight w:val="none"/>
              </w:rPr>
            </w:pPr>
          </w:p>
        </w:tc>
        <w:tc>
          <w:tcPr>
            <w:tcW w:w="1005" w:type="dxa"/>
            <w:vMerge w:val="continue"/>
            <w:tcBorders>
              <w:tl2br w:val="nil"/>
              <w:tr2bl w:val="nil"/>
            </w:tcBorders>
            <w:shd w:val="clear" w:color="auto" w:fill="auto"/>
            <w:tcMar>
              <w:top w:w="15" w:type="dxa"/>
              <w:left w:w="15" w:type="dxa"/>
              <w:right w:w="15" w:type="dxa"/>
            </w:tcMar>
            <w:vAlign w:val="center"/>
          </w:tcPr>
          <w:p w14:paraId="3A92672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3667" w:type="dxa"/>
            <w:vMerge w:val="continue"/>
            <w:tcBorders>
              <w:tl2br w:val="nil"/>
              <w:tr2bl w:val="nil"/>
            </w:tcBorders>
            <w:shd w:val="clear" w:color="auto" w:fill="auto"/>
            <w:tcMar>
              <w:top w:w="15" w:type="dxa"/>
              <w:left w:w="15" w:type="dxa"/>
              <w:right w:w="15" w:type="dxa"/>
            </w:tcMar>
            <w:vAlign w:val="center"/>
          </w:tcPr>
          <w:p w14:paraId="6E69D15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082" w:type="dxa"/>
            <w:vMerge w:val="continue"/>
            <w:tcBorders>
              <w:tl2br w:val="nil"/>
              <w:tr2bl w:val="nil"/>
            </w:tcBorders>
            <w:shd w:val="clear" w:color="auto" w:fill="auto"/>
            <w:tcMar>
              <w:top w:w="15" w:type="dxa"/>
              <w:left w:w="15" w:type="dxa"/>
              <w:right w:w="15" w:type="dxa"/>
            </w:tcMar>
            <w:vAlign w:val="center"/>
          </w:tcPr>
          <w:p w14:paraId="1B6A57E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59" w:type="dxa"/>
            <w:tcBorders>
              <w:tl2br w:val="nil"/>
              <w:tr2bl w:val="nil"/>
            </w:tcBorders>
            <w:shd w:val="clear" w:color="auto" w:fill="auto"/>
            <w:noWrap/>
            <w:tcMar>
              <w:top w:w="15" w:type="dxa"/>
              <w:left w:w="15" w:type="dxa"/>
              <w:right w:w="15" w:type="dxa"/>
            </w:tcMar>
            <w:vAlign w:val="center"/>
          </w:tcPr>
          <w:p w14:paraId="6AA2FCB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从轻处罚</w:t>
            </w:r>
          </w:p>
        </w:tc>
        <w:tc>
          <w:tcPr>
            <w:tcW w:w="1829" w:type="dxa"/>
            <w:tcBorders>
              <w:tl2br w:val="nil"/>
              <w:tr2bl w:val="nil"/>
            </w:tcBorders>
            <w:shd w:val="clear" w:color="auto" w:fill="auto"/>
            <w:tcMar>
              <w:top w:w="15" w:type="dxa"/>
              <w:left w:w="15" w:type="dxa"/>
              <w:right w:w="15" w:type="dxa"/>
            </w:tcMar>
            <w:vAlign w:val="center"/>
          </w:tcPr>
          <w:p w14:paraId="3255A1D8">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违反《矿山安全法实施条例》第二十一条</w:t>
            </w:r>
            <w:r>
              <w:rPr>
                <w:rFonts w:hint="eastAsia" w:ascii="仿宋_GB2312" w:hAnsi="宋体" w:eastAsia="仿宋_GB2312" w:cs="仿宋_GB2312"/>
                <w:kern w:val="0"/>
                <w:sz w:val="18"/>
                <w:szCs w:val="18"/>
                <w:highlight w:val="none"/>
                <w:lang w:val="en-US" w:eastAsia="zh-CN" w:bidi="ar"/>
              </w:rPr>
              <w:t>5</w:t>
            </w:r>
            <w:r>
              <w:rPr>
                <w:rFonts w:hint="eastAsia" w:ascii="仿宋_GB2312" w:hAnsi="宋体" w:eastAsia="仿宋_GB2312" w:cs="仿宋_GB2312"/>
                <w:kern w:val="0"/>
                <w:sz w:val="18"/>
                <w:szCs w:val="18"/>
                <w:highlight w:val="none"/>
                <w:lang w:bidi="ar"/>
              </w:rPr>
              <w:t>种情形之一的。</w:t>
            </w:r>
          </w:p>
        </w:tc>
        <w:tc>
          <w:tcPr>
            <w:tcW w:w="2655" w:type="dxa"/>
            <w:tcBorders>
              <w:tl2br w:val="nil"/>
              <w:tr2bl w:val="nil"/>
            </w:tcBorders>
            <w:shd w:val="clear" w:color="auto" w:fill="auto"/>
            <w:tcMar>
              <w:top w:w="15" w:type="dxa"/>
              <w:left w:w="15" w:type="dxa"/>
              <w:right w:w="15" w:type="dxa"/>
            </w:tcMar>
            <w:vAlign w:val="center"/>
          </w:tcPr>
          <w:p w14:paraId="060AEF59">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可以处</w:t>
            </w:r>
            <w:r>
              <w:rPr>
                <w:rFonts w:ascii="仿宋_GB2312" w:hAnsi="宋体" w:eastAsia="仿宋_GB2312" w:cs="仿宋_GB2312"/>
                <w:kern w:val="0"/>
                <w:sz w:val="18"/>
                <w:szCs w:val="18"/>
                <w:highlight w:val="none"/>
                <w:lang w:val="de-DE" w:bidi="ar"/>
              </w:rPr>
              <w:t>1.</w:t>
            </w:r>
            <w:r>
              <w:rPr>
                <w:rFonts w:hint="eastAsia" w:ascii="仿宋_GB2312" w:hAnsi="宋体" w:eastAsia="仿宋_GB2312" w:cs="仿宋_GB2312"/>
                <w:kern w:val="0"/>
                <w:sz w:val="18"/>
                <w:szCs w:val="18"/>
                <w:highlight w:val="none"/>
                <w:lang w:bidi="ar"/>
              </w:rPr>
              <w:t>3万元以下的罚款。</w:t>
            </w:r>
          </w:p>
        </w:tc>
      </w:tr>
      <w:tr w14:paraId="00B9EB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6FA712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highlight w:val="none"/>
              </w:rPr>
            </w:pPr>
          </w:p>
        </w:tc>
        <w:tc>
          <w:tcPr>
            <w:tcW w:w="1005" w:type="dxa"/>
            <w:vMerge w:val="continue"/>
            <w:tcBorders>
              <w:tl2br w:val="nil"/>
              <w:tr2bl w:val="nil"/>
            </w:tcBorders>
            <w:shd w:val="clear" w:color="auto" w:fill="auto"/>
            <w:tcMar>
              <w:top w:w="15" w:type="dxa"/>
              <w:left w:w="15" w:type="dxa"/>
              <w:right w:w="15" w:type="dxa"/>
            </w:tcMar>
            <w:vAlign w:val="center"/>
          </w:tcPr>
          <w:p w14:paraId="04322C0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3667" w:type="dxa"/>
            <w:vMerge w:val="continue"/>
            <w:tcBorders>
              <w:tl2br w:val="nil"/>
              <w:tr2bl w:val="nil"/>
            </w:tcBorders>
            <w:shd w:val="clear" w:color="auto" w:fill="auto"/>
            <w:tcMar>
              <w:top w:w="15" w:type="dxa"/>
              <w:left w:w="15" w:type="dxa"/>
              <w:right w:w="15" w:type="dxa"/>
            </w:tcMar>
            <w:vAlign w:val="center"/>
          </w:tcPr>
          <w:p w14:paraId="5F4EC3E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082" w:type="dxa"/>
            <w:vMerge w:val="continue"/>
            <w:tcBorders>
              <w:tl2br w:val="nil"/>
              <w:tr2bl w:val="nil"/>
            </w:tcBorders>
            <w:shd w:val="clear" w:color="auto" w:fill="auto"/>
            <w:tcMar>
              <w:top w:w="15" w:type="dxa"/>
              <w:left w:w="15" w:type="dxa"/>
              <w:right w:w="15" w:type="dxa"/>
            </w:tcMar>
            <w:vAlign w:val="center"/>
          </w:tcPr>
          <w:p w14:paraId="1F4BFAD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59" w:type="dxa"/>
            <w:tcBorders>
              <w:tl2br w:val="nil"/>
              <w:tr2bl w:val="nil"/>
            </w:tcBorders>
            <w:shd w:val="clear" w:color="auto" w:fill="auto"/>
            <w:noWrap/>
            <w:tcMar>
              <w:top w:w="15" w:type="dxa"/>
              <w:left w:w="15" w:type="dxa"/>
              <w:right w:w="15" w:type="dxa"/>
            </w:tcMar>
            <w:vAlign w:val="center"/>
          </w:tcPr>
          <w:p w14:paraId="123BACD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一般处罚</w:t>
            </w:r>
          </w:p>
        </w:tc>
        <w:tc>
          <w:tcPr>
            <w:tcW w:w="1829" w:type="dxa"/>
            <w:tcBorders>
              <w:tl2br w:val="nil"/>
              <w:tr2bl w:val="nil"/>
            </w:tcBorders>
            <w:shd w:val="clear" w:color="auto" w:fill="auto"/>
            <w:tcMar>
              <w:top w:w="15" w:type="dxa"/>
              <w:left w:w="15" w:type="dxa"/>
              <w:right w:w="15" w:type="dxa"/>
            </w:tcMar>
            <w:vAlign w:val="center"/>
          </w:tcPr>
          <w:p w14:paraId="22AE4FBB">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违反《矿山安全法实施条例》第二十一条2种情形的。</w:t>
            </w:r>
          </w:p>
        </w:tc>
        <w:tc>
          <w:tcPr>
            <w:tcW w:w="2655" w:type="dxa"/>
            <w:tcBorders>
              <w:tl2br w:val="nil"/>
              <w:tr2bl w:val="nil"/>
            </w:tcBorders>
            <w:shd w:val="clear" w:color="auto" w:fill="auto"/>
            <w:tcMar>
              <w:top w:w="15" w:type="dxa"/>
              <w:left w:w="15" w:type="dxa"/>
              <w:right w:w="15" w:type="dxa"/>
            </w:tcMar>
            <w:vAlign w:val="center"/>
          </w:tcPr>
          <w:p w14:paraId="1C31AC79">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可以处</w:t>
            </w:r>
            <w:r>
              <w:rPr>
                <w:rFonts w:ascii="仿宋_GB2312" w:hAnsi="宋体" w:eastAsia="仿宋_GB2312" w:cs="仿宋_GB2312"/>
                <w:kern w:val="0"/>
                <w:sz w:val="18"/>
                <w:szCs w:val="18"/>
                <w:highlight w:val="none"/>
                <w:lang w:val="de-DE" w:bidi="ar"/>
              </w:rPr>
              <w:t>1.</w:t>
            </w:r>
            <w:r>
              <w:rPr>
                <w:rFonts w:hint="eastAsia" w:ascii="仿宋_GB2312" w:hAnsi="宋体" w:eastAsia="仿宋_GB2312" w:cs="仿宋_GB2312"/>
                <w:kern w:val="0"/>
                <w:sz w:val="18"/>
                <w:szCs w:val="18"/>
                <w:highlight w:val="none"/>
                <w:lang w:bidi="ar"/>
              </w:rPr>
              <w:t>3万元以上1.8万元以下的罚款。</w:t>
            </w:r>
          </w:p>
        </w:tc>
      </w:tr>
      <w:tr w14:paraId="6956DC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881698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highlight w:val="none"/>
              </w:rPr>
            </w:pPr>
          </w:p>
        </w:tc>
        <w:tc>
          <w:tcPr>
            <w:tcW w:w="1005" w:type="dxa"/>
            <w:vMerge w:val="continue"/>
            <w:tcBorders>
              <w:tl2br w:val="nil"/>
              <w:tr2bl w:val="nil"/>
            </w:tcBorders>
            <w:shd w:val="clear" w:color="auto" w:fill="auto"/>
            <w:tcMar>
              <w:top w:w="15" w:type="dxa"/>
              <w:left w:w="15" w:type="dxa"/>
              <w:right w:w="15" w:type="dxa"/>
            </w:tcMar>
            <w:vAlign w:val="center"/>
          </w:tcPr>
          <w:p w14:paraId="759E1F6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3667" w:type="dxa"/>
            <w:vMerge w:val="continue"/>
            <w:tcBorders>
              <w:tl2br w:val="nil"/>
              <w:tr2bl w:val="nil"/>
            </w:tcBorders>
            <w:shd w:val="clear" w:color="auto" w:fill="auto"/>
            <w:tcMar>
              <w:top w:w="15" w:type="dxa"/>
              <w:left w:w="15" w:type="dxa"/>
              <w:right w:w="15" w:type="dxa"/>
            </w:tcMar>
            <w:vAlign w:val="center"/>
          </w:tcPr>
          <w:p w14:paraId="50E8A20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082" w:type="dxa"/>
            <w:vMerge w:val="continue"/>
            <w:tcBorders>
              <w:tl2br w:val="nil"/>
              <w:tr2bl w:val="nil"/>
            </w:tcBorders>
            <w:shd w:val="clear" w:color="auto" w:fill="auto"/>
            <w:tcMar>
              <w:top w:w="15" w:type="dxa"/>
              <w:left w:w="15" w:type="dxa"/>
              <w:right w:w="15" w:type="dxa"/>
            </w:tcMar>
            <w:vAlign w:val="center"/>
          </w:tcPr>
          <w:p w14:paraId="190AA9D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59" w:type="dxa"/>
            <w:tcBorders>
              <w:tl2br w:val="nil"/>
              <w:tr2bl w:val="nil"/>
            </w:tcBorders>
            <w:shd w:val="clear" w:color="auto" w:fill="auto"/>
            <w:noWrap/>
            <w:tcMar>
              <w:top w:w="15" w:type="dxa"/>
              <w:left w:w="15" w:type="dxa"/>
              <w:right w:w="15" w:type="dxa"/>
            </w:tcMar>
            <w:vAlign w:val="center"/>
          </w:tcPr>
          <w:p w14:paraId="47800B8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从重处罚</w:t>
            </w:r>
          </w:p>
        </w:tc>
        <w:tc>
          <w:tcPr>
            <w:tcW w:w="1829" w:type="dxa"/>
            <w:tcBorders>
              <w:tl2br w:val="nil"/>
              <w:tr2bl w:val="nil"/>
            </w:tcBorders>
            <w:shd w:val="clear" w:color="auto" w:fill="auto"/>
            <w:tcMar>
              <w:top w:w="15" w:type="dxa"/>
              <w:left w:w="15" w:type="dxa"/>
              <w:right w:w="15" w:type="dxa"/>
            </w:tcMar>
            <w:vAlign w:val="center"/>
          </w:tcPr>
          <w:p w14:paraId="315C484A">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违反《矿山安全法实施条例》第二十一条3种及以上情形的。</w:t>
            </w:r>
          </w:p>
        </w:tc>
        <w:tc>
          <w:tcPr>
            <w:tcW w:w="2655" w:type="dxa"/>
            <w:tcBorders>
              <w:tl2br w:val="nil"/>
              <w:tr2bl w:val="nil"/>
            </w:tcBorders>
            <w:shd w:val="clear" w:color="auto" w:fill="auto"/>
            <w:tcMar>
              <w:top w:w="15" w:type="dxa"/>
              <w:left w:w="15" w:type="dxa"/>
              <w:right w:w="15" w:type="dxa"/>
            </w:tcMar>
            <w:vAlign w:val="center"/>
          </w:tcPr>
          <w:p w14:paraId="31C44871">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可以处1.8万元以上2万元以下的罚款。</w:t>
            </w:r>
          </w:p>
        </w:tc>
      </w:tr>
      <w:tr w14:paraId="341005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5474A8E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1</w:t>
            </w:r>
            <w:ins w:id="2540" w:author="LV" w:date="2026-07-14T16:52:20Z">
              <w:r>
                <w:rPr>
                  <w:rFonts w:hint="eastAsia" w:ascii="仿宋_GB2312" w:hAnsi="宋体" w:eastAsia="仿宋_GB2312" w:cs="仿宋_GB2312"/>
                  <w:kern w:val="0"/>
                  <w:sz w:val="18"/>
                  <w:szCs w:val="18"/>
                  <w:lang w:val="en-US" w:eastAsia="zh-CN" w:bidi="ar"/>
                </w:rPr>
                <w:t>30</w:t>
              </w:r>
            </w:ins>
            <w:del w:id="2541" w:author="LV" w:date="2026-07-14T16:52:19Z">
              <w:r>
                <w:rPr>
                  <w:rFonts w:hint="eastAsia" w:ascii="仿宋_GB2312" w:hAnsi="宋体" w:eastAsia="仿宋_GB2312" w:cs="仿宋_GB2312"/>
                  <w:kern w:val="0"/>
                  <w:sz w:val="18"/>
                  <w:szCs w:val="18"/>
                  <w:lang w:val="en-US" w:eastAsia="zh-CN" w:bidi="ar"/>
                </w:rPr>
                <w:delText>23</w:delText>
              </w:r>
            </w:del>
          </w:p>
        </w:tc>
        <w:tc>
          <w:tcPr>
            <w:tcW w:w="1005" w:type="dxa"/>
            <w:vMerge w:val="restart"/>
            <w:tcBorders>
              <w:tl2br w:val="nil"/>
              <w:tr2bl w:val="nil"/>
            </w:tcBorders>
            <w:shd w:val="clear" w:color="auto" w:fill="auto"/>
            <w:tcMar>
              <w:top w:w="15" w:type="dxa"/>
              <w:left w:w="15" w:type="dxa"/>
              <w:right w:w="15" w:type="dxa"/>
            </w:tcMar>
            <w:vAlign w:val="center"/>
          </w:tcPr>
          <w:p w14:paraId="4DB2DCB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煤矿井下风量、风质、风速和作业环境的气候不符合规定的</w:t>
            </w:r>
          </w:p>
        </w:tc>
        <w:tc>
          <w:tcPr>
            <w:tcW w:w="3667" w:type="dxa"/>
            <w:vMerge w:val="restart"/>
            <w:tcBorders>
              <w:tl2br w:val="nil"/>
              <w:tr2bl w:val="nil"/>
            </w:tcBorders>
            <w:shd w:val="clear" w:color="auto" w:fill="auto"/>
            <w:tcMar>
              <w:top w:w="15" w:type="dxa"/>
              <w:left w:w="15" w:type="dxa"/>
              <w:right w:w="15" w:type="dxa"/>
            </w:tcMar>
            <w:vAlign w:val="center"/>
          </w:tcPr>
          <w:p w14:paraId="6176A22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《矿山安全法实施条例》第二十二条 下风量、风质、风速和作业环境的气候，必须符合矿山安全规程的规定。采掘工作面进风风流中，按照体积计算，氧气不得低于20%，二氧化碳不得超过0.5%。井下作业地点的空气温度不得超过28℃;超过时，应当采取降温或者其他防护措施。</w:t>
            </w:r>
          </w:p>
        </w:tc>
        <w:tc>
          <w:tcPr>
            <w:tcW w:w="4082" w:type="dxa"/>
            <w:vMerge w:val="restart"/>
            <w:tcBorders>
              <w:tl2br w:val="nil"/>
              <w:tr2bl w:val="nil"/>
            </w:tcBorders>
            <w:shd w:val="clear" w:color="auto" w:fill="auto"/>
            <w:tcMar>
              <w:top w:w="15" w:type="dxa"/>
              <w:left w:w="15" w:type="dxa"/>
              <w:right w:w="15" w:type="dxa"/>
            </w:tcMar>
            <w:vAlign w:val="center"/>
          </w:tcPr>
          <w:p w14:paraId="5E929DE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《矿山安全法实施条例》第五十四条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违反本条例第十五条、第十六条、第十七条、第十八条、第十九条、第二十条、第二十一条、第二十二条、第二十三条、第二十五条规定的，由劳动行政主管部门责令改正，可以处2万元以下的罚款。</w:t>
            </w:r>
          </w:p>
        </w:tc>
        <w:tc>
          <w:tcPr>
            <w:tcW w:w="459" w:type="dxa"/>
            <w:tcBorders>
              <w:tl2br w:val="nil"/>
              <w:tr2bl w:val="nil"/>
            </w:tcBorders>
            <w:shd w:val="clear" w:color="auto" w:fill="auto"/>
            <w:noWrap/>
            <w:tcMar>
              <w:top w:w="15" w:type="dxa"/>
              <w:left w:w="15" w:type="dxa"/>
              <w:right w:w="15" w:type="dxa"/>
            </w:tcMar>
            <w:vAlign w:val="center"/>
          </w:tcPr>
          <w:p w14:paraId="56AD870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4030D58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9F2E384">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2DB3A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12B41F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24F887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95483B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5D6D13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A18110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07A881B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4F134E6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5AB97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2542" w:author="LV" w:date="2026-07-14T16:52:45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wBefore w:w="0" w:type="auto"/>
          <w:trHeight w:val="462" w:hRule="atLeast"/>
          <w:jc w:val="center"/>
          <w:trPrChange w:id="2542" w:author="LV" w:date="2026-07-14T16:52:45Z">
            <w:trPr>
              <w:gridBefore w:val="2"/>
              <w:wBefore w:w="15" w:type="dxa"/>
              <w:trHeight w:val="567" w:hRule="atLeast"/>
              <w:jc w:val="center"/>
            </w:trPr>
          </w:trPrChange>
        </w:trPr>
        <w:tc>
          <w:tcPr>
            <w:tcW w:w="418" w:type="dxa"/>
            <w:vMerge w:val="continue"/>
            <w:tcBorders>
              <w:tl2br w:val="nil"/>
              <w:tr2bl w:val="nil"/>
            </w:tcBorders>
            <w:shd w:val="clear" w:color="auto" w:fill="auto"/>
            <w:noWrap/>
            <w:tcMar>
              <w:top w:w="15" w:type="dxa"/>
              <w:left w:w="15" w:type="dxa"/>
              <w:right w:w="15" w:type="dxa"/>
            </w:tcMar>
            <w:vAlign w:val="center"/>
            <w:tcPrChange w:id="2543" w:author="LV" w:date="2026-07-14T16:52:45Z">
              <w:tcPr>
                <w:tcW w:w="418" w:type="dxa"/>
                <w:gridSpan w:val="3"/>
                <w:vMerge w:val="continue"/>
                <w:tcBorders>
                  <w:tl2br w:val="nil"/>
                  <w:tr2bl w:val="nil"/>
                </w:tcBorders>
                <w:shd w:val="clear" w:color="auto" w:fill="auto"/>
                <w:noWrap/>
                <w:tcMar>
                  <w:top w:w="15" w:type="dxa"/>
                  <w:left w:w="15" w:type="dxa"/>
                  <w:right w:w="15" w:type="dxa"/>
                </w:tcMar>
                <w:vAlign w:val="center"/>
              </w:tcPr>
            </w:tcPrChange>
          </w:tcPr>
          <w:p w14:paraId="1DB9D30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Change w:id="2544" w:author="LV" w:date="2026-07-14T16:52:45Z">
              <w:tcPr>
                <w:tcW w:w="1005" w:type="dxa"/>
                <w:gridSpan w:val="3"/>
                <w:vMerge w:val="continue"/>
                <w:tcBorders>
                  <w:tl2br w:val="nil"/>
                  <w:tr2bl w:val="nil"/>
                </w:tcBorders>
                <w:shd w:val="clear" w:color="auto" w:fill="auto"/>
                <w:tcMar>
                  <w:top w:w="15" w:type="dxa"/>
                  <w:left w:w="15" w:type="dxa"/>
                  <w:right w:w="15" w:type="dxa"/>
                </w:tcMar>
                <w:vAlign w:val="center"/>
              </w:tcPr>
            </w:tcPrChange>
          </w:tcPr>
          <w:p w14:paraId="2383DA3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Change w:id="2545" w:author="LV" w:date="2026-07-14T16:52:45Z">
              <w:tcPr>
                <w:tcW w:w="3667" w:type="dxa"/>
                <w:gridSpan w:val="3"/>
                <w:vMerge w:val="continue"/>
                <w:tcBorders>
                  <w:tl2br w:val="nil"/>
                  <w:tr2bl w:val="nil"/>
                </w:tcBorders>
                <w:shd w:val="clear" w:color="auto" w:fill="auto"/>
                <w:tcMar>
                  <w:top w:w="15" w:type="dxa"/>
                  <w:left w:w="15" w:type="dxa"/>
                  <w:right w:w="15" w:type="dxa"/>
                </w:tcMar>
                <w:vAlign w:val="center"/>
              </w:tcPr>
            </w:tcPrChange>
          </w:tcPr>
          <w:p w14:paraId="167E3E4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Change w:id="2546" w:author="LV" w:date="2026-07-14T16:52:45Z">
              <w:tcPr>
                <w:tcW w:w="4082" w:type="dxa"/>
                <w:gridSpan w:val="3"/>
                <w:vMerge w:val="continue"/>
                <w:tcBorders>
                  <w:tl2br w:val="nil"/>
                  <w:tr2bl w:val="nil"/>
                </w:tcBorders>
                <w:shd w:val="clear" w:color="auto" w:fill="auto"/>
                <w:tcMar>
                  <w:top w:w="15" w:type="dxa"/>
                  <w:left w:w="15" w:type="dxa"/>
                  <w:right w:w="15" w:type="dxa"/>
                </w:tcMar>
                <w:vAlign w:val="center"/>
              </w:tcPr>
            </w:tcPrChange>
          </w:tcPr>
          <w:p w14:paraId="530C1F9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Change w:id="2547" w:author="LV" w:date="2026-07-14T16:52:45Z">
              <w:tcPr>
                <w:tcW w:w="459" w:type="dxa"/>
                <w:gridSpan w:val="3"/>
                <w:tcBorders>
                  <w:tl2br w:val="nil"/>
                  <w:tr2bl w:val="nil"/>
                </w:tcBorders>
                <w:shd w:val="clear" w:color="auto" w:fill="auto"/>
                <w:noWrap/>
                <w:tcMar>
                  <w:top w:w="15" w:type="dxa"/>
                  <w:left w:w="15" w:type="dxa"/>
                  <w:right w:w="15" w:type="dxa"/>
                </w:tcMar>
                <w:vAlign w:val="center"/>
              </w:tcPr>
            </w:tcPrChange>
          </w:tcPr>
          <w:p w14:paraId="5C44890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Change w:id="2548" w:author="LV" w:date="2026-07-14T16:52:45Z">
              <w:tcPr>
                <w:tcW w:w="1829" w:type="dxa"/>
                <w:gridSpan w:val="3"/>
                <w:tcBorders>
                  <w:tl2br w:val="nil"/>
                  <w:tr2bl w:val="nil"/>
                </w:tcBorders>
                <w:shd w:val="clear" w:color="auto" w:fill="auto"/>
                <w:tcMar>
                  <w:top w:w="15" w:type="dxa"/>
                  <w:left w:w="15" w:type="dxa"/>
                  <w:right w:w="15" w:type="dxa"/>
                </w:tcMar>
                <w:vAlign w:val="center"/>
              </w:tcPr>
            </w:tcPrChange>
          </w:tcPr>
          <w:p w14:paraId="331E3E3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Change w:id="2549" w:author="LV" w:date="2026-07-14T16:52:45Z">
              <w:tcPr>
                <w:tcW w:w="2655" w:type="dxa"/>
                <w:gridSpan w:val="3"/>
                <w:tcBorders>
                  <w:tl2br w:val="nil"/>
                  <w:tr2bl w:val="nil"/>
                </w:tcBorders>
                <w:shd w:val="clear" w:color="auto" w:fill="auto"/>
                <w:tcMar>
                  <w:top w:w="15" w:type="dxa"/>
                  <w:left w:w="15" w:type="dxa"/>
                  <w:right w:w="15" w:type="dxa"/>
                </w:tcMar>
                <w:vAlign w:val="center"/>
              </w:tcPr>
            </w:tcPrChange>
          </w:tcPr>
          <w:p w14:paraId="4C6DC9D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8EE34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E605BB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415988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18C61A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1DDB2D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71D309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346C1F32">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井下风量、风质、风速和作业环境的气候有1处不符合规定的。</w:t>
            </w:r>
          </w:p>
        </w:tc>
        <w:tc>
          <w:tcPr>
            <w:tcW w:w="2655" w:type="dxa"/>
            <w:tcBorders>
              <w:tl2br w:val="nil"/>
              <w:tr2bl w:val="nil"/>
            </w:tcBorders>
            <w:shd w:val="clear" w:color="auto" w:fill="auto"/>
            <w:tcMar>
              <w:top w:w="15" w:type="dxa"/>
              <w:left w:w="15" w:type="dxa"/>
              <w:right w:w="15" w:type="dxa"/>
            </w:tcMar>
            <w:vAlign w:val="center"/>
          </w:tcPr>
          <w:p w14:paraId="27A7959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w:t>
            </w:r>
            <w:r>
              <w:rPr>
                <w:rFonts w:ascii="仿宋_GB2312" w:hAnsi="宋体" w:eastAsia="仿宋_GB2312" w:cs="仿宋_GB2312"/>
                <w:kern w:val="0"/>
                <w:sz w:val="18"/>
                <w:szCs w:val="18"/>
                <w:lang w:val="de-DE" w:bidi="ar"/>
              </w:rPr>
              <w:t>1.</w:t>
            </w:r>
            <w:r>
              <w:rPr>
                <w:rFonts w:hint="eastAsia" w:ascii="仿宋_GB2312" w:hAnsi="宋体" w:eastAsia="仿宋_GB2312" w:cs="仿宋_GB2312"/>
                <w:kern w:val="0"/>
                <w:sz w:val="18"/>
                <w:szCs w:val="18"/>
                <w:lang w:bidi="ar"/>
              </w:rPr>
              <w:t>3万元以下的罚款。</w:t>
            </w:r>
          </w:p>
        </w:tc>
      </w:tr>
      <w:tr w14:paraId="0B5137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8A4BBA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4935E2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BD09C1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74A20E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2B2F1D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561634C3">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井下风量、风质、风速和作业环境的气候有2处不符合规定的。</w:t>
            </w:r>
          </w:p>
        </w:tc>
        <w:tc>
          <w:tcPr>
            <w:tcW w:w="2655" w:type="dxa"/>
            <w:tcBorders>
              <w:tl2br w:val="nil"/>
              <w:tr2bl w:val="nil"/>
            </w:tcBorders>
            <w:shd w:val="clear" w:color="auto" w:fill="auto"/>
            <w:tcMar>
              <w:top w:w="15" w:type="dxa"/>
              <w:left w:w="15" w:type="dxa"/>
              <w:right w:w="15" w:type="dxa"/>
            </w:tcMar>
            <w:vAlign w:val="center"/>
          </w:tcPr>
          <w:p w14:paraId="49D240F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w:t>
            </w:r>
            <w:r>
              <w:rPr>
                <w:rFonts w:ascii="仿宋_GB2312" w:hAnsi="宋体" w:eastAsia="仿宋_GB2312" w:cs="仿宋_GB2312"/>
                <w:kern w:val="0"/>
                <w:sz w:val="18"/>
                <w:szCs w:val="18"/>
                <w:lang w:val="de-DE" w:bidi="ar"/>
              </w:rPr>
              <w:t>1.</w:t>
            </w:r>
            <w:r>
              <w:rPr>
                <w:rFonts w:hint="eastAsia" w:ascii="仿宋_GB2312" w:hAnsi="宋体" w:eastAsia="仿宋_GB2312" w:cs="仿宋_GB2312"/>
                <w:kern w:val="0"/>
                <w:sz w:val="18"/>
                <w:szCs w:val="18"/>
                <w:lang w:bidi="ar"/>
              </w:rPr>
              <w:t>3万元以上1.8万元以下的罚款。</w:t>
            </w:r>
          </w:p>
        </w:tc>
      </w:tr>
      <w:tr w14:paraId="1AE6E2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2550" w:author="LV" w:date="2026-07-14T16:52:49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wBefore w:w="0" w:type="auto"/>
          <w:trHeight w:val="1305" w:hRule="atLeast"/>
          <w:jc w:val="center"/>
          <w:trPrChange w:id="2550" w:author="LV" w:date="2026-07-14T16:52:49Z">
            <w:trPr>
              <w:gridBefore w:val="2"/>
              <w:wBefore w:w="15" w:type="dxa"/>
              <w:trHeight w:val="567" w:hRule="atLeast"/>
              <w:jc w:val="center"/>
            </w:trPr>
          </w:trPrChange>
        </w:trPr>
        <w:tc>
          <w:tcPr>
            <w:tcW w:w="418" w:type="dxa"/>
            <w:vMerge w:val="continue"/>
            <w:tcBorders>
              <w:tl2br w:val="nil"/>
              <w:tr2bl w:val="nil"/>
            </w:tcBorders>
            <w:shd w:val="clear" w:color="auto" w:fill="auto"/>
            <w:noWrap/>
            <w:tcMar>
              <w:top w:w="15" w:type="dxa"/>
              <w:left w:w="15" w:type="dxa"/>
              <w:right w:w="15" w:type="dxa"/>
            </w:tcMar>
            <w:vAlign w:val="center"/>
            <w:tcPrChange w:id="2551" w:author="LV" w:date="2026-07-14T16:52:49Z">
              <w:tcPr>
                <w:tcW w:w="418" w:type="dxa"/>
                <w:gridSpan w:val="3"/>
                <w:vMerge w:val="continue"/>
                <w:tcBorders>
                  <w:tl2br w:val="nil"/>
                  <w:tr2bl w:val="nil"/>
                </w:tcBorders>
                <w:shd w:val="clear" w:color="auto" w:fill="auto"/>
                <w:noWrap/>
                <w:tcMar>
                  <w:top w:w="15" w:type="dxa"/>
                  <w:left w:w="15" w:type="dxa"/>
                  <w:right w:w="15" w:type="dxa"/>
                </w:tcMar>
                <w:vAlign w:val="center"/>
              </w:tcPr>
            </w:tcPrChange>
          </w:tcPr>
          <w:p w14:paraId="71EA9C2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Change w:id="2552" w:author="LV" w:date="2026-07-14T16:52:49Z">
              <w:tcPr>
                <w:tcW w:w="1005" w:type="dxa"/>
                <w:gridSpan w:val="3"/>
                <w:vMerge w:val="continue"/>
                <w:tcBorders>
                  <w:tl2br w:val="nil"/>
                  <w:tr2bl w:val="nil"/>
                </w:tcBorders>
                <w:shd w:val="clear" w:color="auto" w:fill="auto"/>
                <w:tcMar>
                  <w:top w:w="15" w:type="dxa"/>
                  <w:left w:w="15" w:type="dxa"/>
                  <w:right w:w="15" w:type="dxa"/>
                </w:tcMar>
                <w:vAlign w:val="center"/>
              </w:tcPr>
            </w:tcPrChange>
          </w:tcPr>
          <w:p w14:paraId="7EF5258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Change w:id="2553" w:author="LV" w:date="2026-07-14T16:52:49Z">
              <w:tcPr>
                <w:tcW w:w="3667" w:type="dxa"/>
                <w:gridSpan w:val="3"/>
                <w:vMerge w:val="continue"/>
                <w:tcBorders>
                  <w:tl2br w:val="nil"/>
                  <w:tr2bl w:val="nil"/>
                </w:tcBorders>
                <w:shd w:val="clear" w:color="auto" w:fill="auto"/>
                <w:tcMar>
                  <w:top w:w="15" w:type="dxa"/>
                  <w:left w:w="15" w:type="dxa"/>
                  <w:right w:w="15" w:type="dxa"/>
                </w:tcMar>
                <w:vAlign w:val="center"/>
              </w:tcPr>
            </w:tcPrChange>
          </w:tcPr>
          <w:p w14:paraId="5AF3AD4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Change w:id="2554" w:author="LV" w:date="2026-07-14T16:52:49Z">
              <w:tcPr>
                <w:tcW w:w="4082" w:type="dxa"/>
                <w:gridSpan w:val="3"/>
                <w:vMerge w:val="continue"/>
                <w:tcBorders>
                  <w:tl2br w:val="nil"/>
                  <w:tr2bl w:val="nil"/>
                </w:tcBorders>
                <w:shd w:val="clear" w:color="auto" w:fill="auto"/>
                <w:tcMar>
                  <w:top w:w="15" w:type="dxa"/>
                  <w:left w:w="15" w:type="dxa"/>
                  <w:right w:w="15" w:type="dxa"/>
                </w:tcMar>
                <w:vAlign w:val="center"/>
              </w:tcPr>
            </w:tcPrChange>
          </w:tcPr>
          <w:p w14:paraId="3D5B7BE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Change w:id="2555" w:author="LV" w:date="2026-07-14T16:52:49Z">
              <w:tcPr>
                <w:tcW w:w="459" w:type="dxa"/>
                <w:gridSpan w:val="3"/>
                <w:tcBorders>
                  <w:tl2br w:val="nil"/>
                  <w:tr2bl w:val="nil"/>
                </w:tcBorders>
                <w:shd w:val="clear" w:color="auto" w:fill="auto"/>
                <w:noWrap/>
                <w:tcMar>
                  <w:top w:w="15" w:type="dxa"/>
                  <w:left w:w="15" w:type="dxa"/>
                  <w:right w:w="15" w:type="dxa"/>
                </w:tcMar>
                <w:vAlign w:val="center"/>
              </w:tcPr>
            </w:tcPrChange>
          </w:tcPr>
          <w:p w14:paraId="77221BC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Change w:id="2556" w:author="LV" w:date="2026-07-14T16:52:49Z">
              <w:tcPr>
                <w:tcW w:w="1829" w:type="dxa"/>
                <w:gridSpan w:val="3"/>
                <w:tcBorders>
                  <w:tl2br w:val="nil"/>
                  <w:tr2bl w:val="nil"/>
                </w:tcBorders>
                <w:shd w:val="clear" w:color="auto" w:fill="auto"/>
                <w:tcMar>
                  <w:top w:w="15" w:type="dxa"/>
                  <w:left w:w="15" w:type="dxa"/>
                  <w:right w:w="15" w:type="dxa"/>
                </w:tcMar>
                <w:vAlign w:val="center"/>
              </w:tcPr>
            </w:tcPrChange>
          </w:tcPr>
          <w:p w14:paraId="48602514">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pacing w:val="-9"/>
                <w:sz w:val="18"/>
                <w:szCs w:val="18"/>
              </w:rPr>
            </w:pPr>
            <w:r>
              <w:rPr>
                <w:rFonts w:hint="eastAsia" w:ascii="仿宋_GB2312" w:hAnsi="宋体" w:eastAsia="仿宋_GB2312" w:cs="仿宋_GB2312"/>
                <w:spacing w:val="-9"/>
                <w:kern w:val="0"/>
                <w:sz w:val="18"/>
                <w:szCs w:val="18"/>
                <w:lang w:bidi="ar"/>
              </w:rPr>
              <w:t>井下风量、风质、风速和作业环境的气候有3处及以上不符合规定</w:t>
            </w:r>
            <w:r>
              <w:rPr>
                <w:rFonts w:hint="eastAsia" w:ascii="仿宋_GB2312" w:hAnsi="宋体" w:eastAsia="仿宋_GB2312" w:cs="仿宋_GB2312"/>
                <w:spacing w:val="-9"/>
                <w:kern w:val="0"/>
                <w:sz w:val="18"/>
                <w:szCs w:val="18"/>
                <w:lang w:eastAsia="zh-CN" w:bidi="ar"/>
              </w:rPr>
              <w:t>，</w:t>
            </w:r>
            <w:r>
              <w:rPr>
                <w:rFonts w:hint="eastAsia" w:ascii="仿宋_GB2312" w:hAnsi="宋体" w:eastAsia="仿宋_GB2312" w:cs="仿宋_GB2312"/>
                <w:spacing w:val="-9"/>
                <w:kern w:val="0"/>
                <w:sz w:val="18"/>
                <w:szCs w:val="18"/>
                <w:lang w:val="en-US" w:eastAsia="zh-CN" w:bidi="ar"/>
              </w:rPr>
              <w:t>或是井下作业地点空气温度超标时未采取降温或者其他防护措施的</w:t>
            </w:r>
            <w:r>
              <w:rPr>
                <w:rFonts w:hint="eastAsia" w:ascii="仿宋_GB2312" w:hAnsi="宋体" w:eastAsia="仿宋_GB2312" w:cs="仿宋_GB2312"/>
                <w:spacing w:val="-9"/>
                <w:kern w:val="0"/>
                <w:sz w:val="18"/>
                <w:szCs w:val="18"/>
                <w:lang w:bidi="ar"/>
              </w:rPr>
              <w:t>。</w:t>
            </w:r>
          </w:p>
        </w:tc>
        <w:tc>
          <w:tcPr>
            <w:tcW w:w="2655" w:type="dxa"/>
            <w:tcBorders>
              <w:tl2br w:val="nil"/>
              <w:tr2bl w:val="nil"/>
            </w:tcBorders>
            <w:shd w:val="clear" w:color="auto" w:fill="auto"/>
            <w:tcMar>
              <w:top w:w="15" w:type="dxa"/>
              <w:left w:w="15" w:type="dxa"/>
              <w:right w:w="15" w:type="dxa"/>
            </w:tcMar>
            <w:vAlign w:val="center"/>
            <w:tcPrChange w:id="2557" w:author="LV" w:date="2026-07-14T16:52:49Z">
              <w:tcPr>
                <w:tcW w:w="2655" w:type="dxa"/>
                <w:gridSpan w:val="3"/>
                <w:tcBorders>
                  <w:tl2br w:val="nil"/>
                  <w:tr2bl w:val="nil"/>
                </w:tcBorders>
                <w:shd w:val="clear" w:color="auto" w:fill="auto"/>
                <w:tcMar>
                  <w:top w:w="15" w:type="dxa"/>
                  <w:left w:w="15" w:type="dxa"/>
                  <w:right w:w="15" w:type="dxa"/>
                </w:tcMar>
                <w:vAlign w:val="center"/>
              </w:tcPr>
            </w:tcPrChange>
          </w:tcPr>
          <w:p w14:paraId="72F41D8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可以处1.8万元以上2万元以下的罚款。</w:t>
            </w:r>
          </w:p>
        </w:tc>
      </w:tr>
      <w:tr w14:paraId="0E84A7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2558" w:author="LV" w:date="2026-07-14T16:52:55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wBefore w:w="0" w:type="auto"/>
          <w:trHeight w:val="462" w:hRule="atLeast"/>
          <w:jc w:val="center"/>
          <w:trPrChange w:id="2558" w:author="LV" w:date="2026-07-14T16:52:55Z">
            <w:trPr>
              <w:gridBefore w:val="2"/>
              <w:wBefore w:w="15" w:type="dxa"/>
              <w:trHeight w:val="567" w:hRule="atLeast"/>
              <w:jc w:val="center"/>
            </w:trPr>
          </w:trPrChange>
        </w:trPr>
        <w:tc>
          <w:tcPr>
            <w:tcW w:w="418" w:type="dxa"/>
            <w:vMerge w:val="restart"/>
            <w:tcBorders>
              <w:tl2br w:val="nil"/>
              <w:tr2bl w:val="nil"/>
            </w:tcBorders>
            <w:shd w:val="clear" w:color="auto" w:fill="auto"/>
            <w:noWrap/>
            <w:tcMar>
              <w:top w:w="15" w:type="dxa"/>
              <w:left w:w="15" w:type="dxa"/>
              <w:right w:w="15" w:type="dxa"/>
            </w:tcMar>
            <w:vAlign w:val="center"/>
            <w:tcPrChange w:id="2559" w:author="LV" w:date="2026-07-14T16:52:55Z">
              <w:tcPr>
                <w:tcW w:w="418" w:type="dxa"/>
                <w:gridSpan w:val="3"/>
                <w:vMerge w:val="restart"/>
                <w:tcBorders>
                  <w:tl2br w:val="nil"/>
                  <w:tr2bl w:val="nil"/>
                </w:tcBorders>
                <w:shd w:val="clear" w:color="auto" w:fill="auto"/>
                <w:noWrap/>
                <w:tcMar>
                  <w:top w:w="15" w:type="dxa"/>
                  <w:left w:w="15" w:type="dxa"/>
                  <w:right w:w="15" w:type="dxa"/>
                </w:tcMar>
                <w:vAlign w:val="center"/>
              </w:tcPr>
            </w:tcPrChange>
          </w:tcPr>
          <w:p w14:paraId="6FA8CF5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1</w:t>
            </w:r>
            <w:del w:id="2560" w:author="LV" w:date="2026-07-14T16:53:37Z">
              <w:r>
                <w:rPr>
                  <w:rFonts w:hint="default" w:ascii="仿宋_GB2312" w:hAnsi="宋体" w:eastAsia="仿宋_GB2312" w:cs="仿宋_GB2312"/>
                  <w:kern w:val="0"/>
                  <w:sz w:val="18"/>
                  <w:szCs w:val="18"/>
                  <w:lang w:val="en-US" w:bidi="ar"/>
                </w:rPr>
                <w:delText>2</w:delText>
              </w:r>
            </w:del>
            <w:del w:id="2561" w:author="LV" w:date="2026-07-14T16:53:37Z">
              <w:r>
                <w:rPr>
                  <w:rFonts w:hint="default" w:ascii="仿宋_GB2312" w:hAnsi="宋体" w:eastAsia="仿宋_GB2312" w:cs="仿宋_GB2312"/>
                  <w:kern w:val="0"/>
                  <w:sz w:val="18"/>
                  <w:szCs w:val="18"/>
                  <w:lang w:val="en-US" w:eastAsia="zh-CN" w:bidi="ar"/>
                </w:rPr>
                <w:delText>4</w:delText>
              </w:r>
            </w:del>
            <w:ins w:id="2562" w:author="LV" w:date="2026-07-14T16:53:37Z">
              <w:r>
                <w:rPr>
                  <w:rFonts w:hint="eastAsia" w:ascii="仿宋_GB2312" w:hAnsi="宋体" w:eastAsia="仿宋_GB2312" w:cs="仿宋_GB2312"/>
                  <w:kern w:val="0"/>
                  <w:sz w:val="18"/>
                  <w:szCs w:val="18"/>
                  <w:lang w:val="en-US" w:eastAsia="zh-CN" w:bidi="ar"/>
                </w:rPr>
                <w:t>3</w:t>
              </w:r>
            </w:ins>
            <w:ins w:id="2563" w:author="LV" w:date="2026-07-14T16:53:38Z">
              <w:r>
                <w:rPr>
                  <w:rFonts w:hint="eastAsia" w:ascii="仿宋_GB2312" w:hAnsi="宋体" w:eastAsia="仿宋_GB2312" w:cs="仿宋_GB2312"/>
                  <w:kern w:val="0"/>
                  <w:sz w:val="18"/>
                  <w:szCs w:val="18"/>
                  <w:lang w:val="en-US" w:eastAsia="zh-CN" w:bidi="ar"/>
                </w:rPr>
                <w:t>1</w:t>
              </w:r>
            </w:ins>
          </w:p>
        </w:tc>
        <w:tc>
          <w:tcPr>
            <w:tcW w:w="1005" w:type="dxa"/>
            <w:vMerge w:val="restart"/>
            <w:tcBorders>
              <w:tl2br w:val="nil"/>
              <w:tr2bl w:val="nil"/>
            </w:tcBorders>
            <w:shd w:val="clear" w:color="auto" w:fill="auto"/>
            <w:tcMar>
              <w:top w:w="15" w:type="dxa"/>
              <w:left w:w="15" w:type="dxa"/>
              <w:right w:w="15" w:type="dxa"/>
            </w:tcMar>
            <w:vAlign w:val="center"/>
            <w:tcPrChange w:id="2564" w:author="LV" w:date="2026-07-14T16:52:55Z">
              <w:tcPr>
                <w:tcW w:w="1005" w:type="dxa"/>
                <w:gridSpan w:val="3"/>
                <w:vMerge w:val="restart"/>
                <w:tcBorders>
                  <w:tl2br w:val="nil"/>
                  <w:tr2bl w:val="nil"/>
                </w:tcBorders>
                <w:shd w:val="clear" w:color="auto" w:fill="auto"/>
                <w:tcMar>
                  <w:top w:w="15" w:type="dxa"/>
                  <w:left w:w="15" w:type="dxa"/>
                  <w:right w:w="15" w:type="dxa"/>
                </w:tcMar>
                <w:vAlign w:val="center"/>
              </w:tcPr>
            </w:tcPrChange>
          </w:tcPr>
          <w:p w14:paraId="7C20A0C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煤矿企业对地面、井下产生粉尘的作业未采取综合防尘措施，控制粉尘危害的</w:t>
            </w:r>
          </w:p>
        </w:tc>
        <w:tc>
          <w:tcPr>
            <w:tcW w:w="3667" w:type="dxa"/>
            <w:vMerge w:val="restart"/>
            <w:tcBorders>
              <w:tl2br w:val="nil"/>
              <w:tr2bl w:val="nil"/>
            </w:tcBorders>
            <w:shd w:val="clear" w:color="auto" w:fill="auto"/>
            <w:tcMar>
              <w:top w:w="15" w:type="dxa"/>
              <w:left w:w="15" w:type="dxa"/>
              <w:right w:w="15" w:type="dxa"/>
            </w:tcMar>
            <w:vAlign w:val="center"/>
            <w:tcPrChange w:id="2565" w:author="LV" w:date="2026-07-14T16:52:55Z">
              <w:tcPr>
                <w:tcW w:w="3667" w:type="dxa"/>
                <w:gridSpan w:val="3"/>
                <w:vMerge w:val="restart"/>
                <w:tcBorders>
                  <w:tl2br w:val="nil"/>
                  <w:tr2bl w:val="nil"/>
                </w:tcBorders>
                <w:shd w:val="clear" w:color="auto" w:fill="auto"/>
                <w:tcMar>
                  <w:top w:w="15" w:type="dxa"/>
                  <w:left w:w="15" w:type="dxa"/>
                  <w:right w:w="15" w:type="dxa"/>
                </w:tcMar>
                <w:vAlign w:val="center"/>
              </w:tcPr>
            </w:tcPrChange>
          </w:tcPr>
          <w:p w14:paraId="7B5C5AF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《矿山安全法实施条例》第二十五条 矿山企业对地面、井下产生粉尘的作业，应当采取综合防尘措施，控制粉尘危害。井下风动凿岩，禁止干打眼。</w:t>
            </w:r>
          </w:p>
        </w:tc>
        <w:tc>
          <w:tcPr>
            <w:tcW w:w="4082" w:type="dxa"/>
            <w:vMerge w:val="restart"/>
            <w:tcBorders>
              <w:tl2br w:val="nil"/>
              <w:tr2bl w:val="nil"/>
            </w:tcBorders>
            <w:shd w:val="clear" w:color="auto" w:fill="auto"/>
            <w:tcMar>
              <w:top w:w="15" w:type="dxa"/>
              <w:left w:w="15" w:type="dxa"/>
              <w:right w:w="15" w:type="dxa"/>
            </w:tcMar>
            <w:vAlign w:val="center"/>
            <w:tcPrChange w:id="2566" w:author="LV" w:date="2026-07-14T16:52:55Z">
              <w:tcPr>
                <w:tcW w:w="4082" w:type="dxa"/>
                <w:gridSpan w:val="3"/>
                <w:vMerge w:val="restart"/>
                <w:tcBorders>
                  <w:tl2br w:val="nil"/>
                  <w:tr2bl w:val="nil"/>
                </w:tcBorders>
                <w:shd w:val="clear" w:color="auto" w:fill="auto"/>
                <w:tcMar>
                  <w:top w:w="15" w:type="dxa"/>
                  <w:left w:w="15" w:type="dxa"/>
                  <w:right w:w="15" w:type="dxa"/>
                </w:tcMar>
                <w:vAlign w:val="center"/>
              </w:tcPr>
            </w:tcPrChange>
          </w:tcPr>
          <w:p w14:paraId="4FDC2AD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《矿山安全法实施条例》第五十四条 违反本条例第十五条、第十六条、第十七条、第十八条、第十九条、第二十条、第二十一条、第二十二条、第二十三条、第二十五条规定的，由劳动行政主管部门责令改正，可以处2万元以下的罚款。</w:t>
            </w:r>
          </w:p>
        </w:tc>
        <w:tc>
          <w:tcPr>
            <w:tcW w:w="459" w:type="dxa"/>
            <w:tcBorders>
              <w:tl2br w:val="nil"/>
              <w:tr2bl w:val="nil"/>
            </w:tcBorders>
            <w:shd w:val="clear" w:color="auto" w:fill="auto"/>
            <w:noWrap/>
            <w:tcMar>
              <w:top w:w="15" w:type="dxa"/>
              <w:left w:w="15" w:type="dxa"/>
              <w:right w:w="15" w:type="dxa"/>
            </w:tcMar>
            <w:vAlign w:val="center"/>
            <w:tcPrChange w:id="2567" w:author="LV" w:date="2026-07-14T16:52:55Z">
              <w:tcPr>
                <w:tcW w:w="459" w:type="dxa"/>
                <w:gridSpan w:val="3"/>
                <w:tcBorders>
                  <w:tl2br w:val="nil"/>
                  <w:tr2bl w:val="nil"/>
                </w:tcBorders>
                <w:shd w:val="clear" w:color="auto" w:fill="auto"/>
                <w:noWrap/>
                <w:tcMar>
                  <w:top w:w="15" w:type="dxa"/>
                  <w:left w:w="15" w:type="dxa"/>
                  <w:right w:w="15" w:type="dxa"/>
                </w:tcMar>
                <w:vAlign w:val="center"/>
              </w:tcPr>
            </w:tcPrChange>
          </w:tcPr>
          <w:p w14:paraId="0F13094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Change w:id="2568" w:author="LV" w:date="2026-07-14T16:52:55Z">
              <w:tcPr>
                <w:tcW w:w="1829" w:type="dxa"/>
                <w:gridSpan w:val="3"/>
                <w:tcBorders>
                  <w:tl2br w:val="nil"/>
                  <w:tr2bl w:val="nil"/>
                </w:tcBorders>
                <w:shd w:val="clear" w:color="auto" w:fill="auto"/>
                <w:tcMar>
                  <w:top w:w="15" w:type="dxa"/>
                  <w:left w:w="15" w:type="dxa"/>
                  <w:right w:w="15" w:type="dxa"/>
                </w:tcMar>
                <w:vAlign w:val="center"/>
              </w:tcPr>
            </w:tcPrChange>
          </w:tcPr>
          <w:p w14:paraId="0335C71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Change w:id="2569" w:author="LV" w:date="2026-07-14T16:52:55Z">
              <w:tcPr>
                <w:tcW w:w="2655" w:type="dxa"/>
                <w:gridSpan w:val="3"/>
                <w:tcBorders>
                  <w:tl2br w:val="nil"/>
                  <w:tr2bl w:val="nil"/>
                </w:tcBorders>
                <w:shd w:val="clear" w:color="auto" w:fill="auto"/>
                <w:tcMar>
                  <w:top w:w="15" w:type="dxa"/>
                  <w:left w:w="15" w:type="dxa"/>
                  <w:right w:w="15" w:type="dxa"/>
                </w:tcMar>
                <w:vAlign w:val="center"/>
              </w:tcPr>
            </w:tcPrChange>
          </w:tcPr>
          <w:p w14:paraId="3C8E75B3">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88CBE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2570" w:author="LV" w:date="2026-07-14T16:52:53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wBefore w:w="0" w:type="auto"/>
          <w:trHeight w:val="512" w:hRule="atLeast"/>
          <w:jc w:val="center"/>
          <w:trPrChange w:id="2570" w:author="LV" w:date="2026-07-14T16:52:53Z">
            <w:trPr>
              <w:gridBefore w:val="2"/>
              <w:wBefore w:w="15" w:type="dxa"/>
              <w:trHeight w:val="567" w:hRule="atLeast"/>
              <w:jc w:val="center"/>
            </w:trPr>
          </w:trPrChange>
        </w:trPr>
        <w:tc>
          <w:tcPr>
            <w:tcW w:w="418" w:type="dxa"/>
            <w:vMerge w:val="continue"/>
            <w:tcBorders>
              <w:tl2br w:val="nil"/>
              <w:tr2bl w:val="nil"/>
            </w:tcBorders>
            <w:shd w:val="clear" w:color="auto" w:fill="auto"/>
            <w:noWrap/>
            <w:tcMar>
              <w:top w:w="15" w:type="dxa"/>
              <w:left w:w="15" w:type="dxa"/>
              <w:right w:w="15" w:type="dxa"/>
            </w:tcMar>
            <w:vAlign w:val="center"/>
            <w:tcPrChange w:id="2571" w:author="LV" w:date="2026-07-14T16:52:53Z">
              <w:tcPr>
                <w:tcW w:w="418" w:type="dxa"/>
                <w:gridSpan w:val="3"/>
                <w:vMerge w:val="continue"/>
                <w:tcBorders>
                  <w:tl2br w:val="nil"/>
                  <w:tr2bl w:val="nil"/>
                </w:tcBorders>
                <w:shd w:val="clear" w:color="auto" w:fill="auto"/>
                <w:noWrap/>
                <w:tcMar>
                  <w:top w:w="15" w:type="dxa"/>
                  <w:left w:w="15" w:type="dxa"/>
                  <w:right w:w="15" w:type="dxa"/>
                </w:tcMar>
                <w:vAlign w:val="center"/>
              </w:tcPr>
            </w:tcPrChange>
          </w:tcPr>
          <w:p w14:paraId="46DCBAD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Change w:id="2572" w:author="LV" w:date="2026-07-14T16:52:53Z">
              <w:tcPr>
                <w:tcW w:w="1005" w:type="dxa"/>
                <w:gridSpan w:val="3"/>
                <w:vMerge w:val="continue"/>
                <w:tcBorders>
                  <w:tl2br w:val="nil"/>
                  <w:tr2bl w:val="nil"/>
                </w:tcBorders>
                <w:shd w:val="clear" w:color="auto" w:fill="auto"/>
                <w:tcMar>
                  <w:top w:w="15" w:type="dxa"/>
                  <w:left w:w="15" w:type="dxa"/>
                  <w:right w:w="15" w:type="dxa"/>
                </w:tcMar>
                <w:vAlign w:val="center"/>
              </w:tcPr>
            </w:tcPrChange>
          </w:tcPr>
          <w:p w14:paraId="3475870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Change w:id="2573" w:author="LV" w:date="2026-07-14T16:52:53Z">
              <w:tcPr>
                <w:tcW w:w="3667" w:type="dxa"/>
                <w:gridSpan w:val="3"/>
                <w:vMerge w:val="continue"/>
                <w:tcBorders>
                  <w:tl2br w:val="nil"/>
                  <w:tr2bl w:val="nil"/>
                </w:tcBorders>
                <w:shd w:val="clear" w:color="auto" w:fill="auto"/>
                <w:tcMar>
                  <w:top w:w="15" w:type="dxa"/>
                  <w:left w:w="15" w:type="dxa"/>
                  <w:right w:w="15" w:type="dxa"/>
                </w:tcMar>
                <w:vAlign w:val="center"/>
              </w:tcPr>
            </w:tcPrChange>
          </w:tcPr>
          <w:p w14:paraId="1A971CB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Change w:id="2574" w:author="LV" w:date="2026-07-14T16:52:53Z">
              <w:tcPr>
                <w:tcW w:w="4082" w:type="dxa"/>
                <w:gridSpan w:val="3"/>
                <w:vMerge w:val="continue"/>
                <w:tcBorders>
                  <w:tl2br w:val="nil"/>
                  <w:tr2bl w:val="nil"/>
                </w:tcBorders>
                <w:shd w:val="clear" w:color="auto" w:fill="auto"/>
                <w:tcMar>
                  <w:top w:w="15" w:type="dxa"/>
                  <w:left w:w="15" w:type="dxa"/>
                  <w:right w:w="15" w:type="dxa"/>
                </w:tcMar>
                <w:vAlign w:val="center"/>
              </w:tcPr>
            </w:tcPrChange>
          </w:tcPr>
          <w:p w14:paraId="6B39733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Change w:id="2575" w:author="LV" w:date="2026-07-14T16:52:53Z">
              <w:tcPr>
                <w:tcW w:w="459" w:type="dxa"/>
                <w:gridSpan w:val="3"/>
                <w:tcBorders>
                  <w:tl2br w:val="nil"/>
                  <w:tr2bl w:val="nil"/>
                </w:tcBorders>
                <w:shd w:val="clear" w:color="auto" w:fill="auto"/>
                <w:noWrap/>
                <w:tcMar>
                  <w:top w:w="15" w:type="dxa"/>
                  <w:left w:w="15" w:type="dxa"/>
                  <w:right w:w="15" w:type="dxa"/>
                </w:tcMar>
                <w:vAlign w:val="center"/>
              </w:tcPr>
            </w:tcPrChange>
          </w:tcPr>
          <w:p w14:paraId="338CDEF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Change w:id="2576" w:author="LV" w:date="2026-07-14T16:52:53Z">
              <w:tcPr>
                <w:tcW w:w="1829" w:type="dxa"/>
                <w:gridSpan w:val="3"/>
                <w:tcBorders>
                  <w:tl2br w:val="nil"/>
                  <w:tr2bl w:val="nil"/>
                </w:tcBorders>
                <w:shd w:val="clear" w:color="auto" w:fill="auto"/>
                <w:tcMar>
                  <w:top w:w="15" w:type="dxa"/>
                  <w:left w:w="15" w:type="dxa"/>
                  <w:right w:w="15" w:type="dxa"/>
                </w:tcMar>
                <w:vAlign w:val="center"/>
              </w:tcPr>
            </w:tcPrChange>
          </w:tcPr>
          <w:p w14:paraId="1C69974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Change w:id="2577" w:author="LV" w:date="2026-07-14T16:52:53Z">
              <w:tcPr>
                <w:tcW w:w="2655" w:type="dxa"/>
                <w:gridSpan w:val="3"/>
                <w:tcBorders>
                  <w:tl2br w:val="nil"/>
                  <w:tr2bl w:val="nil"/>
                </w:tcBorders>
                <w:shd w:val="clear" w:color="auto" w:fill="auto"/>
                <w:tcMar>
                  <w:top w:w="15" w:type="dxa"/>
                  <w:left w:w="15" w:type="dxa"/>
                  <w:right w:w="15" w:type="dxa"/>
                </w:tcMar>
                <w:vAlign w:val="center"/>
              </w:tcPr>
            </w:tcPrChange>
          </w:tcPr>
          <w:p w14:paraId="1D2BC37D">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07066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2578" w:author="LV" w:date="2026-07-14T16:52:51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wBefore w:w="0" w:type="auto"/>
          <w:trHeight w:val="452" w:hRule="atLeast"/>
          <w:jc w:val="center"/>
          <w:trPrChange w:id="2578" w:author="LV" w:date="2026-07-14T16:52:51Z">
            <w:trPr>
              <w:gridBefore w:val="2"/>
              <w:wBefore w:w="15" w:type="dxa"/>
              <w:trHeight w:val="567" w:hRule="atLeast"/>
              <w:jc w:val="center"/>
            </w:trPr>
          </w:trPrChange>
        </w:trPr>
        <w:tc>
          <w:tcPr>
            <w:tcW w:w="418" w:type="dxa"/>
            <w:vMerge w:val="continue"/>
            <w:tcBorders>
              <w:tl2br w:val="nil"/>
              <w:tr2bl w:val="nil"/>
            </w:tcBorders>
            <w:shd w:val="clear" w:color="auto" w:fill="auto"/>
            <w:noWrap/>
            <w:tcMar>
              <w:top w:w="15" w:type="dxa"/>
              <w:left w:w="15" w:type="dxa"/>
              <w:right w:w="15" w:type="dxa"/>
            </w:tcMar>
            <w:vAlign w:val="center"/>
            <w:tcPrChange w:id="2579" w:author="LV" w:date="2026-07-14T16:52:51Z">
              <w:tcPr>
                <w:tcW w:w="418" w:type="dxa"/>
                <w:gridSpan w:val="3"/>
                <w:vMerge w:val="continue"/>
                <w:tcBorders>
                  <w:tl2br w:val="nil"/>
                  <w:tr2bl w:val="nil"/>
                </w:tcBorders>
                <w:shd w:val="clear" w:color="auto" w:fill="auto"/>
                <w:noWrap/>
                <w:tcMar>
                  <w:top w:w="15" w:type="dxa"/>
                  <w:left w:w="15" w:type="dxa"/>
                  <w:right w:w="15" w:type="dxa"/>
                </w:tcMar>
                <w:vAlign w:val="center"/>
              </w:tcPr>
            </w:tcPrChange>
          </w:tcPr>
          <w:p w14:paraId="3CBB73A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Change w:id="2580" w:author="LV" w:date="2026-07-14T16:52:51Z">
              <w:tcPr>
                <w:tcW w:w="1005" w:type="dxa"/>
                <w:gridSpan w:val="3"/>
                <w:vMerge w:val="continue"/>
                <w:tcBorders>
                  <w:tl2br w:val="nil"/>
                  <w:tr2bl w:val="nil"/>
                </w:tcBorders>
                <w:shd w:val="clear" w:color="auto" w:fill="auto"/>
                <w:tcMar>
                  <w:top w:w="15" w:type="dxa"/>
                  <w:left w:w="15" w:type="dxa"/>
                  <w:right w:w="15" w:type="dxa"/>
                </w:tcMar>
                <w:vAlign w:val="center"/>
              </w:tcPr>
            </w:tcPrChange>
          </w:tcPr>
          <w:p w14:paraId="1E98946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Change w:id="2581" w:author="LV" w:date="2026-07-14T16:52:51Z">
              <w:tcPr>
                <w:tcW w:w="3667" w:type="dxa"/>
                <w:gridSpan w:val="3"/>
                <w:vMerge w:val="continue"/>
                <w:tcBorders>
                  <w:tl2br w:val="nil"/>
                  <w:tr2bl w:val="nil"/>
                </w:tcBorders>
                <w:shd w:val="clear" w:color="auto" w:fill="auto"/>
                <w:tcMar>
                  <w:top w:w="15" w:type="dxa"/>
                  <w:left w:w="15" w:type="dxa"/>
                  <w:right w:w="15" w:type="dxa"/>
                </w:tcMar>
                <w:vAlign w:val="center"/>
              </w:tcPr>
            </w:tcPrChange>
          </w:tcPr>
          <w:p w14:paraId="0CAA375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Change w:id="2582" w:author="LV" w:date="2026-07-14T16:52:51Z">
              <w:tcPr>
                <w:tcW w:w="4082" w:type="dxa"/>
                <w:gridSpan w:val="3"/>
                <w:vMerge w:val="continue"/>
                <w:tcBorders>
                  <w:tl2br w:val="nil"/>
                  <w:tr2bl w:val="nil"/>
                </w:tcBorders>
                <w:shd w:val="clear" w:color="auto" w:fill="auto"/>
                <w:tcMar>
                  <w:top w:w="15" w:type="dxa"/>
                  <w:left w:w="15" w:type="dxa"/>
                  <w:right w:w="15" w:type="dxa"/>
                </w:tcMar>
                <w:vAlign w:val="center"/>
              </w:tcPr>
            </w:tcPrChange>
          </w:tcPr>
          <w:p w14:paraId="3C57CF7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Change w:id="2583" w:author="LV" w:date="2026-07-14T16:52:51Z">
              <w:tcPr>
                <w:tcW w:w="459" w:type="dxa"/>
                <w:gridSpan w:val="3"/>
                <w:tcBorders>
                  <w:tl2br w:val="nil"/>
                  <w:tr2bl w:val="nil"/>
                </w:tcBorders>
                <w:shd w:val="clear" w:color="auto" w:fill="auto"/>
                <w:noWrap/>
                <w:tcMar>
                  <w:top w:w="15" w:type="dxa"/>
                  <w:left w:w="15" w:type="dxa"/>
                  <w:right w:w="15" w:type="dxa"/>
                </w:tcMar>
                <w:vAlign w:val="center"/>
              </w:tcPr>
            </w:tcPrChange>
          </w:tcPr>
          <w:p w14:paraId="75A0613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Change w:id="2584" w:author="LV" w:date="2026-07-14T16:52:51Z">
              <w:tcPr>
                <w:tcW w:w="1829" w:type="dxa"/>
                <w:gridSpan w:val="3"/>
                <w:tcBorders>
                  <w:tl2br w:val="nil"/>
                  <w:tr2bl w:val="nil"/>
                </w:tcBorders>
                <w:shd w:val="clear" w:color="auto" w:fill="auto"/>
                <w:tcMar>
                  <w:top w:w="15" w:type="dxa"/>
                  <w:left w:w="15" w:type="dxa"/>
                  <w:right w:w="15" w:type="dxa"/>
                </w:tcMar>
                <w:vAlign w:val="center"/>
              </w:tcPr>
            </w:tcPrChange>
          </w:tcPr>
          <w:p w14:paraId="5090CEC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Change w:id="2585" w:author="LV" w:date="2026-07-14T16:52:51Z">
              <w:tcPr>
                <w:tcW w:w="2655" w:type="dxa"/>
                <w:gridSpan w:val="3"/>
                <w:tcBorders>
                  <w:tl2br w:val="nil"/>
                  <w:tr2bl w:val="nil"/>
                </w:tcBorders>
                <w:shd w:val="clear" w:color="auto" w:fill="auto"/>
                <w:tcMar>
                  <w:top w:w="15" w:type="dxa"/>
                  <w:left w:w="15" w:type="dxa"/>
                  <w:right w:w="15" w:type="dxa"/>
                </w:tcMar>
                <w:vAlign w:val="center"/>
              </w:tcPr>
            </w:tcPrChange>
          </w:tcPr>
          <w:p w14:paraId="7810D494">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A303A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2586" w:author="LV" w:date="2026-07-14T16:52:59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wBefore w:w="0" w:type="auto"/>
          <w:trHeight w:val="709" w:hRule="atLeast"/>
          <w:jc w:val="center"/>
          <w:trPrChange w:id="2586" w:author="LV" w:date="2026-07-14T16:52:59Z">
            <w:trPr>
              <w:gridBefore w:val="2"/>
              <w:wBefore w:w="15" w:type="dxa"/>
              <w:trHeight w:val="794" w:hRule="atLeast"/>
              <w:jc w:val="center"/>
            </w:trPr>
          </w:trPrChange>
        </w:trPr>
        <w:tc>
          <w:tcPr>
            <w:tcW w:w="418" w:type="dxa"/>
            <w:vMerge w:val="continue"/>
            <w:tcBorders>
              <w:tl2br w:val="nil"/>
              <w:tr2bl w:val="nil"/>
            </w:tcBorders>
            <w:shd w:val="clear" w:color="auto" w:fill="auto"/>
            <w:noWrap/>
            <w:tcMar>
              <w:top w:w="15" w:type="dxa"/>
              <w:left w:w="15" w:type="dxa"/>
              <w:right w:w="15" w:type="dxa"/>
            </w:tcMar>
            <w:vAlign w:val="center"/>
            <w:tcPrChange w:id="2587" w:author="LV" w:date="2026-07-14T16:52:59Z">
              <w:tcPr>
                <w:tcW w:w="418" w:type="dxa"/>
                <w:gridSpan w:val="3"/>
                <w:vMerge w:val="continue"/>
                <w:tcBorders>
                  <w:tl2br w:val="nil"/>
                  <w:tr2bl w:val="nil"/>
                </w:tcBorders>
                <w:shd w:val="clear" w:color="auto" w:fill="auto"/>
                <w:noWrap/>
                <w:tcMar>
                  <w:top w:w="15" w:type="dxa"/>
                  <w:left w:w="15" w:type="dxa"/>
                  <w:right w:w="15" w:type="dxa"/>
                </w:tcMar>
                <w:vAlign w:val="center"/>
              </w:tcPr>
            </w:tcPrChange>
          </w:tcPr>
          <w:p w14:paraId="4BA4A3B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Change w:id="2588" w:author="LV" w:date="2026-07-14T16:52:59Z">
              <w:tcPr>
                <w:tcW w:w="1005" w:type="dxa"/>
                <w:gridSpan w:val="3"/>
                <w:vMerge w:val="continue"/>
                <w:tcBorders>
                  <w:tl2br w:val="nil"/>
                  <w:tr2bl w:val="nil"/>
                </w:tcBorders>
                <w:shd w:val="clear" w:color="auto" w:fill="auto"/>
                <w:tcMar>
                  <w:top w:w="15" w:type="dxa"/>
                  <w:left w:w="15" w:type="dxa"/>
                  <w:right w:w="15" w:type="dxa"/>
                </w:tcMar>
                <w:vAlign w:val="center"/>
              </w:tcPr>
            </w:tcPrChange>
          </w:tcPr>
          <w:p w14:paraId="79E55B8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Change w:id="2589" w:author="LV" w:date="2026-07-14T16:52:59Z">
              <w:tcPr>
                <w:tcW w:w="3667" w:type="dxa"/>
                <w:gridSpan w:val="3"/>
                <w:vMerge w:val="continue"/>
                <w:tcBorders>
                  <w:tl2br w:val="nil"/>
                  <w:tr2bl w:val="nil"/>
                </w:tcBorders>
                <w:shd w:val="clear" w:color="auto" w:fill="auto"/>
                <w:tcMar>
                  <w:top w:w="15" w:type="dxa"/>
                  <w:left w:w="15" w:type="dxa"/>
                  <w:right w:w="15" w:type="dxa"/>
                </w:tcMar>
                <w:vAlign w:val="center"/>
              </w:tcPr>
            </w:tcPrChange>
          </w:tcPr>
          <w:p w14:paraId="6C06C94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Change w:id="2590" w:author="LV" w:date="2026-07-14T16:52:59Z">
              <w:tcPr>
                <w:tcW w:w="4082" w:type="dxa"/>
                <w:gridSpan w:val="3"/>
                <w:vMerge w:val="continue"/>
                <w:tcBorders>
                  <w:tl2br w:val="nil"/>
                  <w:tr2bl w:val="nil"/>
                </w:tcBorders>
                <w:shd w:val="clear" w:color="auto" w:fill="auto"/>
                <w:tcMar>
                  <w:top w:w="15" w:type="dxa"/>
                  <w:left w:w="15" w:type="dxa"/>
                  <w:right w:w="15" w:type="dxa"/>
                </w:tcMar>
                <w:vAlign w:val="center"/>
              </w:tcPr>
            </w:tcPrChange>
          </w:tcPr>
          <w:p w14:paraId="5525198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Change w:id="2591" w:author="LV" w:date="2026-07-14T16:52:59Z">
              <w:tcPr>
                <w:tcW w:w="459" w:type="dxa"/>
                <w:gridSpan w:val="3"/>
                <w:tcBorders>
                  <w:tl2br w:val="nil"/>
                  <w:tr2bl w:val="nil"/>
                </w:tcBorders>
                <w:shd w:val="clear" w:color="auto" w:fill="auto"/>
                <w:noWrap/>
                <w:tcMar>
                  <w:top w:w="15" w:type="dxa"/>
                  <w:left w:w="15" w:type="dxa"/>
                  <w:right w:w="15" w:type="dxa"/>
                </w:tcMar>
                <w:vAlign w:val="center"/>
              </w:tcPr>
            </w:tcPrChange>
          </w:tcPr>
          <w:p w14:paraId="6BB8530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Change w:id="2592" w:author="LV" w:date="2026-07-14T16:52:59Z">
              <w:tcPr>
                <w:tcW w:w="1829" w:type="dxa"/>
                <w:gridSpan w:val="3"/>
                <w:tcBorders>
                  <w:tl2br w:val="nil"/>
                  <w:tr2bl w:val="nil"/>
                </w:tcBorders>
                <w:shd w:val="clear" w:color="auto" w:fill="auto"/>
                <w:tcMar>
                  <w:top w:w="15" w:type="dxa"/>
                  <w:left w:w="15" w:type="dxa"/>
                  <w:right w:w="15" w:type="dxa"/>
                </w:tcMar>
                <w:vAlign w:val="center"/>
              </w:tcPr>
            </w:tcPrChange>
          </w:tcPr>
          <w:p w14:paraId="52DB179B">
            <w:pPr>
              <w:keepNext w:val="0"/>
              <w:keepLines w:val="0"/>
              <w:pageBreakBefore w:val="0"/>
              <w:widowControl w:val="0"/>
              <w:kinsoku/>
              <w:wordWrap/>
              <w:overflowPunct w:val="0"/>
              <w:topLinePunct w:val="0"/>
              <w:autoSpaceDE/>
              <w:autoSpaceDN/>
              <w:bidi w:val="0"/>
              <w:adjustRightInd/>
              <w:snapToGrid/>
              <w:spacing w:line="240" w:lineRule="exact"/>
              <w:textAlignment w:val="center"/>
              <w:rPr>
                <w:ins w:id="2593" w:author="LV" w:date="2026-07-14T16:53:29Z"/>
                <w:rFonts w:hint="eastAsia" w:ascii="仿宋_GB2312" w:hAnsi="宋体" w:eastAsia="仿宋_GB2312" w:cs="仿宋_GB2312"/>
                <w:kern w:val="0"/>
                <w:sz w:val="18"/>
                <w:szCs w:val="18"/>
                <w:lang w:bidi="ar"/>
              </w:rPr>
            </w:pPr>
          </w:p>
          <w:p w14:paraId="01133FF7">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矿山企业作业地点有1处未采取综合防尘措施。</w:t>
            </w:r>
          </w:p>
        </w:tc>
        <w:tc>
          <w:tcPr>
            <w:tcW w:w="2655" w:type="dxa"/>
            <w:tcBorders>
              <w:tl2br w:val="nil"/>
              <w:tr2bl w:val="nil"/>
            </w:tcBorders>
            <w:shd w:val="clear" w:color="auto" w:fill="auto"/>
            <w:tcMar>
              <w:top w:w="15" w:type="dxa"/>
              <w:left w:w="15" w:type="dxa"/>
              <w:right w:w="15" w:type="dxa"/>
            </w:tcMar>
            <w:vAlign w:val="center"/>
            <w:tcPrChange w:id="2594" w:author="LV" w:date="2026-07-14T16:52:59Z">
              <w:tcPr>
                <w:tcW w:w="2655" w:type="dxa"/>
                <w:gridSpan w:val="3"/>
                <w:tcBorders>
                  <w:tl2br w:val="nil"/>
                  <w:tr2bl w:val="nil"/>
                </w:tcBorders>
                <w:shd w:val="clear" w:color="auto" w:fill="auto"/>
                <w:tcMar>
                  <w:top w:w="15" w:type="dxa"/>
                  <w:left w:w="15" w:type="dxa"/>
                  <w:right w:w="15" w:type="dxa"/>
                </w:tcMar>
                <w:vAlign w:val="center"/>
              </w:tcPr>
            </w:tcPrChange>
          </w:tcPr>
          <w:p w14:paraId="532DF49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w:t>
            </w:r>
            <w:r>
              <w:rPr>
                <w:rFonts w:ascii="仿宋_GB2312" w:hAnsi="宋体" w:eastAsia="仿宋_GB2312" w:cs="仿宋_GB2312"/>
                <w:kern w:val="0"/>
                <w:sz w:val="18"/>
                <w:szCs w:val="18"/>
                <w:lang w:val="de-DE" w:bidi="ar"/>
              </w:rPr>
              <w:t>1.</w:t>
            </w:r>
            <w:r>
              <w:rPr>
                <w:rFonts w:hint="eastAsia" w:ascii="仿宋_GB2312" w:hAnsi="宋体" w:eastAsia="仿宋_GB2312" w:cs="仿宋_GB2312"/>
                <w:kern w:val="0"/>
                <w:sz w:val="18"/>
                <w:szCs w:val="18"/>
                <w:lang w:bidi="ar"/>
              </w:rPr>
              <w:t>3万元以下的罚款。</w:t>
            </w:r>
          </w:p>
        </w:tc>
      </w:tr>
      <w:tr w14:paraId="13BA1A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2595" w:author="LV" w:date="2026-07-14T16:53:04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wBefore w:w="0" w:type="auto"/>
          <w:trHeight w:val="699" w:hRule="atLeast"/>
          <w:jc w:val="center"/>
          <w:trPrChange w:id="2595" w:author="LV" w:date="2026-07-14T16:53:04Z">
            <w:trPr>
              <w:gridBefore w:val="2"/>
              <w:wBefore w:w="15" w:type="dxa"/>
              <w:trHeight w:val="794" w:hRule="atLeast"/>
              <w:jc w:val="center"/>
            </w:trPr>
          </w:trPrChange>
        </w:trPr>
        <w:tc>
          <w:tcPr>
            <w:tcW w:w="418" w:type="dxa"/>
            <w:vMerge w:val="continue"/>
            <w:tcBorders>
              <w:tl2br w:val="nil"/>
              <w:tr2bl w:val="nil"/>
            </w:tcBorders>
            <w:shd w:val="clear" w:color="auto" w:fill="auto"/>
            <w:noWrap/>
            <w:tcMar>
              <w:top w:w="15" w:type="dxa"/>
              <w:left w:w="15" w:type="dxa"/>
              <w:right w:w="15" w:type="dxa"/>
            </w:tcMar>
            <w:vAlign w:val="center"/>
            <w:tcPrChange w:id="2596" w:author="LV" w:date="2026-07-14T16:53:04Z">
              <w:tcPr>
                <w:tcW w:w="418" w:type="dxa"/>
                <w:gridSpan w:val="3"/>
                <w:vMerge w:val="continue"/>
                <w:tcBorders>
                  <w:tl2br w:val="nil"/>
                  <w:tr2bl w:val="nil"/>
                </w:tcBorders>
                <w:shd w:val="clear" w:color="auto" w:fill="auto"/>
                <w:noWrap/>
                <w:tcMar>
                  <w:top w:w="15" w:type="dxa"/>
                  <w:left w:w="15" w:type="dxa"/>
                  <w:right w:w="15" w:type="dxa"/>
                </w:tcMar>
                <w:vAlign w:val="center"/>
              </w:tcPr>
            </w:tcPrChange>
          </w:tcPr>
          <w:p w14:paraId="39E7DD7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Change w:id="2597" w:author="LV" w:date="2026-07-14T16:53:04Z">
              <w:tcPr>
                <w:tcW w:w="1005" w:type="dxa"/>
                <w:gridSpan w:val="3"/>
                <w:vMerge w:val="continue"/>
                <w:tcBorders>
                  <w:tl2br w:val="nil"/>
                  <w:tr2bl w:val="nil"/>
                </w:tcBorders>
                <w:shd w:val="clear" w:color="auto" w:fill="auto"/>
                <w:tcMar>
                  <w:top w:w="15" w:type="dxa"/>
                  <w:left w:w="15" w:type="dxa"/>
                  <w:right w:w="15" w:type="dxa"/>
                </w:tcMar>
                <w:vAlign w:val="center"/>
              </w:tcPr>
            </w:tcPrChange>
          </w:tcPr>
          <w:p w14:paraId="1604881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Change w:id="2598" w:author="LV" w:date="2026-07-14T16:53:04Z">
              <w:tcPr>
                <w:tcW w:w="3667" w:type="dxa"/>
                <w:gridSpan w:val="3"/>
                <w:vMerge w:val="continue"/>
                <w:tcBorders>
                  <w:tl2br w:val="nil"/>
                  <w:tr2bl w:val="nil"/>
                </w:tcBorders>
                <w:shd w:val="clear" w:color="auto" w:fill="auto"/>
                <w:tcMar>
                  <w:top w:w="15" w:type="dxa"/>
                  <w:left w:w="15" w:type="dxa"/>
                  <w:right w:w="15" w:type="dxa"/>
                </w:tcMar>
                <w:vAlign w:val="center"/>
              </w:tcPr>
            </w:tcPrChange>
          </w:tcPr>
          <w:p w14:paraId="480CBFD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Change w:id="2599" w:author="LV" w:date="2026-07-14T16:53:04Z">
              <w:tcPr>
                <w:tcW w:w="4082" w:type="dxa"/>
                <w:gridSpan w:val="3"/>
                <w:vMerge w:val="continue"/>
                <w:tcBorders>
                  <w:tl2br w:val="nil"/>
                  <w:tr2bl w:val="nil"/>
                </w:tcBorders>
                <w:shd w:val="clear" w:color="auto" w:fill="auto"/>
                <w:tcMar>
                  <w:top w:w="15" w:type="dxa"/>
                  <w:left w:w="15" w:type="dxa"/>
                  <w:right w:w="15" w:type="dxa"/>
                </w:tcMar>
                <w:vAlign w:val="center"/>
              </w:tcPr>
            </w:tcPrChange>
          </w:tcPr>
          <w:p w14:paraId="69B4778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Change w:id="2600" w:author="LV" w:date="2026-07-14T16:53:04Z">
              <w:tcPr>
                <w:tcW w:w="459" w:type="dxa"/>
                <w:gridSpan w:val="3"/>
                <w:tcBorders>
                  <w:tl2br w:val="nil"/>
                  <w:tr2bl w:val="nil"/>
                </w:tcBorders>
                <w:shd w:val="clear" w:color="auto" w:fill="auto"/>
                <w:noWrap/>
                <w:tcMar>
                  <w:top w:w="15" w:type="dxa"/>
                  <w:left w:w="15" w:type="dxa"/>
                  <w:right w:w="15" w:type="dxa"/>
                </w:tcMar>
                <w:vAlign w:val="center"/>
              </w:tcPr>
            </w:tcPrChange>
          </w:tcPr>
          <w:p w14:paraId="5832088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Change w:id="2601" w:author="LV" w:date="2026-07-14T16:53:04Z">
              <w:tcPr>
                <w:tcW w:w="1829" w:type="dxa"/>
                <w:gridSpan w:val="3"/>
                <w:tcBorders>
                  <w:tl2br w:val="nil"/>
                  <w:tr2bl w:val="nil"/>
                </w:tcBorders>
                <w:shd w:val="clear" w:color="auto" w:fill="auto"/>
                <w:tcMar>
                  <w:top w:w="15" w:type="dxa"/>
                  <w:left w:w="15" w:type="dxa"/>
                  <w:right w:w="15" w:type="dxa"/>
                </w:tcMar>
                <w:vAlign w:val="center"/>
              </w:tcPr>
            </w:tcPrChange>
          </w:tcPr>
          <w:p w14:paraId="5937A676">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矿山企业作业地点有2处未采取综合防尘措施。</w:t>
            </w:r>
          </w:p>
        </w:tc>
        <w:tc>
          <w:tcPr>
            <w:tcW w:w="2655" w:type="dxa"/>
            <w:tcBorders>
              <w:tl2br w:val="nil"/>
              <w:tr2bl w:val="nil"/>
            </w:tcBorders>
            <w:shd w:val="clear" w:color="auto" w:fill="auto"/>
            <w:tcMar>
              <w:top w:w="15" w:type="dxa"/>
              <w:left w:w="15" w:type="dxa"/>
              <w:right w:w="15" w:type="dxa"/>
            </w:tcMar>
            <w:vAlign w:val="center"/>
            <w:tcPrChange w:id="2602" w:author="LV" w:date="2026-07-14T16:53:04Z">
              <w:tcPr>
                <w:tcW w:w="2655" w:type="dxa"/>
                <w:gridSpan w:val="3"/>
                <w:tcBorders>
                  <w:tl2br w:val="nil"/>
                  <w:tr2bl w:val="nil"/>
                </w:tcBorders>
                <w:shd w:val="clear" w:color="auto" w:fill="auto"/>
                <w:tcMar>
                  <w:top w:w="15" w:type="dxa"/>
                  <w:left w:w="15" w:type="dxa"/>
                  <w:right w:w="15" w:type="dxa"/>
                </w:tcMar>
                <w:vAlign w:val="center"/>
              </w:tcPr>
            </w:tcPrChange>
          </w:tcPr>
          <w:p w14:paraId="6FBD0E11">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w:t>
            </w:r>
            <w:r>
              <w:rPr>
                <w:rFonts w:ascii="仿宋_GB2312" w:hAnsi="宋体" w:eastAsia="仿宋_GB2312" w:cs="仿宋_GB2312"/>
                <w:kern w:val="0"/>
                <w:sz w:val="18"/>
                <w:szCs w:val="18"/>
                <w:lang w:val="de-DE" w:bidi="ar"/>
              </w:rPr>
              <w:t>1.</w:t>
            </w:r>
            <w:r>
              <w:rPr>
                <w:rFonts w:hint="eastAsia" w:ascii="仿宋_GB2312" w:hAnsi="宋体" w:eastAsia="仿宋_GB2312" w:cs="仿宋_GB2312"/>
                <w:kern w:val="0"/>
                <w:sz w:val="18"/>
                <w:szCs w:val="18"/>
                <w:lang w:bidi="ar"/>
              </w:rPr>
              <w:t>3万元以上1.8万元以下的罚款。</w:t>
            </w:r>
          </w:p>
        </w:tc>
      </w:tr>
      <w:tr w14:paraId="5B5BA2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20544A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E5FD02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740B51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1311A3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1912CE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3A044A39">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矿山企业作业地点有3处及以上未采取综合防尘措施</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val="en-US" w:eastAsia="zh-CN" w:bidi="ar"/>
              </w:rPr>
              <w:t>或是井下风动凿岩干打眼的</w:t>
            </w:r>
            <w:r>
              <w:rPr>
                <w:rFonts w:hint="eastAsia" w:ascii="仿宋_GB2312" w:hAnsi="宋体" w:eastAsia="仿宋_GB2312" w:cs="仿宋_GB2312"/>
                <w:kern w:val="0"/>
                <w:sz w:val="18"/>
                <w:szCs w:val="18"/>
                <w:lang w:bidi="ar"/>
              </w:rPr>
              <w:t>。</w:t>
            </w:r>
          </w:p>
        </w:tc>
        <w:tc>
          <w:tcPr>
            <w:tcW w:w="2655" w:type="dxa"/>
            <w:tcBorders>
              <w:tl2br w:val="nil"/>
              <w:tr2bl w:val="nil"/>
            </w:tcBorders>
            <w:shd w:val="clear" w:color="auto" w:fill="auto"/>
            <w:tcMar>
              <w:top w:w="15" w:type="dxa"/>
              <w:left w:w="15" w:type="dxa"/>
              <w:right w:w="15" w:type="dxa"/>
            </w:tcMar>
            <w:vAlign w:val="center"/>
          </w:tcPr>
          <w:p w14:paraId="635B72A1">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可以处1.8万元以上2万元以下的罚款。</w:t>
            </w:r>
          </w:p>
        </w:tc>
      </w:tr>
      <w:tr w14:paraId="29E36B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5A61613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hint="default" w:ascii="仿宋_GB2312" w:hAnsi="宋体" w:eastAsia="仿宋_GB2312" w:cs="仿宋_GB2312"/>
                <w:sz w:val="18"/>
                <w:szCs w:val="18"/>
                <w:lang w:val="en-US" w:eastAsia="zh-CN"/>
              </w:rPr>
            </w:pPr>
            <w:del w:id="2603" w:author="LV" w:date="2026-07-14T16:53:46Z">
              <w:r>
                <w:rPr>
                  <w:rFonts w:hint="default" w:ascii="仿宋_GB2312" w:hAnsi="宋体" w:eastAsia="仿宋_GB2312" w:cs="仿宋_GB2312"/>
                  <w:sz w:val="18"/>
                  <w:szCs w:val="18"/>
                  <w:lang w:val="en-US" w:eastAsia="zh-CN"/>
                </w:rPr>
                <w:delText>增加</w:delText>
              </w:r>
            </w:del>
            <w:ins w:id="2604" w:author="LV" w:date="2026-07-14T16:53:46Z">
              <w:r>
                <w:rPr>
                  <w:rFonts w:hint="eastAsia" w:ascii="仿宋_GB2312" w:hAnsi="宋体" w:eastAsia="仿宋_GB2312" w:cs="仿宋_GB2312"/>
                  <w:sz w:val="18"/>
                  <w:szCs w:val="18"/>
                  <w:lang w:val="en-US" w:eastAsia="zh-CN"/>
                </w:rPr>
                <w:t>1</w:t>
              </w:r>
            </w:ins>
            <w:ins w:id="2605" w:author="LV" w:date="2026-07-14T16:53:47Z">
              <w:r>
                <w:rPr>
                  <w:rFonts w:hint="eastAsia" w:ascii="仿宋_GB2312" w:hAnsi="宋体" w:eastAsia="仿宋_GB2312" w:cs="仿宋_GB2312"/>
                  <w:sz w:val="18"/>
                  <w:szCs w:val="18"/>
                  <w:lang w:val="en-US" w:eastAsia="zh-CN"/>
                </w:rPr>
                <w:t>32</w:t>
              </w:r>
            </w:ins>
          </w:p>
        </w:tc>
        <w:tc>
          <w:tcPr>
            <w:tcW w:w="1005" w:type="dxa"/>
            <w:vMerge w:val="restart"/>
            <w:tcBorders>
              <w:tl2br w:val="nil"/>
              <w:tr2bl w:val="nil"/>
            </w:tcBorders>
            <w:shd w:val="clear" w:color="auto" w:fill="auto"/>
            <w:tcMar>
              <w:top w:w="15" w:type="dxa"/>
              <w:left w:w="15" w:type="dxa"/>
              <w:right w:w="15" w:type="dxa"/>
            </w:tcMar>
            <w:vAlign w:val="center"/>
          </w:tcPr>
          <w:p w14:paraId="2CB5C03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hint="eastAsia" w:ascii="仿宋_GB2312" w:hAnsi="宋体" w:eastAsia="仿宋_GB2312" w:cs="仿宋_GB2312"/>
                <w:kern w:val="0"/>
                <w:sz w:val="18"/>
                <w:szCs w:val="18"/>
                <w:lang w:val="en-US" w:eastAsia="zh-CN" w:bidi="ar"/>
              </w:rPr>
              <w:t>《矿山安全法》第四十三条 矿山建设工程的安全设施未经验收或者验收不合格擅自投入生产的</w:t>
            </w:r>
          </w:p>
        </w:tc>
        <w:tc>
          <w:tcPr>
            <w:tcW w:w="3667" w:type="dxa"/>
            <w:vMerge w:val="restart"/>
            <w:tcBorders>
              <w:tl2br w:val="nil"/>
              <w:tr2bl w:val="nil"/>
            </w:tcBorders>
            <w:shd w:val="clear" w:color="auto" w:fill="auto"/>
            <w:tcMar>
              <w:top w:w="15" w:type="dxa"/>
              <w:left w:w="15" w:type="dxa"/>
              <w:right w:w="15" w:type="dxa"/>
            </w:tcMar>
            <w:vAlign w:val="center"/>
          </w:tcPr>
          <w:p w14:paraId="4620EDB8">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val="en-US" w:eastAsia="zh-CN" w:bidi="ar"/>
              </w:rPr>
              <w:t>《矿山安全法》第四十三条 矿山建设工程的安全设施未经验收或者验收不合格擅自投入生产的，由劳动行政主管部门会同管理矿山企业的主管部门责令停止生产，并由劳动行政主管部门处以罚款；拒不停止生产的，由劳动行政主管部门提请县级以上人民政府决定由有关主管部门吊销其采矿许可证和营业执照。</w:t>
            </w:r>
          </w:p>
          <w:p w14:paraId="63A1D93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restart"/>
            <w:tcBorders>
              <w:tl2br w:val="nil"/>
              <w:tr2bl w:val="nil"/>
            </w:tcBorders>
            <w:shd w:val="clear" w:color="auto" w:fill="auto"/>
            <w:tcMar>
              <w:top w:w="15" w:type="dxa"/>
              <w:left w:w="15" w:type="dxa"/>
              <w:right w:w="15" w:type="dxa"/>
            </w:tcMar>
            <w:vAlign w:val="center"/>
          </w:tcPr>
          <w:p w14:paraId="080F3861">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sz w:val="18"/>
                <w:szCs w:val="18"/>
                <w:lang w:eastAsia="zh-CN"/>
              </w:rPr>
            </w:pPr>
            <w:r>
              <w:rPr>
                <w:rFonts w:hint="eastAsia" w:ascii="仿宋_GB2312" w:hAnsi="宋体" w:eastAsia="仿宋_GB2312" w:cs="仿宋_GB2312"/>
                <w:kern w:val="0"/>
                <w:sz w:val="18"/>
                <w:szCs w:val="18"/>
                <w:lang w:bidi="ar"/>
              </w:rPr>
              <w:t>《矿山安全法实施条例》</w:t>
            </w:r>
            <w:r>
              <w:rPr>
                <w:rFonts w:ascii="仿宋_GB2312" w:hAnsi="宋体" w:eastAsia="仿宋_GB2312" w:cs="仿宋_GB2312"/>
                <w:sz w:val="18"/>
                <w:szCs w:val="18"/>
              </w:rPr>
              <w:t>第五十三条　依照《矿山安全法》第四十三条规定处以罚款的，罚款幅度为5万元以上10万元以下</w:t>
            </w:r>
            <w:r>
              <w:rPr>
                <w:rFonts w:hint="eastAsia" w:ascii="仿宋_GB2312" w:hAnsi="宋体" w:eastAsia="仿宋_GB2312" w:cs="仿宋_GB2312"/>
                <w:sz w:val="18"/>
                <w:szCs w:val="18"/>
                <w:lang w:eastAsia="zh-CN"/>
              </w:rPr>
              <w:t>。</w:t>
            </w:r>
          </w:p>
          <w:p w14:paraId="47AD1890">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val="en-US" w:eastAsia="zh-CN" w:bidi="ar"/>
              </w:rPr>
              <w:t>《矿山安全法》第四十三条 矿山建设工程的安全设施未经验收或者验收不合格擅自投入生产的，由劳动行政主管部门会同管理矿山企业的主管部门责令停止生产，并由劳动行政主管部门处以罚款；拒不停止生产的，由劳动行政主管部门提请县级以上人民政府决定由有关主管部门吊销其采矿许可证和营业执照。</w:t>
            </w:r>
          </w:p>
          <w:p w14:paraId="31C477B5">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sz w:val="18"/>
                <w:szCs w:val="18"/>
                <w:lang w:eastAsia="zh-CN"/>
              </w:rPr>
            </w:pPr>
          </w:p>
        </w:tc>
        <w:tc>
          <w:tcPr>
            <w:tcW w:w="459" w:type="dxa"/>
            <w:tcBorders>
              <w:tl2br w:val="nil"/>
              <w:tr2bl w:val="nil"/>
            </w:tcBorders>
            <w:shd w:val="clear" w:color="auto" w:fill="auto"/>
            <w:noWrap/>
            <w:tcMar>
              <w:top w:w="15" w:type="dxa"/>
              <w:left w:w="15" w:type="dxa"/>
              <w:right w:w="15" w:type="dxa"/>
            </w:tcMar>
            <w:vAlign w:val="center"/>
          </w:tcPr>
          <w:p w14:paraId="16449C8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38C4D87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706678B4">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475C69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1"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B645423">
            <w:pPr>
              <w:keepNext w:val="0"/>
              <w:keepLines w:val="0"/>
              <w:pageBreakBefore w:val="0"/>
              <w:widowControl w:val="0"/>
              <w:kinsoku/>
              <w:wordWrap/>
              <w:overflowPunct w:val="0"/>
              <w:topLinePunct w:val="0"/>
              <w:autoSpaceDE/>
              <w:autoSpaceDN/>
              <w:bidi w:val="0"/>
              <w:adjustRightInd/>
              <w:snapToGrid/>
              <w:spacing w:line="240" w:lineRule="exact"/>
              <w:textAlignment w:val="center"/>
            </w:pPr>
          </w:p>
        </w:tc>
        <w:tc>
          <w:tcPr>
            <w:tcW w:w="1005" w:type="dxa"/>
            <w:vMerge w:val="continue"/>
            <w:tcBorders>
              <w:tl2br w:val="nil"/>
              <w:tr2bl w:val="nil"/>
            </w:tcBorders>
            <w:shd w:val="clear" w:color="auto" w:fill="auto"/>
            <w:tcMar>
              <w:top w:w="15" w:type="dxa"/>
              <w:left w:w="15" w:type="dxa"/>
              <w:right w:w="15" w:type="dxa"/>
            </w:tcMar>
            <w:vAlign w:val="center"/>
          </w:tcPr>
          <w:p w14:paraId="01369261">
            <w:pPr>
              <w:keepNext w:val="0"/>
              <w:keepLines w:val="0"/>
              <w:pageBreakBefore w:val="0"/>
              <w:widowControl w:val="0"/>
              <w:kinsoku/>
              <w:wordWrap/>
              <w:overflowPunct w:val="0"/>
              <w:topLinePunct w:val="0"/>
              <w:autoSpaceDE/>
              <w:autoSpaceDN/>
              <w:bidi w:val="0"/>
              <w:adjustRightInd/>
              <w:snapToGrid/>
              <w:spacing w:line="240" w:lineRule="exact"/>
              <w:textAlignment w:val="center"/>
            </w:pPr>
          </w:p>
        </w:tc>
        <w:tc>
          <w:tcPr>
            <w:tcW w:w="3667" w:type="dxa"/>
            <w:vMerge w:val="continue"/>
            <w:tcBorders>
              <w:tl2br w:val="nil"/>
              <w:tr2bl w:val="nil"/>
            </w:tcBorders>
            <w:shd w:val="clear" w:color="auto" w:fill="auto"/>
            <w:tcMar>
              <w:top w:w="15" w:type="dxa"/>
              <w:left w:w="15" w:type="dxa"/>
              <w:right w:w="15" w:type="dxa"/>
            </w:tcMar>
            <w:vAlign w:val="center"/>
          </w:tcPr>
          <w:p w14:paraId="620E7F95">
            <w:pPr>
              <w:keepNext w:val="0"/>
              <w:keepLines w:val="0"/>
              <w:pageBreakBefore w:val="0"/>
              <w:widowControl w:val="0"/>
              <w:kinsoku/>
              <w:wordWrap/>
              <w:overflowPunct w:val="0"/>
              <w:topLinePunct w:val="0"/>
              <w:autoSpaceDE/>
              <w:autoSpaceDN/>
              <w:bidi w:val="0"/>
              <w:adjustRightInd/>
              <w:snapToGrid/>
              <w:spacing w:line="240" w:lineRule="exact"/>
              <w:textAlignment w:val="center"/>
            </w:pPr>
          </w:p>
        </w:tc>
        <w:tc>
          <w:tcPr>
            <w:tcW w:w="4082" w:type="dxa"/>
            <w:vMerge w:val="continue"/>
            <w:tcBorders>
              <w:tl2br w:val="nil"/>
              <w:tr2bl w:val="nil"/>
            </w:tcBorders>
            <w:shd w:val="clear" w:color="auto" w:fill="auto"/>
            <w:tcMar>
              <w:top w:w="15" w:type="dxa"/>
              <w:left w:w="15" w:type="dxa"/>
              <w:right w:w="15" w:type="dxa"/>
            </w:tcMar>
            <w:vAlign w:val="center"/>
          </w:tcPr>
          <w:p w14:paraId="5219B6B1">
            <w:pPr>
              <w:keepNext w:val="0"/>
              <w:keepLines w:val="0"/>
              <w:pageBreakBefore w:val="0"/>
              <w:widowControl w:val="0"/>
              <w:kinsoku/>
              <w:wordWrap/>
              <w:overflowPunct w:val="0"/>
              <w:topLinePunct w:val="0"/>
              <w:autoSpaceDE/>
              <w:autoSpaceDN/>
              <w:bidi w:val="0"/>
              <w:adjustRightInd/>
              <w:snapToGrid/>
              <w:spacing w:line="240" w:lineRule="exact"/>
              <w:textAlignment w:val="center"/>
            </w:pPr>
          </w:p>
        </w:tc>
        <w:tc>
          <w:tcPr>
            <w:tcW w:w="459" w:type="dxa"/>
            <w:tcBorders>
              <w:tl2br w:val="nil"/>
              <w:tr2bl w:val="nil"/>
            </w:tcBorders>
            <w:shd w:val="clear" w:color="auto" w:fill="auto"/>
            <w:noWrap/>
            <w:tcMar>
              <w:top w:w="15" w:type="dxa"/>
              <w:left w:w="15" w:type="dxa"/>
              <w:right w:w="15" w:type="dxa"/>
            </w:tcMar>
            <w:vAlign w:val="center"/>
          </w:tcPr>
          <w:p w14:paraId="07AC278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2C7DB0A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5318017E">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2D0351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FBFAD7C">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p>
        </w:tc>
        <w:tc>
          <w:tcPr>
            <w:tcW w:w="1005" w:type="dxa"/>
            <w:vMerge w:val="continue"/>
            <w:tcBorders>
              <w:tl2br w:val="nil"/>
              <w:tr2bl w:val="nil"/>
            </w:tcBorders>
            <w:shd w:val="clear" w:color="auto" w:fill="auto"/>
            <w:tcMar>
              <w:top w:w="15" w:type="dxa"/>
              <w:left w:w="15" w:type="dxa"/>
              <w:right w:w="15" w:type="dxa"/>
            </w:tcMar>
            <w:vAlign w:val="center"/>
          </w:tcPr>
          <w:p w14:paraId="5C68F0B6">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p>
        </w:tc>
        <w:tc>
          <w:tcPr>
            <w:tcW w:w="3667" w:type="dxa"/>
            <w:vMerge w:val="continue"/>
            <w:tcBorders>
              <w:tl2br w:val="nil"/>
              <w:tr2bl w:val="nil"/>
            </w:tcBorders>
            <w:shd w:val="clear" w:color="auto" w:fill="auto"/>
            <w:tcMar>
              <w:top w:w="15" w:type="dxa"/>
              <w:left w:w="15" w:type="dxa"/>
              <w:right w:w="15" w:type="dxa"/>
            </w:tcMar>
            <w:vAlign w:val="center"/>
          </w:tcPr>
          <w:p w14:paraId="2FB8A04B">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p>
        </w:tc>
        <w:tc>
          <w:tcPr>
            <w:tcW w:w="4082" w:type="dxa"/>
            <w:vMerge w:val="continue"/>
            <w:tcBorders>
              <w:tl2br w:val="nil"/>
              <w:tr2bl w:val="nil"/>
            </w:tcBorders>
            <w:shd w:val="clear" w:color="auto" w:fill="auto"/>
            <w:tcMar>
              <w:top w:w="15" w:type="dxa"/>
              <w:left w:w="15" w:type="dxa"/>
              <w:right w:w="15" w:type="dxa"/>
            </w:tcMar>
            <w:vAlign w:val="center"/>
          </w:tcPr>
          <w:p w14:paraId="040AC9E7">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p>
        </w:tc>
        <w:tc>
          <w:tcPr>
            <w:tcW w:w="459" w:type="dxa"/>
            <w:tcBorders>
              <w:tl2br w:val="nil"/>
              <w:tr2bl w:val="nil"/>
            </w:tcBorders>
            <w:shd w:val="clear" w:color="auto" w:fill="auto"/>
            <w:noWrap/>
            <w:tcMar>
              <w:top w:w="15" w:type="dxa"/>
              <w:left w:w="15" w:type="dxa"/>
              <w:right w:w="15" w:type="dxa"/>
            </w:tcMar>
            <w:vAlign w:val="center"/>
          </w:tcPr>
          <w:p w14:paraId="771B9C1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4D717C7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8091FE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25337A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802759E">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p>
        </w:tc>
        <w:tc>
          <w:tcPr>
            <w:tcW w:w="1005" w:type="dxa"/>
            <w:vMerge w:val="continue"/>
            <w:tcBorders>
              <w:tl2br w:val="nil"/>
              <w:tr2bl w:val="nil"/>
            </w:tcBorders>
            <w:shd w:val="clear" w:color="auto" w:fill="auto"/>
            <w:tcMar>
              <w:top w:w="15" w:type="dxa"/>
              <w:left w:w="15" w:type="dxa"/>
              <w:right w:w="15" w:type="dxa"/>
            </w:tcMar>
            <w:vAlign w:val="center"/>
          </w:tcPr>
          <w:p w14:paraId="610F9EBD">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p>
        </w:tc>
        <w:tc>
          <w:tcPr>
            <w:tcW w:w="3667" w:type="dxa"/>
            <w:vMerge w:val="continue"/>
            <w:tcBorders>
              <w:tl2br w:val="nil"/>
              <w:tr2bl w:val="nil"/>
            </w:tcBorders>
            <w:shd w:val="clear" w:color="auto" w:fill="auto"/>
            <w:tcMar>
              <w:top w:w="15" w:type="dxa"/>
              <w:left w:w="15" w:type="dxa"/>
              <w:right w:w="15" w:type="dxa"/>
            </w:tcMar>
            <w:vAlign w:val="center"/>
          </w:tcPr>
          <w:p w14:paraId="2F8CF0B5">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p>
        </w:tc>
        <w:tc>
          <w:tcPr>
            <w:tcW w:w="4082" w:type="dxa"/>
            <w:vMerge w:val="continue"/>
            <w:tcBorders>
              <w:tl2br w:val="nil"/>
              <w:tr2bl w:val="nil"/>
            </w:tcBorders>
            <w:shd w:val="clear" w:color="auto" w:fill="auto"/>
            <w:tcMar>
              <w:top w:w="15" w:type="dxa"/>
              <w:left w:w="15" w:type="dxa"/>
              <w:right w:w="15" w:type="dxa"/>
            </w:tcMar>
            <w:vAlign w:val="center"/>
          </w:tcPr>
          <w:p w14:paraId="44F572CF">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p>
        </w:tc>
        <w:tc>
          <w:tcPr>
            <w:tcW w:w="459" w:type="dxa"/>
            <w:tcBorders>
              <w:tl2br w:val="nil"/>
              <w:tr2bl w:val="nil"/>
            </w:tcBorders>
            <w:shd w:val="clear" w:color="auto" w:fill="auto"/>
            <w:noWrap/>
            <w:tcMar>
              <w:top w:w="15" w:type="dxa"/>
              <w:left w:w="15" w:type="dxa"/>
              <w:right w:w="15" w:type="dxa"/>
            </w:tcMar>
            <w:vAlign w:val="center"/>
          </w:tcPr>
          <w:p w14:paraId="635B690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6E16642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val="en-US" w:eastAsia="zh-CN" w:bidi="ar"/>
              </w:rPr>
              <w:t>矿山建设工程的安全设施验收不合格擅自投入生产的</w:t>
            </w:r>
          </w:p>
        </w:tc>
        <w:tc>
          <w:tcPr>
            <w:tcW w:w="2655" w:type="dxa"/>
            <w:tcBorders>
              <w:tl2br w:val="nil"/>
              <w:tr2bl w:val="nil"/>
            </w:tcBorders>
            <w:shd w:val="clear" w:color="auto" w:fill="auto"/>
            <w:tcMar>
              <w:top w:w="15" w:type="dxa"/>
              <w:left w:w="15" w:type="dxa"/>
              <w:right w:w="15" w:type="dxa"/>
            </w:tcMar>
            <w:vAlign w:val="center"/>
          </w:tcPr>
          <w:p w14:paraId="473F259F">
            <w:pPr>
              <w:keepNext w:val="0"/>
              <w:keepLines w:val="0"/>
              <w:pageBreakBefore w:val="0"/>
              <w:widowControl w:val="0"/>
              <w:kinsoku/>
              <w:wordWrap/>
              <w:overflowPunct w:val="0"/>
              <w:topLinePunct w:val="0"/>
              <w:autoSpaceDE/>
              <w:autoSpaceDN/>
              <w:bidi w:val="0"/>
              <w:adjustRightInd/>
              <w:snapToGrid/>
              <w:spacing w:line="280" w:lineRule="exact"/>
              <w:jc w:val="left"/>
              <w:textAlignment w:val="center"/>
              <w:rPr>
                <w:rFonts w:hint="default"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val="en-US" w:eastAsia="zh-CN" w:bidi="ar"/>
              </w:rPr>
              <w:t>责令停止生产，处5万元以上8万元以下的罚款</w:t>
            </w:r>
          </w:p>
        </w:tc>
      </w:tr>
      <w:tr w14:paraId="2EFBF2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56FC059">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p>
        </w:tc>
        <w:tc>
          <w:tcPr>
            <w:tcW w:w="1005" w:type="dxa"/>
            <w:vMerge w:val="continue"/>
            <w:tcBorders>
              <w:tl2br w:val="nil"/>
              <w:tr2bl w:val="nil"/>
            </w:tcBorders>
            <w:shd w:val="clear" w:color="auto" w:fill="auto"/>
            <w:tcMar>
              <w:top w:w="15" w:type="dxa"/>
              <w:left w:w="15" w:type="dxa"/>
              <w:right w:w="15" w:type="dxa"/>
            </w:tcMar>
            <w:vAlign w:val="center"/>
          </w:tcPr>
          <w:p w14:paraId="767E7ABC">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p>
        </w:tc>
        <w:tc>
          <w:tcPr>
            <w:tcW w:w="3667" w:type="dxa"/>
            <w:vMerge w:val="continue"/>
            <w:tcBorders>
              <w:tl2br w:val="nil"/>
              <w:tr2bl w:val="nil"/>
            </w:tcBorders>
            <w:shd w:val="clear" w:color="auto" w:fill="auto"/>
            <w:tcMar>
              <w:top w:w="15" w:type="dxa"/>
              <w:left w:w="15" w:type="dxa"/>
              <w:right w:w="15" w:type="dxa"/>
            </w:tcMar>
            <w:vAlign w:val="center"/>
          </w:tcPr>
          <w:p w14:paraId="2B19965A">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p>
        </w:tc>
        <w:tc>
          <w:tcPr>
            <w:tcW w:w="4082" w:type="dxa"/>
            <w:vMerge w:val="continue"/>
            <w:tcBorders>
              <w:tl2br w:val="nil"/>
              <w:tr2bl w:val="nil"/>
            </w:tcBorders>
            <w:shd w:val="clear" w:color="auto" w:fill="auto"/>
            <w:tcMar>
              <w:top w:w="15" w:type="dxa"/>
              <w:left w:w="15" w:type="dxa"/>
              <w:right w:w="15" w:type="dxa"/>
            </w:tcMar>
            <w:vAlign w:val="center"/>
          </w:tcPr>
          <w:p w14:paraId="28BB1B21">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p>
        </w:tc>
        <w:tc>
          <w:tcPr>
            <w:tcW w:w="459" w:type="dxa"/>
            <w:tcBorders>
              <w:tl2br w:val="nil"/>
              <w:tr2bl w:val="nil"/>
            </w:tcBorders>
            <w:shd w:val="clear" w:color="auto" w:fill="auto"/>
            <w:noWrap/>
            <w:tcMar>
              <w:top w:w="15" w:type="dxa"/>
              <w:left w:w="15" w:type="dxa"/>
              <w:right w:w="15" w:type="dxa"/>
            </w:tcMar>
            <w:vAlign w:val="center"/>
          </w:tcPr>
          <w:p w14:paraId="7D230EB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63EB594C">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val="en-US" w:eastAsia="zh-CN" w:bidi="ar"/>
              </w:rPr>
              <w:t>矿山建设工程的安全设施未经验收擅自投入生产的</w:t>
            </w:r>
          </w:p>
        </w:tc>
        <w:tc>
          <w:tcPr>
            <w:tcW w:w="2655" w:type="dxa"/>
            <w:tcBorders>
              <w:tl2br w:val="nil"/>
              <w:tr2bl w:val="nil"/>
            </w:tcBorders>
            <w:shd w:val="clear" w:color="auto" w:fill="auto"/>
            <w:tcMar>
              <w:top w:w="15" w:type="dxa"/>
              <w:left w:w="15" w:type="dxa"/>
              <w:right w:w="15" w:type="dxa"/>
            </w:tcMar>
            <w:vAlign w:val="center"/>
          </w:tcPr>
          <w:p w14:paraId="53339FED">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default"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val="en-US" w:eastAsia="zh-CN" w:bidi="ar"/>
              </w:rPr>
              <w:t>责令停止生产，处8万元以上10万元以下的罚款</w:t>
            </w:r>
          </w:p>
        </w:tc>
      </w:tr>
      <w:tr w14:paraId="6C5804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5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A616A9E">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p>
        </w:tc>
        <w:tc>
          <w:tcPr>
            <w:tcW w:w="1005" w:type="dxa"/>
            <w:vMerge w:val="continue"/>
            <w:tcBorders>
              <w:tl2br w:val="nil"/>
              <w:tr2bl w:val="nil"/>
            </w:tcBorders>
            <w:shd w:val="clear" w:color="auto" w:fill="auto"/>
            <w:tcMar>
              <w:top w:w="15" w:type="dxa"/>
              <w:left w:w="15" w:type="dxa"/>
              <w:right w:w="15" w:type="dxa"/>
            </w:tcMar>
            <w:vAlign w:val="center"/>
          </w:tcPr>
          <w:p w14:paraId="569DFD99">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p>
        </w:tc>
        <w:tc>
          <w:tcPr>
            <w:tcW w:w="3667" w:type="dxa"/>
            <w:vMerge w:val="continue"/>
            <w:tcBorders>
              <w:tl2br w:val="nil"/>
              <w:tr2bl w:val="nil"/>
            </w:tcBorders>
            <w:shd w:val="clear" w:color="auto" w:fill="auto"/>
            <w:tcMar>
              <w:top w:w="15" w:type="dxa"/>
              <w:left w:w="15" w:type="dxa"/>
              <w:right w:w="15" w:type="dxa"/>
            </w:tcMar>
            <w:vAlign w:val="center"/>
          </w:tcPr>
          <w:p w14:paraId="0AF6DEDB">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p>
        </w:tc>
        <w:tc>
          <w:tcPr>
            <w:tcW w:w="4082" w:type="dxa"/>
            <w:vMerge w:val="continue"/>
            <w:tcBorders>
              <w:tl2br w:val="nil"/>
              <w:tr2bl w:val="nil"/>
            </w:tcBorders>
            <w:shd w:val="clear" w:color="auto" w:fill="auto"/>
            <w:tcMar>
              <w:top w:w="15" w:type="dxa"/>
              <w:left w:w="15" w:type="dxa"/>
              <w:right w:w="15" w:type="dxa"/>
            </w:tcMar>
            <w:vAlign w:val="center"/>
          </w:tcPr>
          <w:p w14:paraId="0583C39B">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p>
        </w:tc>
        <w:tc>
          <w:tcPr>
            <w:tcW w:w="459" w:type="dxa"/>
            <w:tcBorders>
              <w:tl2br w:val="nil"/>
              <w:tr2bl w:val="nil"/>
            </w:tcBorders>
            <w:shd w:val="clear" w:color="auto" w:fill="auto"/>
            <w:noWrap/>
            <w:tcMar>
              <w:top w:w="15" w:type="dxa"/>
              <w:left w:w="15" w:type="dxa"/>
              <w:right w:w="15" w:type="dxa"/>
            </w:tcMar>
            <w:vAlign w:val="center"/>
          </w:tcPr>
          <w:p w14:paraId="60D5BB1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50CE95B5">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val="en-US" w:eastAsia="zh-CN" w:bidi="ar"/>
              </w:rPr>
              <w:t>矿山建设工程的安全设施未经验收或者验收不合格擅自投入生产，由劳动行政主管部门会同管理矿山企业的主管部门责令停止生产，拒不停止生产的</w:t>
            </w:r>
          </w:p>
        </w:tc>
        <w:tc>
          <w:tcPr>
            <w:tcW w:w="2655" w:type="dxa"/>
            <w:tcBorders>
              <w:tl2br w:val="nil"/>
              <w:tr2bl w:val="nil"/>
            </w:tcBorders>
            <w:shd w:val="clear" w:color="auto" w:fill="auto"/>
            <w:tcMar>
              <w:top w:w="15" w:type="dxa"/>
              <w:left w:w="15" w:type="dxa"/>
              <w:right w:w="15" w:type="dxa"/>
            </w:tcMar>
            <w:vAlign w:val="center"/>
          </w:tcPr>
          <w:p w14:paraId="214F4293">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val="en-US" w:eastAsia="zh-CN" w:bidi="ar"/>
              </w:rPr>
              <w:t>提请县级以上人民政府决定由有关主管部门吊销其采矿许可证和营业执照</w:t>
            </w:r>
          </w:p>
        </w:tc>
      </w:tr>
      <w:tr w14:paraId="644C09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2F811AF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hint="default" w:ascii="仿宋_GB2312" w:hAnsi="宋体" w:eastAsia="仿宋_GB2312" w:cs="仿宋_GB2312"/>
                <w:sz w:val="18"/>
                <w:szCs w:val="18"/>
                <w:lang w:val="en-US" w:eastAsia="zh-CN"/>
              </w:rPr>
            </w:pPr>
            <w:del w:id="2606" w:author="LV" w:date="2026-07-14T16:53:56Z">
              <w:r>
                <w:rPr>
                  <w:rFonts w:hint="default" w:ascii="仿宋_GB2312" w:hAnsi="宋体" w:eastAsia="仿宋_GB2312" w:cs="仿宋_GB2312"/>
                  <w:sz w:val="18"/>
                  <w:szCs w:val="18"/>
                  <w:lang w:val="en-US" w:eastAsia="zh-CN"/>
                </w:rPr>
                <w:delText>增加</w:delText>
              </w:r>
            </w:del>
            <w:ins w:id="2607" w:author="LV" w:date="2026-07-14T16:53:56Z">
              <w:r>
                <w:rPr>
                  <w:rFonts w:hint="eastAsia" w:ascii="仿宋_GB2312" w:hAnsi="宋体" w:eastAsia="仿宋_GB2312" w:cs="仿宋_GB2312"/>
                  <w:sz w:val="18"/>
                  <w:szCs w:val="18"/>
                  <w:lang w:val="en-US" w:eastAsia="zh-CN"/>
                </w:rPr>
                <w:t>133</w:t>
              </w:r>
            </w:ins>
          </w:p>
        </w:tc>
        <w:tc>
          <w:tcPr>
            <w:tcW w:w="1005" w:type="dxa"/>
            <w:vMerge w:val="restart"/>
            <w:tcBorders>
              <w:tl2br w:val="nil"/>
              <w:tr2bl w:val="nil"/>
            </w:tcBorders>
            <w:shd w:val="clear" w:color="auto" w:fill="auto"/>
            <w:tcMar>
              <w:top w:w="15" w:type="dxa"/>
              <w:left w:w="15" w:type="dxa"/>
              <w:right w:w="15" w:type="dxa"/>
            </w:tcMar>
            <w:vAlign w:val="center"/>
          </w:tcPr>
          <w:p w14:paraId="10B72F49">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sz w:val="18"/>
                <w:szCs w:val="18"/>
                <w:lang w:val="en-US" w:eastAsia="zh-CN"/>
              </w:rPr>
            </w:pPr>
            <w:r>
              <w:rPr>
                <w:rFonts w:hint="eastAsia" w:ascii="仿宋_GB2312" w:hAnsi="宋体" w:eastAsia="仿宋_GB2312" w:cs="仿宋_GB2312"/>
                <w:sz w:val="18"/>
                <w:szCs w:val="18"/>
                <w:lang w:val="en-US" w:eastAsia="zh-CN"/>
              </w:rPr>
              <w:t>煤矿</w:t>
            </w:r>
            <w:r>
              <w:rPr>
                <w:rFonts w:ascii="仿宋_GB2312" w:hAnsi="宋体" w:eastAsia="仿宋_GB2312" w:cs="仿宋_GB2312"/>
                <w:sz w:val="18"/>
                <w:szCs w:val="18"/>
              </w:rPr>
              <w:t>使用不符合国家安全标准或者行业安全标准的设备、器材、防护用品和安全检测仪器的</w:t>
            </w:r>
          </w:p>
        </w:tc>
        <w:tc>
          <w:tcPr>
            <w:tcW w:w="3667" w:type="dxa"/>
            <w:vMerge w:val="restart"/>
            <w:tcBorders>
              <w:tl2br w:val="nil"/>
              <w:tr2bl w:val="nil"/>
            </w:tcBorders>
            <w:shd w:val="clear" w:color="auto" w:fill="auto"/>
            <w:tcMar>
              <w:top w:w="15" w:type="dxa"/>
              <w:left w:w="15" w:type="dxa"/>
              <w:right w:w="15" w:type="dxa"/>
            </w:tcMar>
            <w:vAlign w:val="center"/>
          </w:tcPr>
          <w:p w14:paraId="65D7527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《矿山安全法实施条例》</w:t>
            </w:r>
            <w:r>
              <w:rPr>
                <w:rFonts w:hint="eastAsia" w:ascii="仿宋_GB2312" w:hAnsi="宋体" w:eastAsia="仿宋_GB2312" w:cs="仿宋_GB2312"/>
                <w:kern w:val="0"/>
                <w:sz w:val="18"/>
                <w:szCs w:val="18"/>
                <w:lang w:val="en-US" w:eastAsia="zh-CN" w:bidi="ar"/>
              </w:rPr>
              <w:t xml:space="preserve"> </w:t>
            </w:r>
            <w:r>
              <w:rPr>
                <w:rFonts w:ascii="仿宋_GB2312" w:hAnsi="宋体" w:eastAsia="仿宋_GB2312" w:cs="仿宋_GB2312"/>
                <w:sz w:val="18"/>
                <w:szCs w:val="18"/>
              </w:rPr>
              <w:t>第十四条　矿山使用的下列设备、器材、防护用品和安全检测仪器，应当符合国家安全标准或者行业安全标准；不符合国家安全标准或者行业安全标准的，不得使用：</w:t>
            </w:r>
          </w:p>
          <w:p w14:paraId="21EA495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ascii="仿宋_GB2312" w:hAnsi="宋体" w:eastAsia="仿宋_GB2312" w:cs="仿宋_GB2312"/>
                <w:sz w:val="18"/>
                <w:szCs w:val="18"/>
              </w:rPr>
              <w:t>(一)采掘、支护、装载、运输、提升、通风、排水、瓦斯抽放、压缩空气和起重设备；</w:t>
            </w:r>
          </w:p>
          <w:p w14:paraId="783407F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ascii="仿宋_GB2312" w:hAnsi="宋体" w:eastAsia="仿宋_GB2312" w:cs="仿宋_GB2312"/>
                <w:sz w:val="18"/>
                <w:szCs w:val="18"/>
              </w:rPr>
              <w:t>(二)电动机、变压器、配电柜、电器开关、电控装置；</w:t>
            </w:r>
          </w:p>
          <w:p w14:paraId="402EF9D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ascii="仿宋_GB2312" w:hAnsi="宋体" w:eastAsia="仿宋_GB2312" w:cs="仿宋_GB2312"/>
                <w:sz w:val="18"/>
                <w:szCs w:val="18"/>
              </w:rPr>
              <w:t>(三)爆破器材、通讯器材、矿灯、电缆、钢丝绳、支护材料、防火材料；</w:t>
            </w:r>
          </w:p>
          <w:p w14:paraId="0510090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ascii="仿宋_GB2312" w:hAnsi="宋体" w:eastAsia="仿宋_GB2312" w:cs="仿宋_GB2312"/>
                <w:sz w:val="18"/>
                <w:szCs w:val="18"/>
              </w:rPr>
              <w:t>(四)各种安全卫生检测仪器仪表；</w:t>
            </w:r>
          </w:p>
          <w:p w14:paraId="6D7EA58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ascii="仿宋_GB2312" w:hAnsi="宋体" w:eastAsia="仿宋_GB2312" w:cs="仿宋_GB2312"/>
                <w:sz w:val="18"/>
                <w:szCs w:val="18"/>
              </w:rPr>
              <w:t>(五)自救器、安全帽、防尘防毒口罩或者面罩、防护服、防护鞋等防护用品和救护设备；</w:t>
            </w:r>
          </w:p>
          <w:p w14:paraId="73E5E74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ascii="仿宋_GB2312" w:hAnsi="宋体" w:eastAsia="仿宋_GB2312" w:cs="仿宋_GB2312"/>
                <w:sz w:val="18"/>
                <w:szCs w:val="18"/>
              </w:rPr>
              <w:t>(六)经有关主管部门认定的其他有特殊安全要求的设备和器材。</w:t>
            </w:r>
          </w:p>
          <w:p w14:paraId="185E10F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restart"/>
            <w:tcBorders>
              <w:tl2br w:val="nil"/>
              <w:tr2bl w:val="nil"/>
            </w:tcBorders>
            <w:shd w:val="clear" w:color="auto" w:fill="auto"/>
            <w:tcMar>
              <w:top w:w="15" w:type="dxa"/>
              <w:left w:w="15" w:type="dxa"/>
              <w:right w:w="15" w:type="dxa"/>
            </w:tcMar>
            <w:vAlign w:val="center"/>
          </w:tcPr>
          <w:p w14:paraId="1B2296D8">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sz w:val="18"/>
                <w:szCs w:val="18"/>
                <w:lang w:eastAsia="zh-CN"/>
              </w:rPr>
            </w:pPr>
            <w:r>
              <w:rPr>
                <w:rFonts w:hint="eastAsia" w:ascii="仿宋_GB2312" w:hAnsi="宋体" w:eastAsia="仿宋_GB2312" w:cs="仿宋_GB2312"/>
                <w:kern w:val="0"/>
                <w:sz w:val="18"/>
                <w:szCs w:val="18"/>
                <w:lang w:bidi="ar"/>
              </w:rPr>
              <w:t>《矿山安全法实施条例》</w:t>
            </w:r>
            <w:r>
              <w:rPr>
                <w:rFonts w:hint="eastAsia" w:ascii="仿宋_GB2312" w:hAnsi="宋体" w:eastAsia="仿宋_GB2312" w:cs="仿宋_GB2312"/>
                <w:kern w:val="0"/>
                <w:sz w:val="18"/>
                <w:szCs w:val="18"/>
                <w:lang w:val="en-US" w:eastAsia="zh-CN" w:bidi="ar"/>
              </w:rPr>
              <w:t xml:space="preserve"> </w:t>
            </w:r>
            <w:r>
              <w:rPr>
                <w:rFonts w:ascii="仿宋_GB2312" w:hAnsi="宋体" w:eastAsia="仿宋_GB2312" w:cs="仿宋_GB2312"/>
                <w:sz w:val="18"/>
                <w:szCs w:val="18"/>
              </w:rPr>
              <w:t>第五十二条　依照《矿山安全法》第四十条规定处以罚款的，分别按照下列规定执行：(二)使用不符合国家安全标准或者行业安全标准的设备、器材、防护用品和安全检测仪器的，处5万元以下的罚款</w:t>
            </w:r>
            <w:r>
              <w:rPr>
                <w:rFonts w:hint="eastAsia" w:ascii="仿宋_GB2312" w:hAnsi="宋体" w:eastAsia="仿宋_GB2312" w:cs="仿宋_GB2312"/>
                <w:sz w:val="18"/>
                <w:szCs w:val="18"/>
                <w:lang w:eastAsia="zh-CN"/>
              </w:rPr>
              <w:t>。</w:t>
            </w:r>
          </w:p>
          <w:p w14:paraId="11980AD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hint="eastAsia" w:ascii="仿宋_GB2312" w:hAnsi="宋体" w:eastAsia="仿宋_GB2312" w:cs="仿宋_GB2312"/>
                <w:kern w:val="0"/>
                <w:sz w:val="18"/>
                <w:szCs w:val="18"/>
                <w:lang w:val="en-US" w:eastAsia="zh-CN" w:bidi="ar"/>
              </w:rPr>
              <w:t xml:space="preserve">《矿山安全法》第四十条 </w:t>
            </w:r>
            <w:r>
              <w:rPr>
                <w:rFonts w:hint="eastAsia" w:ascii="仿宋_GB2312" w:hAnsi="宋体" w:eastAsia="仿宋_GB2312" w:cs="仿宋_GB2312"/>
                <w:kern w:val="0"/>
                <w:sz w:val="18"/>
                <w:szCs w:val="18"/>
                <w:lang w:val="en-US" w:eastAsia="zh-CN" w:bidi="ar"/>
              </w:rPr>
              <w:tab/>
            </w:r>
            <w:r>
              <w:rPr>
                <w:rFonts w:hint="eastAsia" w:ascii="仿宋_GB2312" w:hAnsi="宋体" w:eastAsia="仿宋_GB2312" w:cs="仿宋_GB2312"/>
                <w:kern w:val="0"/>
                <w:sz w:val="18"/>
                <w:szCs w:val="18"/>
                <w:lang w:val="en-US" w:eastAsia="zh-CN" w:bidi="ar"/>
              </w:rPr>
              <w:t>违反本法规定，有下列行为之一的，由劳动行政主管部门责令改正，可以并处罚款；情节严重的，提请县级以上人民政府决定责令停产整顿；对主管人员和直接责任人员由其所在单位或者上级主管机关给予行政处分。</w:t>
            </w:r>
          </w:p>
        </w:tc>
        <w:tc>
          <w:tcPr>
            <w:tcW w:w="459" w:type="dxa"/>
            <w:tcBorders>
              <w:tl2br w:val="nil"/>
              <w:tr2bl w:val="nil"/>
            </w:tcBorders>
            <w:shd w:val="clear" w:color="auto" w:fill="auto"/>
            <w:noWrap/>
            <w:tcMar>
              <w:top w:w="15" w:type="dxa"/>
              <w:left w:w="15" w:type="dxa"/>
              <w:right w:w="15" w:type="dxa"/>
            </w:tcMar>
            <w:vAlign w:val="center"/>
          </w:tcPr>
          <w:p w14:paraId="1BEFC98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1763A41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77565A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0CE990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3540A2F">
            <w:pPr>
              <w:keepNext w:val="0"/>
              <w:keepLines w:val="0"/>
              <w:pageBreakBefore w:val="0"/>
              <w:widowControl w:val="0"/>
              <w:kinsoku/>
              <w:wordWrap/>
              <w:overflowPunct w:val="0"/>
              <w:topLinePunct w:val="0"/>
              <w:autoSpaceDE/>
              <w:autoSpaceDN/>
              <w:bidi w:val="0"/>
              <w:adjustRightInd/>
              <w:snapToGrid/>
              <w:spacing w:line="240" w:lineRule="exact"/>
              <w:textAlignment w:val="center"/>
            </w:pPr>
          </w:p>
        </w:tc>
        <w:tc>
          <w:tcPr>
            <w:tcW w:w="1005" w:type="dxa"/>
            <w:vMerge w:val="continue"/>
            <w:tcBorders>
              <w:tl2br w:val="nil"/>
              <w:tr2bl w:val="nil"/>
            </w:tcBorders>
            <w:shd w:val="clear" w:color="auto" w:fill="auto"/>
            <w:tcMar>
              <w:top w:w="15" w:type="dxa"/>
              <w:left w:w="15" w:type="dxa"/>
              <w:right w:w="15" w:type="dxa"/>
            </w:tcMar>
            <w:vAlign w:val="center"/>
          </w:tcPr>
          <w:p w14:paraId="1EB51836">
            <w:pPr>
              <w:keepNext w:val="0"/>
              <w:keepLines w:val="0"/>
              <w:pageBreakBefore w:val="0"/>
              <w:widowControl w:val="0"/>
              <w:kinsoku/>
              <w:wordWrap/>
              <w:overflowPunct w:val="0"/>
              <w:topLinePunct w:val="0"/>
              <w:autoSpaceDE/>
              <w:autoSpaceDN/>
              <w:bidi w:val="0"/>
              <w:adjustRightInd/>
              <w:snapToGrid/>
              <w:spacing w:line="240" w:lineRule="exact"/>
              <w:textAlignment w:val="center"/>
            </w:pPr>
          </w:p>
        </w:tc>
        <w:tc>
          <w:tcPr>
            <w:tcW w:w="3667" w:type="dxa"/>
            <w:vMerge w:val="continue"/>
            <w:tcBorders>
              <w:tl2br w:val="nil"/>
              <w:tr2bl w:val="nil"/>
            </w:tcBorders>
            <w:shd w:val="clear" w:color="auto" w:fill="auto"/>
            <w:tcMar>
              <w:top w:w="15" w:type="dxa"/>
              <w:left w:w="15" w:type="dxa"/>
              <w:right w:w="15" w:type="dxa"/>
            </w:tcMar>
            <w:vAlign w:val="center"/>
          </w:tcPr>
          <w:p w14:paraId="46D030B6">
            <w:pPr>
              <w:keepNext w:val="0"/>
              <w:keepLines w:val="0"/>
              <w:pageBreakBefore w:val="0"/>
              <w:widowControl w:val="0"/>
              <w:kinsoku/>
              <w:wordWrap/>
              <w:overflowPunct w:val="0"/>
              <w:topLinePunct w:val="0"/>
              <w:autoSpaceDE/>
              <w:autoSpaceDN/>
              <w:bidi w:val="0"/>
              <w:adjustRightInd/>
              <w:snapToGrid/>
              <w:spacing w:line="240" w:lineRule="exact"/>
              <w:textAlignment w:val="center"/>
            </w:pPr>
          </w:p>
        </w:tc>
        <w:tc>
          <w:tcPr>
            <w:tcW w:w="4082" w:type="dxa"/>
            <w:vMerge w:val="continue"/>
            <w:tcBorders>
              <w:tl2br w:val="nil"/>
              <w:tr2bl w:val="nil"/>
            </w:tcBorders>
            <w:shd w:val="clear" w:color="auto" w:fill="auto"/>
            <w:tcMar>
              <w:top w:w="15" w:type="dxa"/>
              <w:left w:w="15" w:type="dxa"/>
              <w:right w:w="15" w:type="dxa"/>
            </w:tcMar>
            <w:vAlign w:val="center"/>
          </w:tcPr>
          <w:p w14:paraId="684362B4">
            <w:pPr>
              <w:keepNext w:val="0"/>
              <w:keepLines w:val="0"/>
              <w:pageBreakBefore w:val="0"/>
              <w:widowControl w:val="0"/>
              <w:kinsoku/>
              <w:wordWrap/>
              <w:overflowPunct w:val="0"/>
              <w:topLinePunct w:val="0"/>
              <w:autoSpaceDE/>
              <w:autoSpaceDN/>
              <w:bidi w:val="0"/>
              <w:adjustRightInd/>
              <w:snapToGrid/>
              <w:spacing w:line="240" w:lineRule="exact"/>
              <w:textAlignment w:val="center"/>
            </w:pPr>
          </w:p>
        </w:tc>
        <w:tc>
          <w:tcPr>
            <w:tcW w:w="459" w:type="dxa"/>
            <w:tcBorders>
              <w:tl2br w:val="nil"/>
              <w:tr2bl w:val="nil"/>
            </w:tcBorders>
            <w:shd w:val="clear" w:color="auto" w:fill="auto"/>
            <w:noWrap/>
            <w:tcMar>
              <w:top w:w="15" w:type="dxa"/>
              <w:left w:w="15" w:type="dxa"/>
              <w:right w:w="15" w:type="dxa"/>
            </w:tcMar>
            <w:vAlign w:val="center"/>
          </w:tcPr>
          <w:p w14:paraId="1D0B632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7069682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277438D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34E01B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C3E5ACA">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p>
        </w:tc>
        <w:tc>
          <w:tcPr>
            <w:tcW w:w="1005" w:type="dxa"/>
            <w:vMerge w:val="continue"/>
            <w:tcBorders>
              <w:tl2br w:val="nil"/>
              <w:tr2bl w:val="nil"/>
            </w:tcBorders>
            <w:shd w:val="clear" w:color="auto" w:fill="auto"/>
            <w:tcMar>
              <w:top w:w="15" w:type="dxa"/>
              <w:left w:w="15" w:type="dxa"/>
              <w:right w:w="15" w:type="dxa"/>
            </w:tcMar>
            <w:vAlign w:val="center"/>
          </w:tcPr>
          <w:p w14:paraId="4A563535">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p>
        </w:tc>
        <w:tc>
          <w:tcPr>
            <w:tcW w:w="3667" w:type="dxa"/>
            <w:vMerge w:val="continue"/>
            <w:tcBorders>
              <w:tl2br w:val="nil"/>
              <w:tr2bl w:val="nil"/>
            </w:tcBorders>
            <w:shd w:val="clear" w:color="auto" w:fill="auto"/>
            <w:tcMar>
              <w:top w:w="15" w:type="dxa"/>
              <w:left w:w="15" w:type="dxa"/>
              <w:right w:w="15" w:type="dxa"/>
            </w:tcMar>
            <w:vAlign w:val="center"/>
          </w:tcPr>
          <w:p w14:paraId="04B41370">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p>
        </w:tc>
        <w:tc>
          <w:tcPr>
            <w:tcW w:w="4082" w:type="dxa"/>
            <w:vMerge w:val="continue"/>
            <w:tcBorders>
              <w:tl2br w:val="nil"/>
              <w:tr2bl w:val="nil"/>
            </w:tcBorders>
            <w:shd w:val="clear" w:color="auto" w:fill="auto"/>
            <w:tcMar>
              <w:top w:w="15" w:type="dxa"/>
              <w:left w:w="15" w:type="dxa"/>
              <w:right w:w="15" w:type="dxa"/>
            </w:tcMar>
            <w:vAlign w:val="center"/>
          </w:tcPr>
          <w:p w14:paraId="30FDF4A6">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p>
        </w:tc>
        <w:tc>
          <w:tcPr>
            <w:tcW w:w="459" w:type="dxa"/>
            <w:tcBorders>
              <w:tl2br w:val="nil"/>
              <w:tr2bl w:val="nil"/>
            </w:tcBorders>
            <w:shd w:val="clear" w:color="auto" w:fill="auto"/>
            <w:noWrap/>
            <w:tcMar>
              <w:top w:w="15" w:type="dxa"/>
              <w:left w:w="15" w:type="dxa"/>
              <w:right w:w="15" w:type="dxa"/>
            </w:tcMar>
            <w:vAlign w:val="center"/>
          </w:tcPr>
          <w:p w14:paraId="0DAD25F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4AC06AD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1EE75FE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199D9A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12F56E3">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p>
        </w:tc>
        <w:tc>
          <w:tcPr>
            <w:tcW w:w="1005" w:type="dxa"/>
            <w:vMerge w:val="continue"/>
            <w:tcBorders>
              <w:tl2br w:val="nil"/>
              <w:tr2bl w:val="nil"/>
            </w:tcBorders>
            <w:shd w:val="clear" w:color="auto" w:fill="auto"/>
            <w:tcMar>
              <w:top w:w="15" w:type="dxa"/>
              <w:left w:w="15" w:type="dxa"/>
              <w:right w:w="15" w:type="dxa"/>
            </w:tcMar>
            <w:vAlign w:val="center"/>
          </w:tcPr>
          <w:p w14:paraId="62E0CD3C">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p>
        </w:tc>
        <w:tc>
          <w:tcPr>
            <w:tcW w:w="3667" w:type="dxa"/>
            <w:vMerge w:val="continue"/>
            <w:tcBorders>
              <w:tl2br w:val="nil"/>
              <w:tr2bl w:val="nil"/>
            </w:tcBorders>
            <w:shd w:val="clear" w:color="auto" w:fill="auto"/>
            <w:tcMar>
              <w:top w:w="15" w:type="dxa"/>
              <w:left w:w="15" w:type="dxa"/>
              <w:right w:w="15" w:type="dxa"/>
            </w:tcMar>
            <w:vAlign w:val="center"/>
          </w:tcPr>
          <w:p w14:paraId="28E204B8">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p>
        </w:tc>
        <w:tc>
          <w:tcPr>
            <w:tcW w:w="4082" w:type="dxa"/>
            <w:vMerge w:val="continue"/>
            <w:tcBorders>
              <w:tl2br w:val="nil"/>
              <w:tr2bl w:val="nil"/>
            </w:tcBorders>
            <w:shd w:val="clear" w:color="auto" w:fill="auto"/>
            <w:tcMar>
              <w:top w:w="15" w:type="dxa"/>
              <w:left w:w="15" w:type="dxa"/>
              <w:right w:w="15" w:type="dxa"/>
            </w:tcMar>
            <w:vAlign w:val="center"/>
          </w:tcPr>
          <w:p w14:paraId="0C7DB421">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p>
        </w:tc>
        <w:tc>
          <w:tcPr>
            <w:tcW w:w="459" w:type="dxa"/>
            <w:tcBorders>
              <w:tl2br w:val="nil"/>
              <w:tr2bl w:val="nil"/>
            </w:tcBorders>
            <w:shd w:val="clear" w:color="auto" w:fill="auto"/>
            <w:noWrap/>
            <w:tcMar>
              <w:top w:w="15" w:type="dxa"/>
              <w:left w:w="15" w:type="dxa"/>
              <w:right w:w="15" w:type="dxa"/>
            </w:tcMar>
            <w:vAlign w:val="center"/>
          </w:tcPr>
          <w:p w14:paraId="1172C75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41934B4E">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default"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val="en-US" w:eastAsia="zh-CN" w:bidi="ar"/>
              </w:rPr>
              <w:t>使用1台（套）</w:t>
            </w:r>
            <w:r>
              <w:rPr>
                <w:rFonts w:ascii="仿宋_GB2312" w:hAnsi="宋体" w:eastAsia="仿宋_GB2312" w:cs="仿宋_GB2312"/>
                <w:sz w:val="18"/>
                <w:szCs w:val="18"/>
              </w:rPr>
              <w:t>不符合国家安全标准或者行业安全标准的设备、器材、防护用品和安全检测仪器的</w:t>
            </w:r>
          </w:p>
        </w:tc>
        <w:tc>
          <w:tcPr>
            <w:tcW w:w="2655" w:type="dxa"/>
            <w:tcBorders>
              <w:tl2br w:val="nil"/>
              <w:tr2bl w:val="nil"/>
            </w:tcBorders>
            <w:shd w:val="clear" w:color="auto" w:fill="auto"/>
            <w:tcMar>
              <w:top w:w="15" w:type="dxa"/>
              <w:left w:w="15" w:type="dxa"/>
              <w:right w:w="15" w:type="dxa"/>
            </w:tcMar>
            <w:vAlign w:val="center"/>
          </w:tcPr>
          <w:p w14:paraId="50EAE178">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default"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val="en-US" w:eastAsia="zh-CN" w:bidi="ar"/>
              </w:rPr>
              <w:t>可以处2万元以下的罚款</w:t>
            </w:r>
          </w:p>
        </w:tc>
      </w:tr>
      <w:tr w14:paraId="0F9B93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FD56505">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p>
        </w:tc>
        <w:tc>
          <w:tcPr>
            <w:tcW w:w="1005" w:type="dxa"/>
            <w:vMerge w:val="continue"/>
            <w:tcBorders>
              <w:tl2br w:val="nil"/>
              <w:tr2bl w:val="nil"/>
            </w:tcBorders>
            <w:shd w:val="clear" w:color="auto" w:fill="auto"/>
            <w:tcMar>
              <w:top w:w="15" w:type="dxa"/>
              <w:left w:w="15" w:type="dxa"/>
              <w:right w:w="15" w:type="dxa"/>
            </w:tcMar>
            <w:vAlign w:val="center"/>
          </w:tcPr>
          <w:p w14:paraId="71A3FF0A">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p>
        </w:tc>
        <w:tc>
          <w:tcPr>
            <w:tcW w:w="3667" w:type="dxa"/>
            <w:vMerge w:val="continue"/>
            <w:tcBorders>
              <w:tl2br w:val="nil"/>
              <w:tr2bl w:val="nil"/>
            </w:tcBorders>
            <w:shd w:val="clear" w:color="auto" w:fill="auto"/>
            <w:tcMar>
              <w:top w:w="15" w:type="dxa"/>
              <w:left w:w="15" w:type="dxa"/>
              <w:right w:w="15" w:type="dxa"/>
            </w:tcMar>
            <w:vAlign w:val="center"/>
          </w:tcPr>
          <w:p w14:paraId="224849A1">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p>
        </w:tc>
        <w:tc>
          <w:tcPr>
            <w:tcW w:w="4082" w:type="dxa"/>
            <w:vMerge w:val="continue"/>
            <w:tcBorders>
              <w:tl2br w:val="nil"/>
              <w:tr2bl w:val="nil"/>
            </w:tcBorders>
            <w:shd w:val="clear" w:color="auto" w:fill="auto"/>
            <w:tcMar>
              <w:top w:w="15" w:type="dxa"/>
              <w:left w:w="15" w:type="dxa"/>
              <w:right w:w="15" w:type="dxa"/>
            </w:tcMar>
            <w:vAlign w:val="center"/>
          </w:tcPr>
          <w:p w14:paraId="2148EE16">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p>
        </w:tc>
        <w:tc>
          <w:tcPr>
            <w:tcW w:w="459" w:type="dxa"/>
            <w:tcBorders>
              <w:tl2br w:val="nil"/>
              <w:tr2bl w:val="nil"/>
            </w:tcBorders>
            <w:shd w:val="clear" w:color="auto" w:fill="auto"/>
            <w:noWrap/>
            <w:tcMar>
              <w:top w:w="15" w:type="dxa"/>
              <w:left w:w="15" w:type="dxa"/>
              <w:right w:w="15" w:type="dxa"/>
            </w:tcMar>
            <w:vAlign w:val="center"/>
          </w:tcPr>
          <w:p w14:paraId="405E923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2FB432C3">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val="en-US" w:eastAsia="zh-CN" w:bidi="ar"/>
              </w:rPr>
              <w:t>使用2台（套）</w:t>
            </w:r>
            <w:r>
              <w:rPr>
                <w:rFonts w:ascii="仿宋_GB2312" w:hAnsi="宋体" w:eastAsia="仿宋_GB2312" w:cs="仿宋_GB2312"/>
                <w:sz w:val="18"/>
                <w:szCs w:val="18"/>
              </w:rPr>
              <w:t>不符合国家安全标准或者行业安全标准的设备、器材、防护用品和安全检测仪器的</w:t>
            </w:r>
          </w:p>
        </w:tc>
        <w:tc>
          <w:tcPr>
            <w:tcW w:w="2655" w:type="dxa"/>
            <w:tcBorders>
              <w:tl2br w:val="nil"/>
              <w:tr2bl w:val="nil"/>
            </w:tcBorders>
            <w:shd w:val="clear" w:color="auto" w:fill="auto"/>
            <w:tcMar>
              <w:top w:w="15" w:type="dxa"/>
              <w:left w:w="15" w:type="dxa"/>
              <w:right w:w="15" w:type="dxa"/>
            </w:tcMar>
            <w:vAlign w:val="center"/>
          </w:tcPr>
          <w:p w14:paraId="203D8FE7">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default"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val="en-US" w:eastAsia="zh-CN" w:bidi="ar"/>
              </w:rPr>
              <w:t>可以处2万元以上、4万元以下的罚款</w:t>
            </w:r>
          </w:p>
        </w:tc>
      </w:tr>
      <w:tr w14:paraId="643CD0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A7D3740">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p>
        </w:tc>
        <w:tc>
          <w:tcPr>
            <w:tcW w:w="1005" w:type="dxa"/>
            <w:vMerge w:val="continue"/>
            <w:tcBorders>
              <w:tl2br w:val="nil"/>
              <w:tr2bl w:val="nil"/>
            </w:tcBorders>
            <w:shd w:val="clear" w:color="auto" w:fill="auto"/>
            <w:tcMar>
              <w:top w:w="15" w:type="dxa"/>
              <w:left w:w="15" w:type="dxa"/>
              <w:right w:w="15" w:type="dxa"/>
            </w:tcMar>
            <w:vAlign w:val="center"/>
          </w:tcPr>
          <w:p w14:paraId="51A9CD7D">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p>
        </w:tc>
        <w:tc>
          <w:tcPr>
            <w:tcW w:w="3667" w:type="dxa"/>
            <w:vMerge w:val="continue"/>
            <w:tcBorders>
              <w:tl2br w:val="nil"/>
              <w:tr2bl w:val="nil"/>
            </w:tcBorders>
            <w:shd w:val="clear" w:color="auto" w:fill="auto"/>
            <w:tcMar>
              <w:top w:w="15" w:type="dxa"/>
              <w:left w:w="15" w:type="dxa"/>
              <w:right w:w="15" w:type="dxa"/>
            </w:tcMar>
            <w:vAlign w:val="center"/>
          </w:tcPr>
          <w:p w14:paraId="54EF7956">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p>
        </w:tc>
        <w:tc>
          <w:tcPr>
            <w:tcW w:w="4082" w:type="dxa"/>
            <w:vMerge w:val="continue"/>
            <w:tcBorders>
              <w:tl2br w:val="nil"/>
              <w:tr2bl w:val="nil"/>
            </w:tcBorders>
            <w:shd w:val="clear" w:color="auto" w:fill="auto"/>
            <w:tcMar>
              <w:top w:w="15" w:type="dxa"/>
              <w:left w:w="15" w:type="dxa"/>
              <w:right w:w="15" w:type="dxa"/>
            </w:tcMar>
            <w:vAlign w:val="center"/>
          </w:tcPr>
          <w:p w14:paraId="27484CC4">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p>
        </w:tc>
        <w:tc>
          <w:tcPr>
            <w:tcW w:w="459" w:type="dxa"/>
            <w:tcBorders>
              <w:tl2br w:val="nil"/>
              <w:tr2bl w:val="nil"/>
            </w:tcBorders>
            <w:shd w:val="clear" w:color="auto" w:fill="auto"/>
            <w:noWrap/>
            <w:tcMar>
              <w:top w:w="15" w:type="dxa"/>
              <w:left w:w="15" w:type="dxa"/>
              <w:right w:w="15" w:type="dxa"/>
            </w:tcMar>
            <w:vAlign w:val="center"/>
          </w:tcPr>
          <w:p w14:paraId="5FFD7DA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1E20B861">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sz w:val="18"/>
                <w:szCs w:val="18"/>
                <w:lang w:eastAsia="zh-CN"/>
              </w:rPr>
            </w:pPr>
            <w:r>
              <w:rPr>
                <w:rFonts w:hint="eastAsia" w:ascii="仿宋_GB2312" w:hAnsi="宋体" w:eastAsia="仿宋_GB2312" w:cs="仿宋_GB2312"/>
                <w:kern w:val="0"/>
                <w:sz w:val="18"/>
                <w:szCs w:val="18"/>
                <w:lang w:val="en-US" w:eastAsia="zh-CN" w:bidi="ar"/>
              </w:rPr>
              <w:t>①使用3台（套）及以上</w:t>
            </w:r>
            <w:r>
              <w:rPr>
                <w:rFonts w:ascii="仿宋_GB2312" w:hAnsi="宋体" w:eastAsia="仿宋_GB2312" w:cs="仿宋_GB2312"/>
                <w:sz w:val="18"/>
                <w:szCs w:val="18"/>
              </w:rPr>
              <w:t>不符合国家安全标准或者行业安全标准的设备、器材、防护用品和安全检测仪器的</w:t>
            </w:r>
            <w:r>
              <w:rPr>
                <w:rFonts w:hint="eastAsia" w:ascii="仿宋_GB2312" w:hAnsi="宋体" w:eastAsia="仿宋_GB2312" w:cs="仿宋_GB2312"/>
                <w:sz w:val="18"/>
                <w:szCs w:val="18"/>
                <w:lang w:eastAsia="zh-CN"/>
              </w:rPr>
              <w:t>；</w:t>
            </w:r>
          </w:p>
          <w:p w14:paraId="4497D393">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sz w:val="18"/>
                <w:szCs w:val="18"/>
                <w:lang w:val="en-US" w:eastAsia="zh-CN"/>
              </w:rPr>
              <w:t>②情节严重的</w:t>
            </w:r>
          </w:p>
        </w:tc>
        <w:tc>
          <w:tcPr>
            <w:tcW w:w="2655" w:type="dxa"/>
            <w:tcBorders>
              <w:tl2br w:val="nil"/>
              <w:tr2bl w:val="nil"/>
            </w:tcBorders>
            <w:shd w:val="clear" w:color="auto" w:fill="auto"/>
            <w:tcMar>
              <w:top w:w="15" w:type="dxa"/>
              <w:left w:w="15" w:type="dxa"/>
              <w:right w:w="15" w:type="dxa"/>
            </w:tcMar>
            <w:vAlign w:val="center"/>
          </w:tcPr>
          <w:p w14:paraId="748C3317">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val="en-US" w:eastAsia="zh-CN" w:bidi="ar"/>
              </w:rPr>
              <w:t>①可以处4万元以上、5万元以下的罚款</w:t>
            </w:r>
          </w:p>
          <w:p w14:paraId="22906F04">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val="en-US" w:eastAsia="zh-CN" w:bidi="ar"/>
              </w:rPr>
              <w:t>②情节严重的，提请县级以上人民政府决定责令停产整顿，处4万元以上、5万元以下的罚款。</w:t>
            </w:r>
          </w:p>
          <w:p w14:paraId="11DE2840">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default" w:ascii="仿宋_GB2312" w:hAnsi="宋体" w:eastAsia="仿宋_GB2312" w:cs="仿宋_GB2312"/>
                <w:kern w:val="0"/>
                <w:sz w:val="18"/>
                <w:szCs w:val="18"/>
                <w:lang w:val="en-US" w:eastAsia="zh-CN" w:bidi="ar"/>
              </w:rPr>
            </w:pPr>
          </w:p>
        </w:tc>
      </w:tr>
      <w:tr w14:paraId="6330FA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0330CEB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1</w:t>
            </w:r>
            <w:del w:id="2608" w:author="LV" w:date="2026-07-14T16:54:06Z">
              <w:r>
                <w:rPr>
                  <w:rFonts w:hint="default" w:ascii="仿宋_GB2312" w:hAnsi="宋体" w:eastAsia="仿宋_GB2312" w:cs="仿宋_GB2312"/>
                  <w:kern w:val="0"/>
                  <w:sz w:val="18"/>
                  <w:szCs w:val="18"/>
                  <w:lang w:val="en-US" w:bidi="ar"/>
                </w:rPr>
                <w:delText>2</w:delText>
              </w:r>
            </w:del>
            <w:del w:id="2609" w:author="LV" w:date="2026-07-14T16:54:06Z">
              <w:r>
                <w:rPr>
                  <w:rFonts w:hint="default" w:ascii="仿宋_GB2312" w:hAnsi="宋体" w:eastAsia="仿宋_GB2312" w:cs="仿宋_GB2312"/>
                  <w:kern w:val="0"/>
                  <w:sz w:val="18"/>
                  <w:szCs w:val="18"/>
                  <w:lang w:val="en-US" w:eastAsia="zh-CN" w:bidi="ar"/>
                </w:rPr>
                <w:delText>5</w:delText>
              </w:r>
            </w:del>
            <w:ins w:id="2610" w:author="LV" w:date="2026-07-14T16:54:06Z">
              <w:r>
                <w:rPr>
                  <w:rFonts w:hint="eastAsia" w:ascii="仿宋_GB2312" w:hAnsi="宋体" w:eastAsia="仿宋_GB2312" w:cs="仿宋_GB2312"/>
                  <w:kern w:val="0"/>
                  <w:sz w:val="18"/>
                  <w:szCs w:val="18"/>
                  <w:lang w:val="en-US" w:eastAsia="zh-CN" w:bidi="ar"/>
                </w:rPr>
                <w:t>3</w:t>
              </w:r>
            </w:ins>
            <w:ins w:id="2611" w:author="LV" w:date="2026-07-14T16:54:07Z">
              <w:r>
                <w:rPr>
                  <w:rFonts w:hint="eastAsia" w:ascii="仿宋_GB2312" w:hAnsi="宋体" w:eastAsia="仿宋_GB2312" w:cs="仿宋_GB2312"/>
                  <w:kern w:val="0"/>
                  <w:sz w:val="18"/>
                  <w:szCs w:val="18"/>
                  <w:lang w:val="en-US" w:eastAsia="zh-CN" w:bidi="ar"/>
                </w:rPr>
                <w:t>4</w:t>
              </w:r>
            </w:ins>
          </w:p>
        </w:tc>
        <w:tc>
          <w:tcPr>
            <w:tcW w:w="1005" w:type="dxa"/>
            <w:vMerge w:val="restart"/>
            <w:tcBorders>
              <w:tl2br w:val="nil"/>
              <w:tr2bl w:val="nil"/>
            </w:tcBorders>
            <w:shd w:val="clear" w:color="auto" w:fill="auto"/>
            <w:tcMar>
              <w:top w:w="15" w:type="dxa"/>
              <w:left w:w="15" w:type="dxa"/>
              <w:right w:w="15" w:type="dxa"/>
            </w:tcMar>
            <w:vAlign w:val="center"/>
          </w:tcPr>
          <w:p w14:paraId="1BED18B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煤矿未按照国家规定投保安全生产责任保险的</w:t>
            </w:r>
          </w:p>
        </w:tc>
        <w:tc>
          <w:tcPr>
            <w:tcW w:w="3667" w:type="dxa"/>
            <w:vMerge w:val="restart"/>
            <w:tcBorders>
              <w:tl2br w:val="nil"/>
              <w:tr2bl w:val="nil"/>
            </w:tcBorders>
            <w:shd w:val="clear" w:color="auto" w:fill="auto"/>
            <w:tcMar>
              <w:top w:w="15" w:type="dxa"/>
              <w:left w:w="15" w:type="dxa"/>
              <w:right w:w="15" w:type="dxa"/>
            </w:tcMar>
            <w:vAlign w:val="center"/>
          </w:tcPr>
          <w:p w14:paraId="0CDBE97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《安全生产法》第五十一条第二款 国家鼓励生产经营单位投保安全生产责任保险；属于国家规定的高危行业、领域的生产经营单位，应当投保安全生产责任保险。具体范围和实施办法由国务院应急管理部门会同国务院财政部门、国务院保险监督管理机构和相关行业主管部门制定。</w:t>
            </w:r>
          </w:p>
        </w:tc>
        <w:tc>
          <w:tcPr>
            <w:tcW w:w="4082" w:type="dxa"/>
            <w:vMerge w:val="restart"/>
            <w:tcBorders>
              <w:tl2br w:val="nil"/>
              <w:tr2bl w:val="nil"/>
            </w:tcBorders>
            <w:shd w:val="clear" w:color="auto" w:fill="auto"/>
            <w:tcMar>
              <w:top w:w="15" w:type="dxa"/>
              <w:left w:w="15" w:type="dxa"/>
              <w:right w:w="15" w:type="dxa"/>
            </w:tcMar>
            <w:vAlign w:val="center"/>
          </w:tcPr>
          <w:p w14:paraId="3E35CCB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《安全生产法》第一百零九条 高危行业、领域的生产经营单位未按照国家规定投保安全生产责任保险的，责令限期改正，处五万元以上十万元以下的罚款；逾期未改正的，处十万元以上二十万元以下的罚款。</w:t>
            </w:r>
          </w:p>
        </w:tc>
        <w:tc>
          <w:tcPr>
            <w:tcW w:w="459" w:type="dxa"/>
            <w:tcBorders>
              <w:tl2br w:val="nil"/>
              <w:tr2bl w:val="nil"/>
            </w:tcBorders>
            <w:shd w:val="clear" w:color="auto" w:fill="auto"/>
            <w:noWrap/>
            <w:tcMar>
              <w:top w:w="15" w:type="dxa"/>
              <w:left w:w="15" w:type="dxa"/>
              <w:right w:w="15" w:type="dxa"/>
            </w:tcMar>
            <w:vAlign w:val="center"/>
          </w:tcPr>
          <w:p w14:paraId="7BCE6C64">
            <w:pPr>
              <w:keepNext w:val="0"/>
              <w:keepLines w:val="0"/>
              <w:pageBreakBefore w:val="0"/>
              <w:widowControl w:val="0"/>
              <w:kinsoku/>
              <w:wordWrap/>
              <w:overflowPunct w:val="0"/>
              <w:topLinePunct w:val="0"/>
              <w:autoSpaceDE/>
              <w:autoSpaceDN/>
              <w:bidi w:val="0"/>
              <w:adjustRightInd/>
              <w:snapToGrid/>
              <w:spacing w:line="1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3B5AB8C9">
            <w:pPr>
              <w:keepNext w:val="0"/>
              <w:keepLines w:val="0"/>
              <w:pageBreakBefore w:val="0"/>
              <w:widowControl w:val="0"/>
              <w:kinsoku/>
              <w:wordWrap/>
              <w:overflowPunct w:val="0"/>
              <w:topLinePunct w:val="0"/>
              <w:autoSpaceDE/>
              <w:autoSpaceDN/>
              <w:bidi w:val="0"/>
              <w:adjustRightInd/>
              <w:snapToGrid/>
              <w:spacing w:line="1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BF25FC3">
            <w:pPr>
              <w:keepNext w:val="0"/>
              <w:keepLines w:val="0"/>
              <w:pageBreakBefore w:val="0"/>
              <w:widowControl w:val="0"/>
              <w:kinsoku/>
              <w:wordWrap/>
              <w:overflowPunct w:val="0"/>
              <w:topLinePunct w:val="0"/>
              <w:autoSpaceDE/>
              <w:autoSpaceDN/>
              <w:bidi w:val="0"/>
              <w:adjustRightInd/>
              <w:snapToGrid/>
              <w:spacing w:line="1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94A22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C9EEEA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B0503F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1956F6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F5F163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EBE19EA">
            <w:pPr>
              <w:keepNext w:val="0"/>
              <w:keepLines w:val="0"/>
              <w:pageBreakBefore w:val="0"/>
              <w:widowControl w:val="0"/>
              <w:kinsoku/>
              <w:wordWrap/>
              <w:overflowPunct w:val="0"/>
              <w:topLinePunct w:val="0"/>
              <w:autoSpaceDE/>
              <w:autoSpaceDN/>
              <w:bidi w:val="0"/>
              <w:adjustRightInd/>
              <w:snapToGrid/>
              <w:spacing w:line="1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51CC0388">
            <w:pPr>
              <w:keepNext w:val="0"/>
              <w:keepLines w:val="0"/>
              <w:pageBreakBefore w:val="0"/>
              <w:widowControl w:val="0"/>
              <w:kinsoku/>
              <w:wordWrap/>
              <w:overflowPunct w:val="0"/>
              <w:topLinePunct w:val="0"/>
              <w:autoSpaceDE/>
              <w:autoSpaceDN/>
              <w:bidi w:val="0"/>
              <w:adjustRightInd/>
              <w:snapToGrid/>
              <w:spacing w:line="1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6157FD7F">
            <w:pPr>
              <w:keepNext w:val="0"/>
              <w:keepLines w:val="0"/>
              <w:pageBreakBefore w:val="0"/>
              <w:widowControl w:val="0"/>
              <w:kinsoku/>
              <w:wordWrap/>
              <w:overflowPunct w:val="0"/>
              <w:topLinePunct w:val="0"/>
              <w:autoSpaceDE/>
              <w:autoSpaceDN/>
              <w:bidi w:val="0"/>
              <w:adjustRightInd/>
              <w:snapToGrid/>
              <w:spacing w:line="1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586CD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4F80AB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41A25A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170ADC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BF2E03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0F5100A">
            <w:pPr>
              <w:keepNext w:val="0"/>
              <w:keepLines w:val="0"/>
              <w:pageBreakBefore w:val="0"/>
              <w:widowControl w:val="0"/>
              <w:kinsoku/>
              <w:wordWrap/>
              <w:overflowPunct w:val="0"/>
              <w:topLinePunct w:val="0"/>
              <w:autoSpaceDE/>
              <w:autoSpaceDN/>
              <w:bidi w:val="0"/>
              <w:adjustRightInd/>
              <w:snapToGrid/>
              <w:spacing w:line="1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0ED38AB6">
            <w:pPr>
              <w:keepNext w:val="0"/>
              <w:keepLines w:val="0"/>
              <w:pageBreakBefore w:val="0"/>
              <w:widowControl w:val="0"/>
              <w:kinsoku/>
              <w:wordWrap/>
              <w:overflowPunct w:val="0"/>
              <w:topLinePunct w:val="0"/>
              <w:autoSpaceDE/>
              <w:autoSpaceDN/>
              <w:bidi w:val="0"/>
              <w:adjustRightInd/>
              <w:snapToGrid/>
              <w:spacing w:line="1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9CB0203">
            <w:pPr>
              <w:keepNext w:val="0"/>
              <w:keepLines w:val="0"/>
              <w:pageBreakBefore w:val="0"/>
              <w:widowControl w:val="0"/>
              <w:kinsoku/>
              <w:wordWrap/>
              <w:overflowPunct w:val="0"/>
              <w:topLinePunct w:val="0"/>
              <w:autoSpaceDE/>
              <w:autoSpaceDN/>
              <w:bidi w:val="0"/>
              <w:adjustRightInd/>
              <w:snapToGrid/>
              <w:spacing w:line="1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960C7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C32D3E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30EA84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8CF299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268C3D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4142B01">
            <w:pPr>
              <w:keepNext w:val="0"/>
              <w:keepLines w:val="0"/>
              <w:pageBreakBefore w:val="0"/>
              <w:widowControl w:val="0"/>
              <w:kinsoku/>
              <w:wordWrap/>
              <w:overflowPunct w:val="0"/>
              <w:topLinePunct w:val="0"/>
              <w:autoSpaceDE/>
              <w:autoSpaceDN/>
              <w:bidi w:val="0"/>
              <w:adjustRightInd/>
              <w:snapToGrid/>
              <w:spacing w:line="20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2C2941D5">
            <w:pPr>
              <w:keepNext w:val="0"/>
              <w:keepLines w:val="0"/>
              <w:pageBreakBefore w:val="0"/>
              <w:widowControl w:val="0"/>
              <w:kinsoku/>
              <w:wordWrap/>
              <w:overflowPunct w:val="0"/>
              <w:topLinePunct w:val="0"/>
              <w:autoSpaceDE/>
              <w:autoSpaceDN/>
              <w:bidi w:val="0"/>
              <w:adjustRightInd/>
              <w:snapToGrid/>
              <w:spacing w:line="20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未对井下作业人员投保人数少于井下作业人数10%以下的。</w:t>
            </w:r>
          </w:p>
        </w:tc>
        <w:tc>
          <w:tcPr>
            <w:tcW w:w="2655" w:type="dxa"/>
            <w:tcBorders>
              <w:tl2br w:val="nil"/>
              <w:tr2bl w:val="nil"/>
            </w:tcBorders>
            <w:shd w:val="clear" w:color="auto" w:fill="auto"/>
            <w:tcMar>
              <w:top w:w="15" w:type="dxa"/>
              <w:left w:w="15" w:type="dxa"/>
              <w:right w:w="15" w:type="dxa"/>
            </w:tcMar>
            <w:vAlign w:val="center"/>
          </w:tcPr>
          <w:p w14:paraId="3CF096E6">
            <w:pPr>
              <w:keepNext w:val="0"/>
              <w:keepLines w:val="0"/>
              <w:pageBreakBefore w:val="0"/>
              <w:widowControl w:val="0"/>
              <w:kinsoku/>
              <w:wordWrap/>
              <w:overflowPunct w:val="0"/>
              <w:topLinePunct w:val="0"/>
              <w:autoSpaceDE/>
              <w:autoSpaceDN/>
              <w:bidi w:val="0"/>
              <w:adjustRightInd/>
              <w:snapToGrid/>
              <w:spacing w:line="20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处5万元以上7万元以下的罚款。</w:t>
            </w:r>
          </w:p>
        </w:tc>
      </w:tr>
      <w:tr w14:paraId="58117E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C06EBF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CDD300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CB0097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DE0C5D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56F40FD">
            <w:pPr>
              <w:keepNext w:val="0"/>
              <w:keepLines w:val="0"/>
              <w:pageBreakBefore w:val="0"/>
              <w:widowControl w:val="0"/>
              <w:kinsoku/>
              <w:wordWrap/>
              <w:overflowPunct w:val="0"/>
              <w:topLinePunct w:val="0"/>
              <w:autoSpaceDE/>
              <w:autoSpaceDN/>
              <w:bidi w:val="0"/>
              <w:adjustRightInd/>
              <w:snapToGrid/>
              <w:spacing w:line="20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4853B194">
            <w:pPr>
              <w:keepNext w:val="0"/>
              <w:keepLines w:val="0"/>
              <w:pageBreakBefore w:val="0"/>
              <w:widowControl w:val="0"/>
              <w:kinsoku/>
              <w:wordWrap/>
              <w:overflowPunct w:val="0"/>
              <w:topLinePunct w:val="0"/>
              <w:autoSpaceDE/>
              <w:autoSpaceDN/>
              <w:bidi w:val="0"/>
              <w:adjustRightInd/>
              <w:snapToGrid/>
              <w:spacing w:line="20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未对井下作业人员投保人数少于井下作业人数10%以上20%以下的。</w:t>
            </w:r>
          </w:p>
        </w:tc>
        <w:tc>
          <w:tcPr>
            <w:tcW w:w="2655" w:type="dxa"/>
            <w:tcBorders>
              <w:tl2br w:val="nil"/>
              <w:tr2bl w:val="nil"/>
            </w:tcBorders>
            <w:shd w:val="clear" w:color="auto" w:fill="auto"/>
            <w:tcMar>
              <w:top w:w="15" w:type="dxa"/>
              <w:left w:w="15" w:type="dxa"/>
              <w:right w:w="15" w:type="dxa"/>
            </w:tcMar>
            <w:vAlign w:val="center"/>
          </w:tcPr>
          <w:p w14:paraId="0F195143">
            <w:pPr>
              <w:keepNext w:val="0"/>
              <w:keepLines w:val="0"/>
              <w:pageBreakBefore w:val="0"/>
              <w:widowControl w:val="0"/>
              <w:kinsoku/>
              <w:wordWrap/>
              <w:overflowPunct w:val="0"/>
              <w:topLinePunct w:val="0"/>
              <w:autoSpaceDE/>
              <w:autoSpaceDN/>
              <w:bidi w:val="0"/>
              <w:adjustRightInd/>
              <w:snapToGrid/>
              <w:spacing w:line="20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处7万元以上9万元以下的罚款。</w:t>
            </w:r>
          </w:p>
        </w:tc>
      </w:tr>
      <w:tr w14:paraId="0C217B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650137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6C01BC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6EB0F3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EC0FC4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A8CEAD8">
            <w:pPr>
              <w:keepNext w:val="0"/>
              <w:keepLines w:val="0"/>
              <w:pageBreakBefore w:val="0"/>
              <w:widowControl w:val="0"/>
              <w:kinsoku/>
              <w:wordWrap/>
              <w:overflowPunct w:val="0"/>
              <w:topLinePunct w:val="0"/>
              <w:autoSpaceDE/>
              <w:autoSpaceDN/>
              <w:bidi w:val="0"/>
              <w:adjustRightInd/>
              <w:snapToGrid/>
              <w:spacing w:line="20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6D0C1334">
            <w:pPr>
              <w:keepNext w:val="0"/>
              <w:keepLines w:val="0"/>
              <w:pageBreakBefore w:val="0"/>
              <w:widowControl w:val="0"/>
              <w:kinsoku/>
              <w:wordWrap/>
              <w:overflowPunct w:val="0"/>
              <w:topLinePunct w:val="0"/>
              <w:autoSpaceDE/>
              <w:autoSpaceDN/>
              <w:bidi w:val="0"/>
              <w:adjustRightInd/>
              <w:snapToGrid/>
              <w:spacing w:line="20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未对井下作业人员投保人数少于井下作业人数20%以上的。</w:t>
            </w:r>
          </w:p>
        </w:tc>
        <w:tc>
          <w:tcPr>
            <w:tcW w:w="2655" w:type="dxa"/>
            <w:tcBorders>
              <w:tl2br w:val="nil"/>
              <w:tr2bl w:val="nil"/>
            </w:tcBorders>
            <w:shd w:val="clear" w:color="auto" w:fill="auto"/>
            <w:tcMar>
              <w:top w:w="15" w:type="dxa"/>
              <w:left w:w="15" w:type="dxa"/>
              <w:right w:w="15" w:type="dxa"/>
            </w:tcMar>
            <w:vAlign w:val="center"/>
          </w:tcPr>
          <w:p w14:paraId="002B4C96">
            <w:pPr>
              <w:keepNext w:val="0"/>
              <w:keepLines w:val="0"/>
              <w:pageBreakBefore w:val="0"/>
              <w:widowControl w:val="0"/>
              <w:kinsoku/>
              <w:wordWrap/>
              <w:overflowPunct w:val="0"/>
              <w:topLinePunct w:val="0"/>
              <w:autoSpaceDE/>
              <w:autoSpaceDN/>
              <w:bidi w:val="0"/>
              <w:adjustRightInd/>
              <w:snapToGrid/>
              <w:spacing w:line="20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处9万元以上10万元以下的罚款。</w:t>
            </w:r>
          </w:p>
        </w:tc>
      </w:tr>
      <w:tr w14:paraId="01F386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560995E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color w:val="auto"/>
                <w:sz w:val="18"/>
                <w:szCs w:val="18"/>
                <w:lang w:val="en-US" w:eastAsia="zh-CN"/>
              </w:rPr>
            </w:pPr>
            <w:r>
              <w:rPr>
                <w:rFonts w:hint="eastAsia" w:ascii="仿宋_GB2312" w:hAnsi="宋体" w:eastAsia="仿宋_GB2312" w:cs="仿宋_GB2312"/>
                <w:color w:val="auto"/>
                <w:kern w:val="0"/>
                <w:sz w:val="18"/>
                <w:szCs w:val="18"/>
                <w:lang w:bidi="ar"/>
              </w:rPr>
              <w:t>1</w:t>
            </w:r>
            <w:del w:id="2612" w:author="LV" w:date="2026-07-14T16:54:22Z">
              <w:r>
                <w:rPr>
                  <w:rFonts w:hint="default" w:ascii="仿宋_GB2312" w:hAnsi="宋体" w:eastAsia="仿宋_GB2312" w:cs="仿宋_GB2312"/>
                  <w:color w:val="auto"/>
                  <w:kern w:val="0"/>
                  <w:sz w:val="18"/>
                  <w:szCs w:val="18"/>
                  <w:lang w:val="en-US" w:bidi="ar"/>
                </w:rPr>
                <w:delText>2</w:delText>
              </w:r>
            </w:del>
            <w:del w:id="2613" w:author="LV" w:date="2026-07-14T16:54:22Z">
              <w:r>
                <w:rPr>
                  <w:rFonts w:hint="default" w:ascii="仿宋_GB2312" w:hAnsi="宋体" w:eastAsia="仿宋_GB2312" w:cs="仿宋_GB2312"/>
                  <w:color w:val="auto"/>
                  <w:kern w:val="0"/>
                  <w:sz w:val="18"/>
                  <w:szCs w:val="18"/>
                  <w:lang w:val="en-US" w:eastAsia="zh-CN" w:bidi="ar"/>
                </w:rPr>
                <w:delText>6</w:delText>
              </w:r>
            </w:del>
            <w:ins w:id="2614" w:author="LV" w:date="2026-07-14T16:54:22Z">
              <w:r>
                <w:rPr>
                  <w:rFonts w:hint="eastAsia" w:ascii="仿宋_GB2312" w:hAnsi="宋体" w:eastAsia="仿宋_GB2312" w:cs="仿宋_GB2312"/>
                  <w:color w:val="auto"/>
                  <w:kern w:val="0"/>
                  <w:sz w:val="18"/>
                  <w:szCs w:val="18"/>
                  <w:lang w:val="en-US" w:eastAsia="zh-CN" w:bidi="ar"/>
                </w:rPr>
                <w:t>35</w:t>
              </w:r>
            </w:ins>
          </w:p>
        </w:tc>
        <w:tc>
          <w:tcPr>
            <w:tcW w:w="1005" w:type="dxa"/>
            <w:vMerge w:val="restart"/>
            <w:tcBorders>
              <w:tl2br w:val="nil"/>
              <w:tr2bl w:val="nil"/>
            </w:tcBorders>
            <w:shd w:val="clear" w:color="auto" w:fill="auto"/>
            <w:tcMar>
              <w:top w:w="15" w:type="dxa"/>
              <w:left w:w="15" w:type="dxa"/>
              <w:right w:w="15" w:type="dxa"/>
            </w:tcMar>
            <w:vAlign w:val="center"/>
          </w:tcPr>
          <w:p w14:paraId="62FE1B6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煤矿未按照国家规定投保安全生产责任保险，逾期未改正的</w:t>
            </w:r>
          </w:p>
        </w:tc>
        <w:tc>
          <w:tcPr>
            <w:tcW w:w="3667" w:type="dxa"/>
            <w:vMerge w:val="restart"/>
            <w:tcBorders>
              <w:tl2br w:val="nil"/>
              <w:tr2bl w:val="nil"/>
            </w:tcBorders>
            <w:shd w:val="clear" w:color="auto" w:fill="auto"/>
            <w:tcMar>
              <w:top w:w="15" w:type="dxa"/>
              <w:left w:w="15" w:type="dxa"/>
              <w:right w:w="15" w:type="dxa"/>
            </w:tcMar>
            <w:vAlign w:val="center"/>
          </w:tcPr>
          <w:p w14:paraId="078ECA98">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2615" w:author="LV" w:date="2026-07-14T16:55:12Z"/>
                <w:rFonts w:hint="eastAsia" w:ascii="仿宋_GB2312" w:hAnsi="宋体" w:eastAsia="仿宋_GB2312" w:cs="仿宋_GB2312"/>
                <w:color w:val="auto"/>
                <w:kern w:val="0"/>
                <w:sz w:val="18"/>
                <w:szCs w:val="18"/>
                <w:lang w:bidi="ar"/>
              </w:rPr>
            </w:pPr>
          </w:p>
          <w:p w14:paraId="0E333B6E">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2616" w:author="LV" w:date="2026-07-14T16:55:12Z"/>
                <w:rFonts w:hint="eastAsia" w:ascii="仿宋_GB2312" w:hAnsi="宋体" w:eastAsia="仿宋_GB2312" w:cs="仿宋_GB2312"/>
                <w:color w:val="auto"/>
                <w:kern w:val="0"/>
                <w:sz w:val="18"/>
                <w:szCs w:val="18"/>
                <w:lang w:bidi="ar"/>
              </w:rPr>
            </w:pPr>
          </w:p>
          <w:p w14:paraId="6BDB9E13">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2617" w:author="LV" w:date="2026-07-14T16:55:13Z"/>
                <w:rFonts w:hint="eastAsia" w:ascii="仿宋_GB2312" w:hAnsi="宋体" w:eastAsia="仿宋_GB2312" w:cs="仿宋_GB2312"/>
                <w:color w:val="auto"/>
                <w:kern w:val="0"/>
                <w:sz w:val="18"/>
                <w:szCs w:val="18"/>
                <w:lang w:bidi="ar"/>
              </w:rPr>
            </w:pPr>
          </w:p>
          <w:p w14:paraId="150C47FF">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2618" w:author="LV" w:date="2026-07-14T16:55:13Z"/>
                <w:rFonts w:hint="eastAsia" w:ascii="仿宋_GB2312" w:hAnsi="宋体" w:eastAsia="仿宋_GB2312" w:cs="仿宋_GB2312"/>
                <w:color w:val="auto"/>
                <w:kern w:val="0"/>
                <w:sz w:val="18"/>
                <w:szCs w:val="18"/>
                <w:lang w:bidi="ar"/>
              </w:rPr>
            </w:pPr>
          </w:p>
          <w:p w14:paraId="78C9B33B">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2619" w:author="LV" w:date="2026-07-14T16:55:13Z"/>
                <w:rFonts w:hint="eastAsia" w:ascii="仿宋_GB2312" w:hAnsi="宋体" w:eastAsia="仿宋_GB2312" w:cs="仿宋_GB2312"/>
                <w:color w:val="auto"/>
                <w:kern w:val="0"/>
                <w:sz w:val="18"/>
                <w:szCs w:val="18"/>
                <w:lang w:bidi="ar"/>
              </w:rPr>
            </w:pPr>
          </w:p>
          <w:p w14:paraId="7F41BC13">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2620" w:author="LV" w:date="2026-07-14T16:55:14Z"/>
                <w:rFonts w:hint="eastAsia" w:ascii="仿宋_GB2312" w:hAnsi="宋体" w:eastAsia="仿宋_GB2312" w:cs="仿宋_GB2312"/>
                <w:color w:val="auto"/>
                <w:kern w:val="0"/>
                <w:sz w:val="18"/>
                <w:szCs w:val="18"/>
                <w:lang w:bidi="ar"/>
              </w:rPr>
            </w:pPr>
          </w:p>
          <w:p w14:paraId="2D4BBFEB">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2621" w:author="LV" w:date="2026-07-14T16:55:18Z"/>
                <w:rFonts w:hint="eastAsia" w:ascii="仿宋_GB2312" w:hAnsi="宋体" w:eastAsia="仿宋_GB2312" w:cs="仿宋_GB2312"/>
                <w:color w:val="auto"/>
                <w:kern w:val="0"/>
                <w:sz w:val="18"/>
                <w:szCs w:val="18"/>
                <w:lang w:bidi="ar"/>
              </w:rPr>
            </w:pPr>
          </w:p>
          <w:p w14:paraId="322AB15E">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2622" w:author="LV" w:date="2026-07-14T16:55:18Z"/>
                <w:rFonts w:hint="eastAsia" w:ascii="仿宋_GB2312" w:hAnsi="宋体" w:eastAsia="仿宋_GB2312" w:cs="仿宋_GB2312"/>
                <w:color w:val="auto"/>
                <w:kern w:val="0"/>
                <w:sz w:val="18"/>
                <w:szCs w:val="18"/>
                <w:lang w:bidi="ar"/>
              </w:rPr>
            </w:pPr>
          </w:p>
          <w:p w14:paraId="60C6BF0D">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2623" w:author="LV" w:date="2026-07-14T16:55:14Z"/>
                <w:rFonts w:hint="eastAsia" w:ascii="仿宋_GB2312" w:hAnsi="宋体" w:eastAsia="仿宋_GB2312" w:cs="仿宋_GB2312"/>
                <w:color w:val="auto"/>
                <w:kern w:val="0"/>
                <w:sz w:val="18"/>
                <w:szCs w:val="18"/>
                <w:lang w:bidi="ar"/>
              </w:rPr>
            </w:pPr>
          </w:p>
          <w:p w14:paraId="57D0007A">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2624" w:author="LV" w:date="2026-07-14T16:55:07Z"/>
                <w:rFonts w:hint="eastAsia" w:ascii="仿宋_GB2312" w:hAnsi="宋体" w:eastAsia="仿宋_GB2312" w:cs="仿宋_GB2312"/>
                <w:color w:val="auto"/>
                <w:kern w:val="0"/>
                <w:sz w:val="18"/>
                <w:szCs w:val="18"/>
                <w:lang w:bidi="ar"/>
              </w:rPr>
            </w:pPr>
          </w:p>
          <w:p w14:paraId="3F12CAFE">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2625" w:author="LV" w:date="2026-07-14T16:55:08Z"/>
                <w:rFonts w:hint="eastAsia" w:ascii="仿宋_GB2312" w:hAnsi="宋体" w:eastAsia="仿宋_GB2312" w:cs="仿宋_GB2312"/>
                <w:color w:val="auto"/>
                <w:kern w:val="0"/>
                <w:sz w:val="18"/>
                <w:szCs w:val="18"/>
                <w:lang w:bidi="ar"/>
              </w:rPr>
            </w:pPr>
          </w:p>
          <w:p w14:paraId="3D3312FA">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2626" w:author="LV" w:date="2026-07-14T16:55:09Z"/>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bidi="ar"/>
              </w:rPr>
              <w:t>《安全生产法》第五十一条第二款 国家鼓励生产经营单位投保安全生产责任保险；属于国家规定的高危行业、领域的生产经营单位，应当投保安全生产责任保险。具体范围和实施办法由国务院应急管理部门会同国务院财政部门、国务院保险监督管理机构和相关行业主管部门制定。</w:t>
            </w:r>
          </w:p>
          <w:p w14:paraId="2C4A2EB2">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2627" w:author="LV" w:date="2026-07-14T16:55:10Z"/>
                <w:rFonts w:hint="eastAsia" w:ascii="仿宋_GB2312" w:hAnsi="宋体" w:eastAsia="仿宋_GB2312" w:cs="仿宋_GB2312"/>
                <w:color w:val="auto"/>
                <w:kern w:val="0"/>
                <w:sz w:val="18"/>
                <w:szCs w:val="18"/>
                <w:lang w:bidi="ar"/>
              </w:rPr>
            </w:pPr>
          </w:p>
          <w:p w14:paraId="4043D42E">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2628" w:author="LV" w:date="2026-07-14T16:55:15Z"/>
                <w:rFonts w:hint="eastAsia" w:ascii="仿宋_GB2312" w:hAnsi="宋体" w:eastAsia="仿宋_GB2312" w:cs="仿宋_GB2312"/>
                <w:color w:val="auto"/>
                <w:kern w:val="0"/>
                <w:sz w:val="18"/>
                <w:szCs w:val="18"/>
                <w:lang w:bidi="ar"/>
              </w:rPr>
            </w:pPr>
          </w:p>
          <w:p w14:paraId="4D754BC0">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2629" w:author="LV" w:date="2026-07-14T16:55:16Z"/>
                <w:rFonts w:hint="eastAsia" w:ascii="仿宋_GB2312" w:hAnsi="宋体" w:eastAsia="仿宋_GB2312" w:cs="仿宋_GB2312"/>
                <w:color w:val="auto"/>
                <w:kern w:val="0"/>
                <w:sz w:val="18"/>
                <w:szCs w:val="18"/>
                <w:lang w:bidi="ar"/>
              </w:rPr>
            </w:pPr>
          </w:p>
          <w:p w14:paraId="1EF015C3">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2630" w:author="LV" w:date="2026-07-14T16:55:16Z"/>
                <w:rFonts w:hint="eastAsia" w:ascii="仿宋_GB2312" w:hAnsi="宋体" w:eastAsia="仿宋_GB2312" w:cs="仿宋_GB2312"/>
                <w:color w:val="auto"/>
                <w:kern w:val="0"/>
                <w:sz w:val="18"/>
                <w:szCs w:val="18"/>
                <w:lang w:bidi="ar"/>
              </w:rPr>
            </w:pPr>
          </w:p>
          <w:p w14:paraId="333D9A1B">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2631" w:author="LV" w:date="2026-07-14T16:55:16Z"/>
                <w:rFonts w:hint="eastAsia" w:ascii="仿宋_GB2312" w:hAnsi="宋体" w:eastAsia="仿宋_GB2312" w:cs="仿宋_GB2312"/>
                <w:color w:val="auto"/>
                <w:kern w:val="0"/>
                <w:sz w:val="18"/>
                <w:szCs w:val="18"/>
                <w:lang w:bidi="ar"/>
              </w:rPr>
            </w:pPr>
          </w:p>
          <w:p w14:paraId="5D2AE520">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2632" w:author="LV" w:date="2026-07-14T16:55:16Z"/>
                <w:rFonts w:hint="eastAsia" w:ascii="仿宋_GB2312" w:hAnsi="宋体" w:eastAsia="仿宋_GB2312" w:cs="仿宋_GB2312"/>
                <w:color w:val="auto"/>
                <w:kern w:val="0"/>
                <w:sz w:val="18"/>
                <w:szCs w:val="18"/>
                <w:lang w:bidi="ar"/>
              </w:rPr>
            </w:pPr>
          </w:p>
          <w:p w14:paraId="0351045A">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2633" w:author="LV" w:date="2026-07-14T16:55:17Z"/>
                <w:rFonts w:hint="eastAsia" w:ascii="仿宋_GB2312" w:hAnsi="宋体" w:eastAsia="仿宋_GB2312" w:cs="仿宋_GB2312"/>
                <w:color w:val="auto"/>
                <w:kern w:val="0"/>
                <w:sz w:val="18"/>
                <w:szCs w:val="18"/>
                <w:lang w:bidi="ar"/>
              </w:rPr>
            </w:pPr>
          </w:p>
          <w:p w14:paraId="2DF27F11">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2634" w:author="LV" w:date="2026-07-14T16:55:11Z"/>
                <w:rFonts w:hint="eastAsia" w:ascii="仿宋_GB2312" w:hAnsi="宋体" w:eastAsia="仿宋_GB2312" w:cs="仿宋_GB2312"/>
                <w:color w:val="auto"/>
                <w:kern w:val="0"/>
                <w:sz w:val="18"/>
                <w:szCs w:val="18"/>
                <w:lang w:bidi="ar"/>
              </w:rPr>
            </w:pPr>
          </w:p>
          <w:p w14:paraId="671D5112">
            <w:pPr>
              <w:keepNext w:val="0"/>
              <w:keepLines w:val="0"/>
              <w:pageBreakBefore w:val="0"/>
              <w:widowControl w:val="0"/>
              <w:kinsoku/>
              <w:wordWrap/>
              <w:overflowPunct w:val="0"/>
              <w:topLinePunct w:val="0"/>
              <w:autoSpaceDE/>
              <w:autoSpaceDN/>
              <w:bidi w:val="0"/>
              <w:adjustRightInd/>
              <w:snapToGrid/>
              <w:spacing w:line="280" w:lineRule="exact"/>
              <w:textAlignment w:val="center"/>
              <w:rPr>
                <w:ins w:id="2635" w:author="LV" w:date="2026-07-14T16:55:11Z"/>
                <w:rFonts w:hint="eastAsia" w:ascii="仿宋_GB2312" w:hAnsi="宋体" w:eastAsia="仿宋_GB2312" w:cs="仿宋_GB2312"/>
                <w:color w:val="auto"/>
                <w:kern w:val="0"/>
                <w:sz w:val="18"/>
                <w:szCs w:val="18"/>
                <w:lang w:bidi="ar"/>
              </w:rPr>
            </w:pPr>
          </w:p>
          <w:p w14:paraId="3BE3C25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p>
        </w:tc>
        <w:tc>
          <w:tcPr>
            <w:tcW w:w="4082" w:type="dxa"/>
            <w:vMerge w:val="restart"/>
            <w:tcBorders>
              <w:tl2br w:val="nil"/>
              <w:tr2bl w:val="nil"/>
            </w:tcBorders>
            <w:shd w:val="clear" w:color="auto" w:fill="auto"/>
            <w:tcMar>
              <w:top w:w="15" w:type="dxa"/>
              <w:left w:w="15" w:type="dxa"/>
              <w:right w:w="15" w:type="dxa"/>
            </w:tcMar>
            <w:vAlign w:val="center"/>
          </w:tcPr>
          <w:p w14:paraId="25B0982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《安全生产法》第一百零九条 高危行业、领域的生产经营单位未按照国家规定投保安全生产责任保险的，责令限期改正，处五万元以上十万元以下的罚款；逾期未改正的，处十万元以上二十万元以下的罚款。</w:t>
            </w:r>
          </w:p>
        </w:tc>
        <w:tc>
          <w:tcPr>
            <w:tcW w:w="459" w:type="dxa"/>
            <w:tcBorders>
              <w:tl2br w:val="nil"/>
              <w:tr2bl w:val="nil"/>
            </w:tcBorders>
            <w:shd w:val="clear" w:color="auto" w:fill="auto"/>
            <w:noWrap/>
            <w:tcMar>
              <w:top w:w="15" w:type="dxa"/>
              <w:left w:w="15" w:type="dxa"/>
              <w:right w:w="15" w:type="dxa"/>
            </w:tcMar>
            <w:vAlign w:val="center"/>
          </w:tcPr>
          <w:p w14:paraId="5A072B06">
            <w:pPr>
              <w:keepNext w:val="0"/>
              <w:keepLines w:val="0"/>
              <w:pageBreakBefore w:val="0"/>
              <w:widowControl w:val="0"/>
              <w:kinsoku/>
              <w:wordWrap/>
              <w:overflowPunct w:val="0"/>
              <w:topLinePunct w:val="0"/>
              <w:autoSpaceDE/>
              <w:autoSpaceDN/>
              <w:bidi w:val="0"/>
              <w:adjustRightInd/>
              <w:snapToGrid/>
              <w:spacing w:line="1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098F8F7A">
            <w:pPr>
              <w:keepNext w:val="0"/>
              <w:keepLines w:val="0"/>
              <w:pageBreakBefore w:val="0"/>
              <w:widowControl w:val="0"/>
              <w:kinsoku/>
              <w:wordWrap/>
              <w:overflowPunct w:val="0"/>
              <w:topLinePunct w:val="0"/>
              <w:autoSpaceDE/>
              <w:autoSpaceDN/>
              <w:bidi w:val="0"/>
              <w:adjustRightInd/>
              <w:snapToGrid/>
              <w:spacing w:line="1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7730BE82">
            <w:pPr>
              <w:keepNext w:val="0"/>
              <w:keepLines w:val="0"/>
              <w:pageBreakBefore w:val="0"/>
              <w:widowControl w:val="0"/>
              <w:kinsoku/>
              <w:wordWrap/>
              <w:overflowPunct w:val="0"/>
              <w:topLinePunct w:val="0"/>
              <w:autoSpaceDE/>
              <w:autoSpaceDN/>
              <w:bidi w:val="0"/>
              <w:adjustRightInd/>
              <w:snapToGrid/>
              <w:spacing w:line="1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73CAF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ADC768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color w:val="auto"/>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8B8A20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522503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2AC7F7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2C35F0E">
            <w:pPr>
              <w:keepNext w:val="0"/>
              <w:keepLines w:val="0"/>
              <w:pageBreakBefore w:val="0"/>
              <w:widowControl w:val="0"/>
              <w:kinsoku/>
              <w:wordWrap/>
              <w:overflowPunct w:val="0"/>
              <w:topLinePunct w:val="0"/>
              <w:autoSpaceDE/>
              <w:autoSpaceDN/>
              <w:bidi w:val="0"/>
              <w:adjustRightInd/>
              <w:snapToGrid/>
              <w:spacing w:line="1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56318B6A">
            <w:pPr>
              <w:keepNext w:val="0"/>
              <w:keepLines w:val="0"/>
              <w:pageBreakBefore w:val="0"/>
              <w:widowControl w:val="0"/>
              <w:kinsoku/>
              <w:wordWrap/>
              <w:overflowPunct w:val="0"/>
              <w:topLinePunct w:val="0"/>
              <w:autoSpaceDE/>
              <w:autoSpaceDN/>
              <w:bidi w:val="0"/>
              <w:adjustRightInd/>
              <w:snapToGrid/>
              <w:spacing w:line="1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5D006A90">
            <w:pPr>
              <w:keepNext w:val="0"/>
              <w:keepLines w:val="0"/>
              <w:pageBreakBefore w:val="0"/>
              <w:widowControl w:val="0"/>
              <w:kinsoku/>
              <w:wordWrap/>
              <w:overflowPunct w:val="0"/>
              <w:topLinePunct w:val="0"/>
              <w:autoSpaceDE/>
              <w:autoSpaceDN/>
              <w:bidi w:val="0"/>
              <w:adjustRightInd/>
              <w:snapToGrid/>
              <w:spacing w:line="1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0962B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789A59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color w:val="auto"/>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82488E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959AFB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3436A3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61EC351">
            <w:pPr>
              <w:keepNext w:val="0"/>
              <w:keepLines w:val="0"/>
              <w:pageBreakBefore w:val="0"/>
              <w:widowControl w:val="0"/>
              <w:kinsoku/>
              <w:wordWrap/>
              <w:overflowPunct w:val="0"/>
              <w:topLinePunct w:val="0"/>
              <w:autoSpaceDE/>
              <w:autoSpaceDN/>
              <w:bidi w:val="0"/>
              <w:adjustRightInd/>
              <w:snapToGrid/>
              <w:spacing w:line="1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7CCF3502">
            <w:pPr>
              <w:keepNext w:val="0"/>
              <w:keepLines w:val="0"/>
              <w:pageBreakBefore w:val="0"/>
              <w:widowControl w:val="0"/>
              <w:kinsoku/>
              <w:wordWrap/>
              <w:overflowPunct w:val="0"/>
              <w:topLinePunct w:val="0"/>
              <w:autoSpaceDE/>
              <w:autoSpaceDN/>
              <w:bidi w:val="0"/>
              <w:adjustRightInd/>
              <w:snapToGrid/>
              <w:spacing w:line="1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DA3DB7F">
            <w:pPr>
              <w:keepNext w:val="0"/>
              <w:keepLines w:val="0"/>
              <w:pageBreakBefore w:val="0"/>
              <w:widowControl w:val="0"/>
              <w:kinsoku/>
              <w:wordWrap/>
              <w:overflowPunct w:val="0"/>
              <w:topLinePunct w:val="0"/>
              <w:autoSpaceDE/>
              <w:autoSpaceDN/>
              <w:bidi w:val="0"/>
              <w:adjustRightInd/>
              <w:snapToGrid/>
              <w:spacing w:line="1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5D6F6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626E4B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703D2F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D31CB3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7CE906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F8D0B63">
            <w:pPr>
              <w:keepNext w:val="0"/>
              <w:keepLines w:val="0"/>
              <w:pageBreakBefore w:val="0"/>
              <w:widowControl w:val="0"/>
              <w:kinsoku/>
              <w:wordWrap/>
              <w:overflowPunct w:val="0"/>
              <w:topLinePunct w:val="0"/>
              <w:autoSpaceDE/>
              <w:autoSpaceDN/>
              <w:bidi w:val="0"/>
              <w:adjustRightInd/>
              <w:snapToGrid/>
              <w:spacing w:line="20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6C20D14C">
            <w:pPr>
              <w:keepNext w:val="0"/>
              <w:keepLines w:val="0"/>
              <w:pageBreakBefore w:val="0"/>
              <w:widowControl w:val="0"/>
              <w:kinsoku/>
              <w:wordWrap/>
              <w:overflowPunct w:val="0"/>
              <w:topLinePunct w:val="0"/>
              <w:autoSpaceDE/>
              <w:autoSpaceDN/>
              <w:bidi w:val="0"/>
              <w:adjustRightInd/>
              <w:snapToGrid/>
              <w:spacing w:line="200" w:lineRule="exact"/>
              <w:textAlignment w:val="center"/>
              <w:rPr>
                <w:ins w:id="2636" w:author="LV" w:date="2026-07-14T16:54:34Z"/>
                <w:rFonts w:hint="eastAsia" w:ascii="仿宋_GB2312" w:hAnsi="宋体" w:eastAsia="仿宋_GB2312" w:cs="仿宋_GB2312"/>
                <w:kern w:val="0"/>
                <w:sz w:val="18"/>
                <w:szCs w:val="18"/>
                <w:lang w:bidi="ar"/>
              </w:rPr>
            </w:pPr>
          </w:p>
          <w:p w14:paraId="2F57E699">
            <w:pPr>
              <w:keepNext w:val="0"/>
              <w:keepLines w:val="0"/>
              <w:pageBreakBefore w:val="0"/>
              <w:widowControl w:val="0"/>
              <w:kinsoku/>
              <w:wordWrap/>
              <w:overflowPunct w:val="0"/>
              <w:topLinePunct w:val="0"/>
              <w:autoSpaceDE/>
              <w:autoSpaceDN/>
              <w:bidi w:val="0"/>
              <w:adjustRightInd/>
              <w:snapToGrid/>
              <w:spacing w:line="200" w:lineRule="exact"/>
              <w:textAlignment w:val="center"/>
              <w:rPr>
                <w:ins w:id="2637" w:author="LV" w:date="2026-07-14T16:54:43Z"/>
                <w:rFonts w:hint="eastAsia" w:ascii="仿宋_GB2312" w:hAnsi="宋体" w:eastAsia="仿宋_GB2312" w:cs="仿宋_GB2312"/>
                <w:kern w:val="0"/>
                <w:sz w:val="18"/>
                <w:szCs w:val="18"/>
                <w:lang w:bidi="ar"/>
              </w:rPr>
            </w:pPr>
          </w:p>
          <w:p w14:paraId="70E3CE5E">
            <w:pPr>
              <w:keepNext w:val="0"/>
              <w:keepLines w:val="0"/>
              <w:pageBreakBefore w:val="0"/>
              <w:widowControl w:val="0"/>
              <w:kinsoku/>
              <w:wordWrap/>
              <w:overflowPunct w:val="0"/>
              <w:topLinePunct w:val="0"/>
              <w:autoSpaceDE/>
              <w:autoSpaceDN/>
              <w:bidi w:val="0"/>
              <w:adjustRightInd/>
              <w:snapToGrid/>
              <w:spacing w:line="200" w:lineRule="exact"/>
              <w:textAlignment w:val="center"/>
              <w:rPr>
                <w:ins w:id="2638" w:author="LV" w:date="2026-07-14T16:54:45Z"/>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未对井下作业人员投保人数少于井下作业人数10%以下的，逾期未改正的。</w:t>
            </w:r>
          </w:p>
          <w:p w14:paraId="4D383F33">
            <w:pPr>
              <w:keepNext w:val="0"/>
              <w:keepLines w:val="0"/>
              <w:pageBreakBefore w:val="0"/>
              <w:widowControl w:val="0"/>
              <w:kinsoku/>
              <w:wordWrap/>
              <w:overflowPunct w:val="0"/>
              <w:topLinePunct w:val="0"/>
              <w:autoSpaceDE/>
              <w:autoSpaceDN/>
              <w:bidi w:val="0"/>
              <w:adjustRightInd/>
              <w:snapToGrid/>
              <w:spacing w:line="200" w:lineRule="exact"/>
              <w:textAlignment w:val="center"/>
              <w:rPr>
                <w:ins w:id="2639" w:author="LV" w:date="2026-07-14T16:54:35Z"/>
                <w:rFonts w:hint="eastAsia" w:ascii="仿宋_GB2312" w:hAnsi="宋体" w:eastAsia="仿宋_GB2312" w:cs="仿宋_GB2312"/>
                <w:kern w:val="0"/>
                <w:sz w:val="18"/>
                <w:szCs w:val="18"/>
                <w:lang w:bidi="ar"/>
              </w:rPr>
            </w:pPr>
          </w:p>
          <w:p w14:paraId="7D597A35">
            <w:pPr>
              <w:keepNext w:val="0"/>
              <w:keepLines w:val="0"/>
              <w:pageBreakBefore w:val="0"/>
              <w:widowControl w:val="0"/>
              <w:kinsoku/>
              <w:wordWrap/>
              <w:overflowPunct w:val="0"/>
              <w:topLinePunct w:val="0"/>
              <w:autoSpaceDE/>
              <w:autoSpaceDN/>
              <w:bidi w:val="0"/>
              <w:adjustRightInd/>
              <w:snapToGrid/>
              <w:spacing w:line="200" w:lineRule="exact"/>
              <w:textAlignment w:val="center"/>
              <w:rPr>
                <w:rFonts w:hint="eastAsia" w:ascii="仿宋_GB2312" w:hAnsi="宋体" w:eastAsia="仿宋_GB2312" w:cs="仿宋_GB2312"/>
                <w:kern w:val="0"/>
                <w:sz w:val="18"/>
                <w:szCs w:val="18"/>
                <w:lang w:bidi="ar"/>
              </w:rPr>
            </w:pPr>
          </w:p>
        </w:tc>
        <w:tc>
          <w:tcPr>
            <w:tcW w:w="2655" w:type="dxa"/>
            <w:tcBorders>
              <w:tl2br w:val="nil"/>
              <w:tr2bl w:val="nil"/>
            </w:tcBorders>
            <w:shd w:val="clear" w:color="auto" w:fill="auto"/>
            <w:tcMar>
              <w:top w:w="15" w:type="dxa"/>
              <w:left w:w="15" w:type="dxa"/>
              <w:right w:w="15" w:type="dxa"/>
            </w:tcMar>
            <w:vAlign w:val="center"/>
          </w:tcPr>
          <w:p w14:paraId="0AB2F462">
            <w:pPr>
              <w:keepNext w:val="0"/>
              <w:keepLines w:val="0"/>
              <w:pageBreakBefore w:val="0"/>
              <w:widowControl w:val="0"/>
              <w:kinsoku/>
              <w:wordWrap/>
              <w:overflowPunct w:val="0"/>
              <w:topLinePunct w:val="0"/>
              <w:autoSpaceDE/>
              <w:autoSpaceDN/>
              <w:bidi w:val="0"/>
              <w:adjustRightInd/>
              <w:snapToGrid/>
              <w:spacing w:line="20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处10万元以上13万元以下的罚款。</w:t>
            </w:r>
          </w:p>
        </w:tc>
      </w:tr>
      <w:tr w14:paraId="3FF733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833126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52738A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3ECBD6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60EEFC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457592D">
            <w:pPr>
              <w:keepNext w:val="0"/>
              <w:keepLines w:val="0"/>
              <w:pageBreakBefore w:val="0"/>
              <w:widowControl w:val="0"/>
              <w:kinsoku/>
              <w:wordWrap/>
              <w:overflowPunct w:val="0"/>
              <w:topLinePunct w:val="0"/>
              <w:autoSpaceDE/>
              <w:autoSpaceDN/>
              <w:bidi w:val="0"/>
              <w:adjustRightInd/>
              <w:snapToGrid/>
              <w:spacing w:line="20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0DBC3DD5">
            <w:pPr>
              <w:keepNext w:val="0"/>
              <w:keepLines w:val="0"/>
              <w:pageBreakBefore w:val="0"/>
              <w:widowControl w:val="0"/>
              <w:kinsoku/>
              <w:wordWrap/>
              <w:overflowPunct w:val="0"/>
              <w:topLinePunct w:val="0"/>
              <w:autoSpaceDE/>
              <w:autoSpaceDN/>
              <w:bidi w:val="0"/>
              <w:adjustRightInd/>
              <w:snapToGrid/>
              <w:spacing w:line="200" w:lineRule="exact"/>
              <w:textAlignment w:val="center"/>
              <w:rPr>
                <w:ins w:id="2640" w:author="LV" w:date="2026-07-14T16:54:37Z"/>
                <w:rFonts w:hint="eastAsia" w:ascii="仿宋_GB2312" w:hAnsi="宋体" w:eastAsia="仿宋_GB2312" w:cs="仿宋_GB2312"/>
                <w:kern w:val="0"/>
                <w:sz w:val="18"/>
                <w:szCs w:val="18"/>
                <w:lang w:bidi="ar"/>
              </w:rPr>
            </w:pPr>
          </w:p>
          <w:p w14:paraId="5347E559">
            <w:pPr>
              <w:keepNext w:val="0"/>
              <w:keepLines w:val="0"/>
              <w:pageBreakBefore w:val="0"/>
              <w:widowControl w:val="0"/>
              <w:kinsoku/>
              <w:wordWrap/>
              <w:overflowPunct w:val="0"/>
              <w:topLinePunct w:val="0"/>
              <w:autoSpaceDE/>
              <w:autoSpaceDN/>
              <w:bidi w:val="0"/>
              <w:adjustRightInd/>
              <w:snapToGrid/>
              <w:spacing w:line="200" w:lineRule="exact"/>
              <w:textAlignment w:val="center"/>
              <w:rPr>
                <w:ins w:id="2641" w:author="LV" w:date="2026-07-14T16:54:46Z"/>
                <w:rFonts w:hint="eastAsia" w:ascii="仿宋_GB2312" w:hAnsi="宋体" w:eastAsia="仿宋_GB2312" w:cs="仿宋_GB2312"/>
                <w:kern w:val="0"/>
                <w:sz w:val="18"/>
                <w:szCs w:val="18"/>
                <w:lang w:bidi="ar"/>
              </w:rPr>
            </w:pPr>
          </w:p>
          <w:p w14:paraId="179009E8">
            <w:pPr>
              <w:keepNext w:val="0"/>
              <w:keepLines w:val="0"/>
              <w:pageBreakBefore w:val="0"/>
              <w:widowControl w:val="0"/>
              <w:kinsoku/>
              <w:wordWrap/>
              <w:overflowPunct w:val="0"/>
              <w:topLinePunct w:val="0"/>
              <w:autoSpaceDE/>
              <w:autoSpaceDN/>
              <w:bidi w:val="0"/>
              <w:adjustRightInd/>
              <w:snapToGrid/>
              <w:spacing w:line="200" w:lineRule="exact"/>
              <w:textAlignment w:val="center"/>
              <w:rPr>
                <w:ins w:id="2642" w:author="LV" w:date="2026-07-14T16:54:48Z"/>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未对井下作业人员投保人数少于井下作业人数10%以上20%以下的，逾期未改正的。</w:t>
            </w:r>
          </w:p>
          <w:p w14:paraId="4597B415">
            <w:pPr>
              <w:keepNext w:val="0"/>
              <w:keepLines w:val="0"/>
              <w:pageBreakBefore w:val="0"/>
              <w:widowControl w:val="0"/>
              <w:kinsoku/>
              <w:wordWrap/>
              <w:overflowPunct w:val="0"/>
              <w:topLinePunct w:val="0"/>
              <w:autoSpaceDE/>
              <w:autoSpaceDN/>
              <w:bidi w:val="0"/>
              <w:adjustRightInd/>
              <w:snapToGrid/>
              <w:spacing w:line="200" w:lineRule="exact"/>
              <w:textAlignment w:val="center"/>
              <w:rPr>
                <w:ins w:id="2643" w:author="LV" w:date="2026-07-14T16:54:39Z"/>
                <w:rFonts w:hint="eastAsia" w:ascii="仿宋_GB2312" w:hAnsi="宋体" w:eastAsia="仿宋_GB2312" w:cs="仿宋_GB2312"/>
                <w:kern w:val="0"/>
                <w:sz w:val="18"/>
                <w:szCs w:val="18"/>
                <w:lang w:bidi="ar"/>
              </w:rPr>
            </w:pPr>
          </w:p>
          <w:p w14:paraId="020B257B">
            <w:pPr>
              <w:keepNext w:val="0"/>
              <w:keepLines w:val="0"/>
              <w:pageBreakBefore w:val="0"/>
              <w:widowControl w:val="0"/>
              <w:kinsoku/>
              <w:wordWrap/>
              <w:overflowPunct w:val="0"/>
              <w:topLinePunct w:val="0"/>
              <w:autoSpaceDE/>
              <w:autoSpaceDN/>
              <w:bidi w:val="0"/>
              <w:adjustRightInd/>
              <w:snapToGrid/>
              <w:spacing w:line="200" w:lineRule="exact"/>
              <w:textAlignment w:val="center"/>
              <w:rPr>
                <w:rFonts w:hint="eastAsia" w:ascii="仿宋_GB2312" w:hAnsi="宋体" w:eastAsia="仿宋_GB2312" w:cs="仿宋_GB2312"/>
                <w:kern w:val="0"/>
                <w:sz w:val="18"/>
                <w:szCs w:val="18"/>
                <w:lang w:bidi="ar"/>
              </w:rPr>
            </w:pPr>
          </w:p>
        </w:tc>
        <w:tc>
          <w:tcPr>
            <w:tcW w:w="2655" w:type="dxa"/>
            <w:tcBorders>
              <w:tl2br w:val="nil"/>
              <w:tr2bl w:val="nil"/>
            </w:tcBorders>
            <w:shd w:val="clear" w:color="auto" w:fill="auto"/>
            <w:tcMar>
              <w:top w:w="15" w:type="dxa"/>
              <w:left w:w="15" w:type="dxa"/>
              <w:right w:w="15" w:type="dxa"/>
            </w:tcMar>
            <w:vAlign w:val="center"/>
          </w:tcPr>
          <w:p w14:paraId="7BB1B8E4">
            <w:pPr>
              <w:keepNext w:val="0"/>
              <w:keepLines w:val="0"/>
              <w:pageBreakBefore w:val="0"/>
              <w:widowControl w:val="0"/>
              <w:kinsoku/>
              <w:wordWrap/>
              <w:overflowPunct w:val="0"/>
              <w:topLinePunct w:val="0"/>
              <w:autoSpaceDE/>
              <w:autoSpaceDN/>
              <w:bidi w:val="0"/>
              <w:adjustRightInd/>
              <w:snapToGrid/>
              <w:spacing w:line="20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处13万元以上17万元以下的罚款。</w:t>
            </w:r>
          </w:p>
        </w:tc>
      </w:tr>
      <w:tr w14:paraId="74447B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244B1E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08EFC5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CE4983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8B8D5F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0F87F37">
            <w:pPr>
              <w:keepNext w:val="0"/>
              <w:keepLines w:val="0"/>
              <w:pageBreakBefore w:val="0"/>
              <w:widowControl w:val="0"/>
              <w:kinsoku/>
              <w:wordWrap/>
              <w:overflowPunct w:val="0"/>
              <w:topLinePunct w:val="0"/>
              <w:autoSpaceDE/>
              <w:autoSpaceDN/>
              <w:bidi w:val="0"/>
              <w:adjustRightInd/>
              <w:snapToGrid/>
              <w:spacing w:line="20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7D3DA24E">
            <w:pPr>
              <w:keepNext w:val="0"/>
              <w:keepLines w:val="0"/>
              <w:pageBreakBefore w:val="0"/>
              <w:widowControl w:val="0"/>
              <w:kinsoku/>
              <w:wordWrap/>
              <w:overflowPunct w:val="0"/>
              <w:topLinePunct w:val="0"/>
              <w:autoSpaceDE/>
              <w:autoSpaceDN/>
              <w:bidi w:val="0"/>
              <w:adjustRightInd/>
              <w:snapToGrid/>
              <w:spacing w:line="200" w:lineRule="exact"/>
              <w:textAlignment w:val="center"/>
              <w:rPr>
                <w:ins w:id="2644" w:author="LV" w:date="2026-07-14T16:54:40Z"/>
                <w:rFonts w:hint="eastAsia" w:ascii="仿宋_GB2312" w:hAnsi="宋体" w:eastAsia="仿宋_GB2312" w:cs="仿宋_GB2312"/>
                <w:kern w:val="0"/>
                <w:sz w:val="18"/>
                <w:szCs w:val="18"/>
                <w:lang w:bidi="ar"/>
              </w:rPr>
            </w:pPr>
          </w:p>
          <w:p w14:paraId="5CAA1921">
            <w:pPr>
              <w:keepNext w:val="0"/>
              <w:keepLines w:val="0"/>
              <w:pageBreakBefore w:val="0"/>
              <w:widowControl w:val="0"/>
              <w:kinsoku/>
              <w:wordWrap/>
              <w:overflowPunct w:val="0"/>
              <w:topLinePunct w:val="0"/>
              <w:autoSpaceDE/>
              <w:autoSpaceDN/>
              <w:bidi w:val="0"/>
              <w:adjustRightInd/>
              <w:snapToGrid/>
              <w:spacing w:line="200" w:lineRule="exact"/>
              <w:textAlignment w:val="center"/>
              <w:rPr>
                <w:ins w:id="2645" w:author="LV" w:date="2026-07-14T16:54:49Z"/>
                <w:rFonts w:hint="eastAsia" w:ascii="仿宋_GB2312" w:hAnsi="宋体" w:eastAsia="仿宋_GB2312" w:cs="仿宋_GB2312"/>
                <w:kern w:val="0"/>
                <w:sz w:val="18"/>
                <w:szCs w:val="18"/>
                <w:lang w:bidi="ar"/>
              </w:rPr>
            </w:pPr>
          </w:p>
          <w:p w14:paraId="1E4A11B9">
            <w:pPr>
              <w:keepNext w:val="0"/>
              <w:keepLines w:val="0"/>
              <w:pageBreakBefore w:val="0"/>
              <w:widowControl w:val="0"/>
              <w:kinsoku/>
              <w:wordWrap/>
              <w:overflowPunct w:val="0"/>
              <w:topLinePunct w:val="0"/>
              <w:autoSpaceDE/>
              <w:autoSpaceDN/>
              <w:bidi w:val="0"/>
              <w:adjustRightInd/>
              <w:snapToGrid/>
              <w:spacing w:line="200" w:lineRule="exact"/>
              <w:textAlignment w:val="center"/>
              <w:rPr>
                <w:ins w:id="2646" w:author="LV" w:date="2026-07-14T16:54:50Z"/>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未对井下作业人员投保人数少于井下作业人数20%以上的，逾期未改正的。</w:t>
            </w:r>
          </w:p>
          <w:p w14:paraId="39D79B55">
            <w:pPr>
              <w:keepNext w:val="0"/>
              <w:keepLines w:val="0"/>
              <w:pageBreakBefore w:val="0"/>
              <w:widowControl w:val="0"/>
              <w:kinsoku/>
              <w:wordWrap/>
              <w:overflowPunct w:val="0"/>
              <w:topLinePunct w:val="0"/>
              <w:autoSpaceDE/>
              <w:autoSpaceDN/>
              <w:bidi w:val="0"/>
              <w:adjustRightInd/>
              <w:snapToGrid/>
              <w:spacing w:line="200" w:lineRule="exact"/>
              <w:textAlignment w:val="center"/>
              <w:rPr>
                <w:ins w:id="2647" w:author="LV" w:date="2026-07-14T16:54:41Z"/>
                <w:rFonts w:hint="eastAsia" w:ascii="仿宋_GB2312" w:hAnsi="宋体" w:eastAsia="仿宋_GB2312" w:cs="仿宋_GB2312"/>
                <w:kern w:val="0"/>
                <w:sz w:val="18"/>
                <w:szCs w:val="18"/>
                <w:lang w:bidi="ar"/>
              </w:rPr>
            </w:pPr>
          </w:p>
          <w:p w14:paraId="71ACF78C">
            <w:pPr>
              <w:keepNext w:val="0"/>
              <w:keepLines w:val="0"/>
              <w:pageBreakBefore w:val="0"/>
              <w:widowControl w:val="0"/>
              <w:kinsoku/>
              <w:wordWrap/>
              <w:overflowPunct w:val="0"/>
              <w:topLinePunct w:val="0"/>
              <w:autoSpaceDE/>
              <w:autoSpaceDN/>
              <w:bidi w:val="0"/>
              <w:adjustRightInd/>
              <w:snapToGrid/>
              <w:spacing w:line="200" w:lineRule="exact"/>
              <w:textAlignment w:val="center"/>
              <w:rPr>
                <w:rFonts w:hint="eastAsia" w:ascii="仿宋_GB2312" w:hAnsi="宋体" w:eastAsia="仿宋_GB2312" w:cs="仿宋_GB2312"/>
                <w:kern w:val="0"/>
                <w:sz w:val="18"/>
                <w:szCs w:val="18"/>
                <w:lang w:bidi="ar"/>
              </w:rPr>
            </w:pPr>
          </w:p>
        </w:tc>
        <w:tc>
          <w:tcPr>
            <w:tcW w:w="2655" w:type="dxa"/>
            <w:tcBorders>
              <w:tl2br w:val="nil"/>
              <w:tr2bl w:val="nil"/>
            </w:tcBorders>
            <w:shd w:val="clear" w:color="auto" w:fill="auto"/>
            <w:tcMar>
              <w:top w:w="15" w:type="dxa"/>
              <w:left w:w="15" w:type="dxa"/>
              <w:right w:w="15" w:type="dxa"/>
            </w:tcMar>
            <w:vAlign w:val="center"/>
          </w:tcPr>
          <w:p w14:paraId="4C716D5B">
            <w:pPr>
              <w:keepNext w:val="0"/>
              <w:keepLines w:val="0"/>
              <w:pageBreakBefore w:val="0"/>
              <w:widowControl w:val="0"/>
              <w:kinsoku/>
              <w:wordWrap/>
              <w:overflowPunct w:val="0"/>
              <w:topLinePunct w:val="0"/>
              <w:autoSpaceDE/>
              <w:autoSpaceDN/>
              <w:bidi w:val="0"/>
              <w:adjustRightInd/>
              <w:snapToGrid/>
              <w:spacing w:line="20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处17万元以上20万元以下的罚款。</w:t>
            </w:r>
          </w:p>
        </w:tc>
      </w:tr>
      <w:tr w14:paraId="4894B4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5A32CED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1</w:t>
            </w:r>
            <w:del w:id="2648" w:author="LV" w:date="2026-07-14T16:55:32Z">
              <w:r>
                <w:rPr>
                  <w:rFonts w:hint="default" w:ascii="仿宋_GB2312" w:hAnsi="宋体" w:eastAsia="仿宋_GB2312" w:cs="仿宋_GB2312"/>
                  <w:kern w:val="0"/>
                  <w:sz w:val="18"/>
                  <w:szCs w:val="18"/>
                  <w:lang w:val="en-US" w:bidi="ar"/>
                </w:rPr>
                <w:delText>2</w:delText>
              </w:r>
            </w:del>
            <w:del w:id="2649" w:author="LV" w:date="2026-07-14T16:55:32Z">
              <w:r>
                <w:rPr>
                  <w:rFonts w:hint="default" w:ascii="仿宋_GB2312" w:hAnsi="宋体" w:eastAsia="仿宋_GB2312" w:cs="仿宋_GB2312"/>
                  <w:kern w:val="0"/>
                  <w:sz w:val="18"/>
                  <w:szCs w:val="18"/>
                  <w:lang w:val="en-US" w:eastAsia="zh-CN" w:bidi="ar"/>
                </w:rPr>
                <w:delText>7</w:delText>
              </w:r>
            </w:del>
            <w:ins w:id="2650" w:author="LV" w:date="2026-07-14T16:55:32Z">
              <w:r>
                <w:rPr>
                  <w:rFonts w:hint="eastAsia" w:ascii="仿宋_GB2312" w:hAnsi="宋体" w:eastAsia="仿宋_GB2312" w:cs="仿宋_GB2312"/>
                  <w:kern w:val="0"/>
                  <w:sz w:val="18"/>
                  <w:szCs w:val="18"/>
                  <w:lang w:val="en-US" w:eastAsia="zh-CN" w:bidi="ar"/>
                </w:rPr>
                <w:t>36</w:t>
              </w:r>
            </w:ins>
          </w:p>
        </w:tc>
        <w:tc>
          <w:tcPr>
            <w:tcW w:w="1005" w:type="dxa"/>
            <w:vMerge w:val="restart"/>
            <w:tcBorders>
              <w:tl2br w:val="nil"/>
              <w:tr2bl w:val="nil"/>
            </w:tcBorders>
            <w:shd w:val="clear" w:color="auto" w:fill="auto"/>
            <w:tcMar>
              <w:top w:w="15" w:type="dxa"/>
              <w:left w:w="15" w:type="dxa"/>
              <w:right w:w="15" w:type="dxa"/>
            </w:tcMar>
            <w:vAlign w:val="center"/>
          </w:tcPr>
          <w:p w14:paraId="3647BAB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煤矿未将生产安全事故应急救援预案报送备案、未建立应急值班制度或者配备应急值班人员，逾期未改正的</w:t>
            </w:r>
          </w:p>
        </w:tc>
        <w:tc>
          <w:tcPr>
            <w:tcW w:w="3667" w:type="dxa"/>
            <w:vMerge w:val="restart"/>
            <w:tcBorders>
              <w:tl2br w:val="nil"/>
              <w:tr2bl w:val="nil"/>
            </w:tcBorders>
            <w:shd w:val="clear" w:color="auto" w:fill="auto"/>
            <w:tcMar>
              <w:top w:w="15" w:type="dxa"/>
              <w:left w:w="15" w:type="dxa"/>
              <w:right w:w="15" w:type="dxa"/>
            </w:tcMar>
            <w:vAlign w:val="center"/>
          </w:tcPr>
          <w:p w14:paraId="604D94B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bidi="ar"/>
              </w:rPr>
              <w:t>《生产安全事故应急条例》</w:t>
            </w:r>
          </w:p>
          <w:p w14:paraId="705EADB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bidi="ar"/>
              </w:rPr>
              <w:t>第七条</w:t>
            </w:r>
            <w:r>
              <w:rPr>
                <w:rFonts w:hint="eastAsia" w:ascii="仿宋_GB2312" w:hAnsi="宋体" w:eastAsia="仿宋_GB2312" w:cs="仿宋_GB2312"/>
                <w:color w:val="auto"/>
                <w:kern w:val="0"/>
                <w:sz w:val="18"/>
                <w:szCs w:val="18"/>
                <w:lang w:val="en-US" w:eastAsia="zh-CN" w:bidi="ar"/>
              </w:rPr>
              <w:t xml:space="preserve"> </w:t>
            </w:r>
            <w:r>
              <w:rPr>
                <w:rFonts w:hint="eastAsia" w:ascii="仿宋_GB2312" w:hAnsi="宋体" w:eastAsia="仿宋_GB2312" w:cs="仿宋_GB2312"/>
                <w:color w:val="auto"/>
                <w:kern w:val="0"/>
                <w:sz w:val="18"/>
                <w:szCs w:val="18"/>
                <w:lang w:bidi="ar"/>
              </w:rPr>
              <w:t>县级以上人民政府负有安全生产监督管理职责的部门应当将其制定的生产安全事故应急救援预案报送本级人民政府备案；易燃易爆物品、危险化学品等危险物品的生产、经营、储存、运输单位，矿山、金属冶炼、城市轨道交通运营、建筑施工单位，以及宾馆、商场、娱乐场所、旅游景区等人员密集场所经营单位，应当将其制定的生产安全事故应急救援预案按照国家有关规定报送县级以上人民政府负有安全生产监督管理职责的部门备案，并依法向社会公布。</w:t>
            </w:r>
          </w:p>
          <w:p w14:paraId="0ABA003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eastAsia="zh-CN" w:bidi="ar"/>
              </w:rPr>
            </w:pPr>
            <w:r>
              <w:rPr>
                <w:rFonts w:hint="eastAsia" w:ascii="仿宋_GB2312" w:hAnsi="宋体" w:eastAsia="仿宋_GB2312" w:cs="仿宋_GB2312"/>
                <w:color w:val="auto"/>
                <w:kern w:val="0"/>
                <w:sz w:val="18"/>
                <w:szCs w:val="18"/>
                <w:lang w:bidi="ar"/>
              </w:rPr>
              <w:t>第十四条</w:t>
            </w:r>
            <w:r>
              <w:rPr>
                <w:rFonts w:hint="eastAsia" w:ascii="仿宋_GB2312" w:hAnsi="宋体" w:eastAsia="仿宋_GB2312" w:cs="仿宋_GB2312"/>
                <w:color w:val="auto"/>
                <w:kern w:val="0"/>
                <w:sz w:val="18"/>
                <w:szCs w:val="18"/>
                <w:lang w:val="en-US" w:eastAsia="zh-CN" w:bidi="ar"/>
              </w:rPr>
              <w:t xml:space="preserve"> </w:t>
            </w:r>
            <w:r>
              <w:rPr>
                <w:rFonts w:hint="eastAsia" w:ascii="仿宋_GB2312" w:hAnsi="宋体" w:eastAsia="仿宋_GB2312" w:cs="仿宋_GB2312"/>
                <w:color w:val="auto"/>
                <w:kern w:val="0"/>
                <w:sz w:val="18"/>
                <w:szCs w:val="18"/>
                <w:lang w:bidi="ar"/>
              </w:rPr>
              <w:t>下列单位应当建立应急值班制度，配备应急值班人员：（一）县级以上人民政府及其负有安全生产监督管理职责的部门；（二）危险物品的生产、经营、储存、运输单位以及矿山、金属冶炼、城市轨道交通运营、建筑施工单位</w:t>
            </w:r>
            <w:r>
              <w:rPr>
                <w:rFonts w:hint="eastAsia" w:ascii="仿宋_GB2312" w:hAnsi="宋体" w:eastAsia="仿宋_GB2312" w:cs="仿宋_GB2312"/>
                <w:color w:val="auto"/>
                <w:kern w:val="0"/>
                <w:sz w:val="18"/>
                <w:szCs w:val="18"/>
                <w:lang w:eastAsia="zh-CN" w:bidi="ar"/>
              </w:rPr>
              <w:t>。</w:t>
            </w:r>
          </w:p>
        </w:tc>
        <w:tc>
          <w:tcPr>
            <w:tcW w:w="4082" w:type="dxa"/>
            <w:vMerge w:val="restart"/>
            <w:tcBorders>
              <w:tl2br w:val="nil"/>
              <w:tr2bl w:val="nil"/>
            </w:tcBorders>
            <w:shd w:val="clear" w:color="auto" w:fill="auto"/>
            <w:tcMar>
              <w:top w:w="15" w:type="dxa"/>
              <w:left w:w="15" w:type="dxa"/>
              <w:right w:w="15" w:type="dxa"/>
            </w:tcMar>
            <w:vAlign w:val="center"/>
          </w:tcPr>
          <w:p w14:paraId="2B05B0D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《生产安全事故应急条例》第三十二条 生产经营单位未将生产安全事故应急救援预案报送备案、未建立应急值班制度或者配备应急值班人员的，由县级以上人民政府负有安全生产监督管理职责的部门责令限期改正；逾期未改正的，处3万元以上5万元以下的罚款，对直接负责的主管人员和其他直接责任人员处1万元以上2万元以下的罚款。</w:t>
            </w:r>
          </w:p>
        </w:tc>
        <w:tc>
          <w:tcPr>
            <w:tcW w:w="459" w:type="dxa"/>
            <w:tcBorders>
              <w:tl2br w:val="nil"/>
              <w:tr2bl w:val="nil"/>
            </w:tcBorders>
            <w:shd w:val="clear" w:color="auto" w:fill="auto"/>
            <w:noWrap/>
            <w:tcMar>
              <w:top w:w="15" w:type="dxa"/>
              <w:left w:w="15" w:type="dxa"/>
              <w:right w:w="15" w:type="dxa"/>
            </w:tcMar>
            <w:vAlign w:val="center"/>
          </w:tcPr>
          <w:p w14:paraId="5E55710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39BF41C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1890C79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B4974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7040DC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A38F6D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6FA3B7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1F3C01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68346E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3CB3019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11CDD63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FC587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B7193B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37F565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534FFE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C0AFFC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DD8C79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73BA2D8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86C978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34DC1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468B8C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285968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DBCBCE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BC7F19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359DB5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4AAE20B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未将生产安全事故应急救援预案报送备案的，逾期未改正的。</w:t>
            </w:r>
          </w:p>
        </w:tc>
        <w:tc>
          <w:tcPr>
            <w:tcW w:w="2655" w:type="dxa"/>
            <w:tcBorders>
              <w:tl2br w:val="nil"/>
              <w:tr2bl w:val="nil"/>
            </w:tcBorders>
            <w:shd w:val="clear" w:color="auto" w:fill="auto"/>
            <w:tcMar>
              <w:top w:w="15" w:type="dxa"/>
              <w:left w:w="15" w:type="dxa"/>
              <w:right w:w="15" w:type="dxa"/>
            </w:tcMar>
            <w:vAlign w:val="center"/>
          </w:tcPr>
          <w:p w14:paraId="0275D60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处3万元以上3.5万元以下的罚款，对直接负责的主管人员和其他直接责任人员处1万元以上1.3万元以下的罚款</w:t>
            </w:r>
            <w:r>
              <w:rPr>
                <w:rFonts w:ascii="仿宋_GB2312" w:hAnsi="宋体" w:eastAsia="仿宋_GB2312" w:cs="仿宋_GB2312"/>
                <w:kern w:val="0"/>
                <w:sz w:val="18"/>
                <w:szCs w:val="18"/>
                <w:lang w:bidi="ar"/>
              </w:rPr>
              <w:t>。</w:t>
            </w:r>
          </w:p>
        </w:tc>
      </w:tr>
      <w:tr w14:paraId="65C6BB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63CA20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20F4CF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90AECC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3307F1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3FBC79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199FFB4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未建立应急值班制度或者配备应急值班人员的，逾期未改正的。</w:t>
            </w:r>
          </w:p>
        </w:tc>
        <w:tc>
          <w:tcPr>
            <w:tcW w:w="2655" w:type="dxa"/>
            <w:tcBorders>
              <w:tl2br w:val="nil"/>
              <w:tr2bl w:val="nil"/>
            </w:tcBorders>
            <w:shd w:val="clear" w:color="auto" w:fill="auto"/>
            <w:tcMar>
              <w:top w:w="15" w:type="dxa"/>
              <w:left w:w="15" w:type="dxa"/>
              <w:right w:w="15" w:type="dxa"/>
            </w:tcMar>
            <w:vAlign w:val="center"/>
          </w:tcPr>
          <w:p w14:paraId="389F352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处3.5万元以上4.5万元以下的罚款，对直接负责的主管人员和其他直接责任人员处1.3万元以上1.8万元以下的罚款。</w:t>
            </w:r>
          </w:p>
        </w:tc>
      </w:tr>
      <w:tr w14:paraId="050922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CA006A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C94153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3D5715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6AAC7D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6BB288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6150888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未将生产安全事故应急救援预案报送备案、未建立应急值班制度或者配备应急值班人员的，逾期未改正的。</w:t>
            </w:r>
          </w:p>
        </w:tc>
        <w:tc>
          <w:tcPr>
            <w:tcW w:w="2655" w:type="dxa"/>
            <w:tcBorders>
              <w:tl2br w:val="nil"/>
              <w:tr2bl w:val="nil"/>
            </w:tcBorders>
            <w:shd w:val="clear" w:color="auto" w:fill="auto"/>
            <w:tcMar>
              <w:top w:w="15" w:type="dxa"/>
              <w:left w:w="15" w:type="dxa"/>
              <w:right w:w="15" w:type="dxa"/>
            </w:tcMar>
            <w:vAlign w:val="center"/>
          </w:tcPr>
          <w:p w14:paraId="0757747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处4.5万元以上5万元以下的罚款，对直接负责的主管人员和其他直接责任人员处1.8</w:t>
            </w:r>
            <w:r>
              <w:rPr>
                <w:rFonts w:hint="eastAsia" w:ascii="仿宋_GB2312" w:hAnsi="宋体" w:eastAsia="仿宋_GB2312" w:cs="仿宋_GB2312"/>
                <w:kern w:val="0"/>
                <w:sz w:val="18"/>
                <w:szCs w:val="18"/>
                <w:highlight w:val="none"/>
                <w:lang w:val="en-US" w:eastAsia="zh-CN" w:bidi="ar"/>
              </w:rPr>
              <w:t>万元</w:t>
            </w:r>
            <w:r>
              <w:rPr>
                <w:rFonts w:hint="eastAsia" w:ascii="仿宋_GB2312" w:hAnsi="宋体" w:eastAsia="仿宋_GB2312" w:cs="仿宋_GB2312"/>
                <w:kern w:val="0"/>
                <w:sz w:val="18"/>
                <w:szCs w:val="18"/>
                <w:highlight w:val="none"/>
                <w:lang w:bidi="ar"/>
              </w:rPr>
              <w:t>以上2万元以下的罚款。</w:t>
            </w:r>
          </w:p>
        </w:tc>
      </w:tr>
      <w:tr w14:paraId="46F700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1C60C8F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1</w:t>
            </w:r>
            <w:del w:id="2651" w:author="LV" w:date="2026-07-14T16:55:40Z">
              <w:r>
                <w:rPr>
                  <w:rFonts w:hint="default" w:ascii="仿宋_GB2312" w:hAnsi="宋体" w:eastAsia="仿宋_GB2312" w:cs="仿宋_GB2312"/>
                  <w:kern w:val="0"/>
                  <w:sz w:val="18"/>
                  <w:szCs w:val="18"/>
                  <w:lang w:val="en-US" w:bidi="ar"/>
                </w:rPr>
                <w:delText>2</w:delText>
              </w:r>
            </w:del>
            <w:del w:id="2652" w:author="LV" w:date="2026-07-14T16:55:40Z">
              <w:r>
                <w:rPr>
                  <w:rFonts w:hint="default" w:ascii="仿宋_GB2312" w:hAnsi="宋体" w:eastAsia="仿宋_GB2312" w:cs="仿宋_GB2312"/>
                  <w:kern w:val="0"/>
                  <w:sz w:val="18"/>
                  <w:szCs w:val="18"/>
                  <w:lang w:val="en-US" w:eastAsia="zh-CN" w:bidi="ar"/>
                </w:rPr>
                <w:delText>8</w:delText>
              </w:r>
            </w:del>
            <w:ins w:id="2653" w:author="LV" w:date="2026-07-14T16:55:40Z">
              <w:r>
                <w:rPr>
                  <w:rFonts w:hint="eastAsia" w:ascii="仿宋_GB2312" w:hAnsi="宋体" w:eastAsia="仿宋_GB2312" w:cs="仿宋_GB2312"/>
                  <w:kern w:val="0"/>
                  <w:sz w:val="18"/>
                  <w:szCs w:val="18"/>
                  <w:lang w:val="en-US" w:eastAsia="zh-CN" w:bidi="ar"/>
                </w:rPr>
                <w:t>37</w:t>
              </w:r>
            </w:ins>
          </w:p>
        </w:tc>
        <w:tc>
          <w:tcPr>
            <w:tcW w:w="1005" w:type="dxa"/>
            <w:vMerge w:val="restart"/>
            <w:tcBorders>
              <w:tl2br w:val="nil"/>
              <w:tr2bl w:val="nil"/>
            </w:tcBorders>
            <w:shd w:val="clear" w:color="auto" w:fill="auto"/>
            <w:tcMar>
              <w:top w:w="15" w:type="dxa"/>
              <w:left w:w="15" w:type="dxa"/>
              <w:right w:w="15" w:type="dxa"/>
            </w:tcMar>
            <w:vAlign w:val="center"/>
          </w:tcPr>
          <w:p w14:paraId="13DFDFE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煤矿企业未按照规定进行定期排查或者专项排查，限期改正的</w:t>
            </w:r>
          </w:p>
        </w:tc>
        <w:tc>
          <w:tcPr>
            <w:tcW w:w="3667" w:type="dxa"/>
            <w:vMerge w:val="restart"/>
            <w:tcBorders>
              <w:tl2br w:val="nil"/>
              <w:tr2bl w:val="nil"/>
            </w:tcBorders>
            <w:shd w:val="clear" w:color="auto" w:fill="auto"/>
            <w:tcMar>
              <w:top w:w="15" w:type="dxa"/>
              <w:left w:w="15" w:type="dxa"/>
              <w:right w:w="15" w:type="dxa"/>
            </w:tcMar>
            <w:vAlign w:val="center"/>
          </w:tcPr>
          <w:p w14:paraId="2E3F8CD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《山东省生产安全事故隐患排查治理办法》</w:t>
            </w:r>
          </w:p>
          <w:p w14:paraId="3130D38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 xml:space="preserve">第十四条 </w:t>
            </w:r>
            <w:r>
              <w:rPr>
                <w:rFonts w:hint="eastAsia" w:ascii="仿宋_GB2312" w:hAnsi="宋体" w:eastAsia="仿宋_GB2312" w:cs="仿宋_GB2312"/>
                <w:kern w:val="0"/>
                <w:sz w:val="18"/>
                <w:szCs w:val="18"/>
                <w:lang w:val="en-US" w:eastAsia="zh-CN" w:bidi="ar"/>
              </w:rPr>
              <w:t>生</w:t>
            </w:r>
            <w:r>
              <w:rPr>
                <w:rFonts w:hint="eastAsia" w:ascii="仿宋_GB2312" w:hAnsi="宋体" w:eastAsia="仿宋_GB2312" w:cs="仿宋_GB2312"/>
                <w:kern w:val="0"/>
                <w:sz w:val="18"/>
                <w:szCs w:val="18"/>
                <w:lang w:bidi="ar"/>
              </w:rPr>
              <w:t>产经营单位应当根据本单位生产经营特点，对下列事项进行定期排查：（一）事故隐患排查治理制度的制定和落实情况；（二）安全生产教育和培训情况；（三）特种作业人员持证上岗情况；（四）生产装置和安全设施、设备运行状况以及日常维护、保养、检验、检测情况；（五）有较大危险因素的场所和危险作业的安全管理情况；（六）劳动防护用品的配备和佩戴使用情况；（七）重大危险源管控情况；（八）应急救援预案制定、演练和应急救援物资配备情况；（九）其他应当进行定期排查的事项。</w:t>
            </w:r>
          </w:p>
          <w:p w14:paraId="682B657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第十五条 下列情形之一的，生产经营单位应当进行专项排查：（一）有关安全生产标准、规程发布或者修改的；（二）新建、改建、扩建工程项目试生产的；（三）复工复产、化工装置开停车的；（四）周边环境、作业条件、设备设施、工艺技术发生改变的；（五）发生事故或者险情的；（六）其他应当进行专项排查的情形。</w:t>
            </w:r>
          </w:p>
        </w:tc>
        <w:tc>
          <w:tcPr>
            <w:tcW w:w="4082" w:type="dxa"/>
            <w:vMerge w:val="restart"/>
            <w:tcBorders>
              <w:tl2br w:val="nil"/>
              <w:tr2bl w:val="nil"/>
            </w:tcBorders>
            <w:shd w:val="clear" w:color="auto" w:fill="auto"/>
            <w:tcMar>
              <w:top w:w="15" w:type="dxa"/>
              <w:left w:w="15" w:type="dxa"/>
              <w:right w:w="15" w:type="dxa"/>
            </w:tcMar>
            <w:vAlign w:val="center"/>
          </w:tcPr>
          <w:p w14:paraId="52DBA65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《山东省生产安全事故隐患排查治理办法》第三十五条 违反本办法，生产经营单位未按照规定进行定期排查或者专项排查的，责令限期改正，处3万元以上10万元以下的罚款；逾期未改正的，处10万元以上20万元以下的罚款，对其直接负责的主管人员和其他直接责任人员处2万元以上5万元以下的罚款；构成犯罪的，依法追究刑事责任。</w:t>
            </w:r>
          </w:p>
        </w:tc>
        <w:tc>
          <w:tcPr>
            <w:tcW w:w="459" w:type="dxa"/>
            <w:tcBorders>
              <w:tl2br w:val="nil"/>
              <w:tr2bl w:val="nil"/>
            </w:tcBorders>
            <w:shd w:val="clear" w:color="auto" w:fill="auto"/>
            <w:noWrap/>
            <w:tcMar>
              <w:top w:w="15" w:type="dxa"/>
              <w:left w:w="15" w:type="dxa"/>
              <w:right w:w="15" w:type="dxa"/>
            </w:tcMar>
            <w:vAlign w:val="center"/>
          </w:tcPr>
          <w:p w14:paraId="48020F3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30D5ABA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1ED131E2">
            <w:pPr>
              <w:keepNext w:val="0"/>
              <w:keepLines w:val="0"/>
              <w:pageBreakBefore w:val="0"/>
              <w:widowControl w:val="0"/>
              <w:kinsoku/>
              <w:wordWrap/>
              <w:overflowPunct w:val="0"/>
              <w:topLinePunct w:val="0"/>
              <w:autoSpaceDE/>
              <w:autoSpaceDN/>
              <w:bidi w:val="0"/>
              <w:adjustRightInd/>
              <w:snapToGrid/>
              <w:spacing w:line="280" w:lineRule="exact"/>
              <w:jc w:val="center"/>
              <w:textAlignment w:val="bottom"/>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CE096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F83566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44B250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5ED732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2FA4F9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FB50AF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2CE3E06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0ACFBE0D">
            <w:pPr>
              <w:keepNext w:val="0"/>
              <w:keepLines w:val="0"/>
              <w:pageBreakBefore w:val="0"/>
              <w:widowControl w:val="0"/>
              <w:kinsoku/>
              <w:wordWrap/>
              <w:overflowPunct w:val="0"/>
              <w:topLinePunct w:val="0"/>
              <w:autoSpaceDE/>
              <w:autoSpaceDN/>
              <w:bidi w:val="0"/>
              <w:adjustRightInd/>
              <w:snapToGrid/>
              <w:spacing w:line="280" w:lineRule="exact"/>
              <w:jc w:val="center"/>
              <w:textAlignment w:val="bottom"/>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3E8DF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CB961A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4192C4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371D29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163E3D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AF0ED1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6913A7E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058B9B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4ECF7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FDA874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7816E8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D34E0B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24273A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C56062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7000BFC4">
            <w:pPr>
              <w:keepNext w:val="0"/>
              <w:keepLines w:val="0"/>
              <w:pageBreakBefore w:val="0"/>
              <w:widowControl w:val="0"/>
              <w:kinsoku/>
              <w:wordWrap/>
              <w:overflowPunct w:val="0"/>
              <w:topLinePunct w:val="0"/>
              <w:autoSpaceDE/>
              <w:autoSpaceDN/>
              <w:bidi w:val="0"/>
              <w:adjustRightInd/>
              <w:snapToGrid/>
              <w:spacing w:line="20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未按照规定进行定期排查的。</w:t>
            </w:r>
          </w:p>
        </w:tc>
        <w:tc>
          <w:tcPr>
            <w:tcW w:w="2655" w:type="dxa"/>
            <w:tcBorders>
              <w:tl2br w:val="nil"/>
              <w:tr2bl w:val="nil"/>
            </w:tcBorders>
            <w:shd w:val="clear" w:color="auto" w:fill="auto"/>
            <w:tcMar>
              <w:top w:w="15" w:type="dxa"/>
              <w:left w:w="15" w:type="dxa"/>
              <w:right w:w="15" w:type="dxa"/>
            </w:tcMar>
            <w:vAlign w:val="center"/>
          </w:tcPr>
          <w:p w14:paraId="79240899">
            <w:pPr>
              <w:keepNext w:val="0"/>
              <w:keepLines w:val="0"/>
              <w:pageBreakBefore w:val="0"/>
              <w:widowControl w:val="0"/>
              <w:kinsoku/>
              <w:wordWrap/>
              <w:overflowPunct w:val="0"/>
              <w:topLinePunct w:val="0"/>
              <w:autoSpaceDE/>
              <w:autoSpaceDN/>
              <w:bidi w:val="0"/>
              <w:adjustRightInd/>
              <w:snapToGrid/>
              <w:spacing w:line="20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处3万元以上5万元以下的罚款。</w:t>
            </w:r>
          </w:p>
        </w:tc>
      </w:tr>
      <w:tr w14:paraId="6C9A5E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5271A4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16ED82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2FF246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A004D9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8A2478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328BBDF5">
            <w:pPr>
              <w:keepNext w:val="0"/>
              <w:keepLines w:val="0"/>
              <w:pageBreakBefore w:val="0"/>
              <w:widowControl w:val="0"/>
              <w:kinsoku/>
              <w:wordWrap/>
              <w:overflowPunct w:val="0"/>
              <w:topLinePunct w:val="0"/>
              <w:autoSpaceDE/>
              <w:autoSpaceDN/>
              <w:bidi w:val="0"/>
              <w:adjustRightInd/>
              <w:snapToGrid/>
              <w:spacing w:line="20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未按照规定进行专项排查的。</w:t>
            </w:r>
          </w:p>
        </w:tc>
        <w:tc>
          <w:tcPr>
            <w:tcW w:w="2655" w:type="dxa"/>
            <w:tcBorders>
              <w:tl2br w:val="nil"/>
              <w:tr2bl w:val="nil"/>
            </w:tcBorders>
            <w:shd w:val="clear" w:color="auto" w:fill="auto"/>
            <w:tcMar>
              <w:top w:w="15" w:type="dxa"/>
              <w:left w:w="15" w:type="dxa"/>
              <w:right w:w="15" w:type="dxa"/>
            </w:tcMar>
            <w:vAlign w:val="center"/>
          </w:tcPr>
          <w:p w14:paraId="498B2008">
            <w:pPr>
              <w:keepNext w:val="0"/>
              <w:keepLines w:val="0"/>
              <w:pageBreakBefore w:val="0"/>
              <w:widowControl w:val="0"/>
              <w:kinsoku/>
              <w:wordWrap/>
              <w:overflowPunct w:val="0"/>
              <w:topLinePunct w:val="0"/>
              <w:autoSpaceDE/>
              <w:autoSpaceDN/>
              <w:bidi w:val="0"/>
              <w:adjustRightInd/>
              <w:snapToGrid/>
              <w:spacing w:line="20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处5万元以上8万元以下的罚款。</w:t>
            </w:r>
          </w:p>
        </w:tc>
      </w:tr>
      <w:tr w14:paraId="69A516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982219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2AD427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748544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D9E933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096963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096D156C">
            <w:pPr>
              <w:keepNext w:val="0"/>
              <w:keepLines w:val="0"/>
              <w:pageBreakBefore w:val="0"/>
              <w:widowControl w:val="0"/>
              <w:kinsoku/>
              <w:wordWrap/>
              <w:overflowPunct w:val="0"/>
              <w:topLinePunct w:val="0"/>
              <w:autoSpaceDE/>
              <w:autoSpaceDN/>
              <w:bidi w:val="0"/>
              <w:adjustRightInd/>
              <w:snapToGrid/>
              <w:spacing w:line="20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未按照规定进行定期排查，也未按照规定进行专项排查的。</w:t>
            </w:r>
          </w:p>
        </w:tc>
        <w:tc>
          <w:tcPr>
            <w:tcW w:w="2655" w:type="dxa"/>
            <w:tcBorders>
              <w:tl2br w:val="nil"/>
              <w:tr2bl w:val="nil"/>
            </w:tcBorders>
            <w:shd w:val="clear" w:color="auto" w:fill="auto"/>
            <w:tcMar>
              <w:top w:w="15" w:type="dxa"/>
              <w:left w:w="15" w:type="dxa"/>
              <w:right w:w="15" w:type="dxa"/>
            </w:tcMar>
            <w:vAlign w:val="center"/>
          </w:tcPr>
          <w:p w14:paraId="1E7C2FA7">
            <w:pPr>
              <w:keepNext w:val="0"/>
              <w:keepLines w:val="0"/>
              <w:pageBreakBefore w:val="0"/>
              <w:widowControl w:val="0"/>
              <w:kinsoku/>
              <w:wordWrap/>
              <w:overflowPunct w:val="0"/>
              <w:topLinePunct w:val="0"/>
              <w:autoSpaceDE/>
              <w:autoSpaceDN/>
              <w:bidi w:val="0"/>
              <w:adjustRightInd/>
              <w:snapToGrid/>
              <w:spacing w:line="20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处8万元以上10万元以下的罚款。</w:t>
            </w:r>
          </w:p>
        </w:tc>
      </w:tr>
      <w:tr w14:paraId="5603D2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176E803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1</w:t>
            </w:r>
            <w:del w:id="2654" w:author="LV" w:date="2026-07-14T16:55:46Z">
              <w:r>
                <w:rPr>
                  <w:rFonts w:hint="default" w:ascii="仿宋_GB2312" w:hAnsi="宋体" w:eastAsia="仿宋_GB2312" w:cs="仿宋_GB2312"/>
                  <w:kern w:val="0"/>
                  <w:sz w:val="18"/>
                  <w:szCs w:val="18"/>
                  <w:lang w:val="en-US" w:bidi="ar"/>
                </w:rPr>
                <w:delText>2</w:delText>
              </w:r>
            </w:del>
            <w:del w:id="2655" w:author="LV" w:date="2026-07-14T16:55:46Z">
              <w:r>
                <w:rPr>
                  <w:rFonts w:hint="default" w:ascii="仿宋_GB2312" w:hAnsi="宋体" w:eastAsia="仿宋_GB2312" w:cs="仿宋_GB2312"/>
                  <w:kern w:val="0"/>
                  <w:sz w:val="18"/>
                  <w:szCs w:val="18"/>
                  <w:lang w:val="en-US" w:eastAsia="zh-CN" w:bidi="ar"/>
                </w:rPr>
                <w:delText>9</w:delText>
              </w:r>
            </w:del>
            <w:ins w:id="2656" w:author="LV" w:date="2026-07-14T16:55:46Z">
              <w:r>
                <w:rPr>
                  <w:rFonts w:hint="eastAsia" w:ascii="仿宋_GB2312" w:hAnsi="宋体" w:eastAsia="仿宋_GB2312" w:cs="仿宋_GB2312"/>
                  <w:kern w:val="0"/>
                  <w:sz w:val="18"/>
                  <w:szCs w:val="18"/>
                  <w:lang w:val="en-US" w:eastAsia="zh-CN" w:bidi="ar"/>
                </w:rPr>
                <w:t>38</w:t>
              </w:r>
            </w:ins>
          </w:p>
        </w:tc>
        <w:tc>
          <w:tcPr>
            <w:tcW w:w="1005" w:type="dxa"/>
            <w:vMerge w:val="restart"/>
            <w:tcBorders>
              <w:tl2br w:val="nil"/>
              <w:tr2bl w:val="nil"/>
            </w:tcBorders>
            <w:shd w:val="clear" w:color="auto" w:fill="auto"/>
            <w:tcMar>
              <w:top w:w="15" w:type="dxa"/>
              <w:left w:w="15" w:type="dxa"/>
              <w:right w:w="15" w:type="dxa"/>
            </w:tcMar>
            <w:vAlign w:val="center"/>
          </w:tcPr>
          <w:p w14:paraId="6A6056F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煤矿企业未按照规定进行定期排查或者专项排查，逾期未改正的</w:t>
            </w:r>
          </w:p>
        </w:tc>
        <w:tc>
          <w:tcPr>
            <w:tcW w:w="3667" w:type="dxa"/>
            <w:vMerge w:val="restart"/>
            <w:tcBorders>
              <w:tl2br w:val="nil"/>
              <w:tr2bl w:val="nil"/>
            </w:tcBorders>
            <w:shd w:val="clear" w:color="auto" w:fill="auto"/>
            <w:tcMar>
              <w:top w:w="15" w:type="dxa"/>
              <w:left w:w="15" w:type="dxa"/>
              <w:right w:w="15" w:type="dxa"/>
            </w:tcMar>
            <w:vAlign w:val="center"/>
          </w:tcPr>
          <w:p w14:paraId="492B4D5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《山东省生产安全事故隐患排查治理办法》</w:t>
            </w:r>
          </w:p>
          <w:p w14:paraId="37D42F7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第十四条 生产经营单位应当根据本单位生产经营特点，对下列事项进行定期排查：（一）事故隐患排查治理制度的制定和落实情况；（二）安全生产教育和培训情况；（三）特种作业人员持证上岗情况；（四）生产装置和安全设施、设备运行状况以及日常维护、保养、检验、检测情况；（五）有较大危险因素的场</w:t>
            </w:r>
          </w:p>
          <w:p w14:paraId="3B2DAF0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所和危险作业的安全管理情况；（六）劳动防护用品的配备和佩戴使用情况；（七）重大危险源管控情况；（八）应急救援预案制定、演练和应急救援物资配备情况；（九）其他应当进行定期排查的事项。</w:t>
            </w:r>
          </w:p>
          <w:p w14:paraId="19EA47F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第十五条 有下列情形之一的，生产经营单位应当进行专项排查：（一）有关安全生产标准、规程发布或者修改的；（二）新建、改建、扩建工程项目试生产的；（三）复工复产、化工装置开停车的；（四）周边环境、作业条件、设备设施、工艺技术发生改变的；（五）发生事故或者险情的；（六）其他应当进行专项排查的情形。</w:t>
            </w:r>
          </w:p>
        </w:tc>
        <w:tc>
          <w:tcPr>
            <w:tcW w:w="4082" w:type="dxa"/>
            <w:vMerge w:val="restart"/>
            <w:tcBorders>
              <w:tl2br w:val="nil"/>
              <w:tr2bl w:val="nil"/>
            </w:tcBorders>
            <w:shd w:val="clear" w:color="auto" w:fill="auto"/>
            <w:tcMar>
              <w:top w:w="15" w:type="dxa"/>
              <w:left w:w="15" w:type="dxa"/>
              <w:right w:w="15" w:type="dxa"/>
            </w:tcMar>
            <w:vAlign w:val="center"/>
          </w:tcPr>
          <w:p w14:paraId="6ED386D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《山东省生产安全事故隐患排查治理办法》第三十五条 违反本办法，生产经营单位未按照规定进行定期排查或者专项排查的，责令限期改正，处3万元以上10万元以下的罚款；逾期未改正的，处10万元以上20万元以下的罚款，对其直接负责的主管人员和其他直接责任人员处2万元以上5万元以下的罚款；构成犯罪的，依法追究刑事责任。</w:t>
            </w:r>
          </w:p>
        </w:tc>
        <w:tc>
          <w:tcPr>
            <w:tcW w:w="459" w:type="dxa"/>
            <w:tcBorders>
              <w:tl2br w:val="nil"/>
              <w:tr2bl w:val="nil"/>
            </w:tcBorders>
            <w:shd w:val="clear" w:color="auto" w:fill="auto"/>
            <w:noWrap/>
            <w:tcMar>
              <w:top w:w="15" w:type="dxa"/>
              <w:left w:w="15" w:type="dxa"/>
              <w:right w:w="15" w:type="dxa"/>
            </w:tcMar>
            <w:vAlign w:val="center"/>
          </w:tcPr>
          <w:p w14:paraId="7DF4419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3B96F1B1">
            <w:pPr>
              <w:keepNext w:val="0"/>
              <w:keepLines w:val="0"/>
              <w:pageBreakBefore w:val="0"/>
              <w:widowControl w:val="0"/>
              <w:kinsoku/>
              <w:wordWrap/>
              <w:overflowPunct w:val="0"/>
              <w:topLinePunct w:val="0"/>
              <w:autoSpaceDE/>
              <w:autoSpaceDN/>
              <w:bidi w:val="0"/>
              <w:adjustRightInd/>
              <w:snapToGrid/>
              <w:spacing w:line="20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1D3E3129">
            <w:pPr>
              <w:keepNext w:val="0"/>
              <w:keepLines w:val="0"/>
              <w:pageBreakBefore w:val="0"/>
              <w:widowControl w:val="0"/>
              <w:kinsoku/>
              <w:wordWrap/>
              <w:overflowPunct w:val="0"/>
              <w:topLinePunct w:val="0"/>
              <w:autoSpaceDE/>
              <w:autoSpaceDN/>
              <w:bidi w:val="0"/>
              <w:adjustRightInd/>
              <w:snapToGrid/>
              <w:spacing w:line="200" w:lineRule="exact"/>
              <w:ind w:left="0" w:leftChars="0" w:right="0" w:rightChars="0" w:firstLine="0" w:firstLineChars="0"/>
              <w:jc w:val="center"/>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784896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C6D835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695B45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0016CF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92E032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D6C681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328289CD">
            <w:pPr>
              <w:keepNext w:val="0"/>
              <w:keepLines w:val="0"/>
              <w:pageBreakBefore w:val="0"/>
              <w:widowControl w:val="0"/>
              <w:kinsoku/>
              <w:wordWrap/>
              <w:overflowPunct w:val="0"/>
              <w:topLinePunct w:val="0"/>
              <w:autoSpaceDE/>
              <w:autoSpaceDN/>
              <w:bidi w:val="0"/>
              <w:adjustRightInd/>
              <w:snapToGrid/>
              <w:spacing w:line="20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72E46D5A">
            <w:pPr>
              <w:keepNext w:val="0"/>
              <w:keepLines w:val="0"/>
              <w:pageBreakBefore w:val="0"/>
              <w:widowControl w:val="0"/>
              <w:kinsoku/>
              <w:wordWrap/>
              <w:overflowPunct w:val="0"/>
              <w:topLinePunct w:val="0"/>
              <w:autoSpaceDE/>
              <w:autoSpaceDN/>
              <w:bidi w:val="0"/>
              <w:adjustRightInd/>
              <w:snapToGrid/>
              <w:spacing w:line="200" w:lineRule="exact"/>
              <w:ind w:left="0" w:leftChars="0" w:right="0" w:rightChars="0" w:firstLine="0" w:firstLineChars="0"/>
              <w:jc w:val="center"/>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7D8BDA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935431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710BB1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9764F3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3EC041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EED15A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1FC38A60">
            <w:pPr>
              <w:keepNext w:val="0"/>
              <w:keepLines w:val="0"/>
              <w:pageBreakBefore w:val="0"/>
              <w:widowControl w:val="0"/>
              <w:kinsoku/>
              <w:wordWrap/>
              <w:overflowPunct w:val="0"/>
              <w:topLinePunct w:val="0"/>
              <w:autoSpaceDE/>
              <w:autoSpaceDN/>
              <w:bidi w:val="0"/>
              <w:adjustRightInd/>
              <w:snapToGrid/>
              <w:spacing w:line="20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B84145A">
            <w:pPr>
              <w:keepNext w:val="0"/>
              <w:keepLines w:val="0"/>
              <w:pageBreakBefore w:val="0"/>
              <w:widowControl w:val="0"/>
              <w:kinsoku/>
              <w:wordWrap/>
              <w:overflowPunct w:val="0"/>
              <w:topLinePunct w:val="0"/>
              <w:autoSpaceDE/>
              <w:autoSpaceDN/>
              <w:bidi w:val="0"/>
              <w:adjustRightInd/>
              <w:snapToGrid/>
              <w:spacing w:line="200" w:lineRule="exact"/>
              <w:ind w:left="0" w:leftChars="0" w:right="0" w:rightChars="0" w:firstLine="0" w:firstLineChars="0"/>
              <w:jc w:val="center"/>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1E8412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BC1C17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09415C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D95C29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4F5F74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B5BF22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102FE974">
            <w:pPr>
              <w:keepNext w:val="0"/>
              <w:keepLines w:val="0"/>
              <w:pageBreakBefore w:val="0"/>
              <w:widowControl w:val="0"/>
              <w:kinsoku/>
              <w:wordWrap/>
              <w:overflowPunct w:val="0"/>
              <w:topLinePunct w:val="0"/>
              <w:autoSpaceDE/>
              <w:autoSpaceDN/>
              <w:bidi w:val="0"/>
              <w:adjustRightInd/>
              <w:snapToGrid/>
              <w:spacing w:line="20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逾期未按照规定进行定期排查的。</w:t>
            </w:r>
          </w:p>
        </w:tc>
        <w:tc>
          <w:tcPr>
            <w:tcW w:w="2655" w:type="dxa"/>
            <w:tcBorders>
              <w:tl2br w:val="nil"/>
              <w:tr2bl w:val="nil"/>
            </w:tcBorders>
            <w:shd w:val="clear" w:color="auto" w:fill="auto"/>
            <w:tcMar>
              <w:top w:w="15" w:type="dxa"/>
              <w:left w:w="15" w:type="dxa"/>
              <w:right w:w="15" w:type="dxa"/>
            </w:tcMar>
            <w:vAlign w:val="center"/>
          </w:tcPr>
          <w:p w14:paraId="4D3A6F16">
            <w:pPr>
              <w:keepNext w:val="0"/>
              <w:keepLines w:val="0"/>
              <w:pageBreakBefore w:val="0"/>
              <w:widowControl w:val="0"/>
              <w:kinsoku/>
              <w:wordWrap/>
              <w:overflowPunct w:val="0"/>
              <w:topLinePunct w:val="0"/>
              <w:autoSpaceDE/>
              <w:autoSpaceDN/>
              <w:bidi w:val="0"/>
              <w:adjustRightInd/>
              <w:snapToGrid/>
              <w:spacing w:line="20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处10万元以上13万元以下的罚款，对其直接负责的主管人员和其他直接责任人员处2万元以上3万元以下的罚款。</w:t>
            </w:r>
          </w:p>
        </w:tc>
      </w:tr>
      <w:tr w14:paraId="0DF524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9954AE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F0AD9A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18A1B9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B90C3B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D1F53F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4B30B55E">
            <w:pPr>
              <w:keepNext w:val="0"/>
              <w:keepLines w:val="0"/>
              <w:pageBreakBefore w:val="0"/>
              <w:widowControl w:val="0"/>
              <w:kinsoku/>
              <w:wordWrap/>
              <w:overflowPunct w:val="0"/>
              <w:topLinePunct w:val="0"/>
              <w:autoSpaceDE/>
              <w:autoSpaceDN/>
              <w:bidi w:val="0"/>
              <w:adjustRightInd/>
              <w:snapToGrid/>
              <w:spacing w:line="20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逾期未按照规定进行专项排查的。</w:t>
            </w:r>
          </w:p>
        </w:tc>
        <w:tc>
          <w:tcPr>
            <w:tcW w:w="2655" w:type="dxa"/>
            <w:tcBorders>
              <w:tl2br w:val="nil"/>
              <w:tr2bl w:val="nil"/>
            </w:tcBorders>
            <w:shd w:val="clear" w:color="auto" w:fill="auto"/>
            <w:tcMar>
              <w:top w:w="15" w:type="dxa"/>
              <w:left w:w="15" w:type="dxa"/>
              <w:right w:w="15" w:type="dxa"/>
            </w:tcMar>
            <w:vAlign w:val="center"/>
          </w:tcPr>
          <w:p w14:paraId="7A336D6B">
            <w:pPr>
              <w:keepNext w:val="0"/>
              <w:keepLines w:val="0"/>
              <w:pageBreakBefore w:val="0"/>
              <w:widowControl w:val="0"/>
              <w:kinsoku/>
              <w:wordWrap/>
              <w:overflowPunct w:val="0"/>
              <w:topLinePunct w:val="0"/>
              <w:autoSpaceDE/>
              <w:autoSpaceDN/>
              <w:bidi w:val="0"/>
              <w:adjustRightInd/>
              <w:snapToGrid/>
              <w:spacing w:line="20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处13万元以上17万元以下的罚款，对其直接负责的主管人员和其他直接责任人员处3万元以上4万元以下的罚款。</w:t>
            </w:r>
          </w:p>
        </w:tc>
      </w:tr>
      <w:tr w14:paraId="0E3F70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26DF96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2E3FF2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608040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19FA1D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C7A317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4B45B45E">
            <w:pPr>
              <w:keepNext w:val="0"/>
              <w:keepLines w:val="0"/>
              <w:pageBreakBefore w:val="0"/>
              <w:widowControl w:val="0"/>
              <w:kinsoku/>
              <w:wordWrap/>
              <w:overflowPunct w:val="0"/>
              <w:topLinePunct w:val="0"/>
              <w:autoSpaceDE/>
              <w:autoSpaceDN/>
              <w:bidi w:val="0"/>
              <w:adjustRightInd/>
              <w:snapToGrid/>
              <w:spacing w:line="20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逾期未按照规定进行定期排查，也未按照规定进行专项排查的。</w:t>
            </w:r>
          </w:p>
        </w:tc>
        <w:tc>
          <w:tcPr>
            <w:tcW w:w="2655" w:type="dxa"/>
            <w:tcBorders>
              <w:tl2br w:val="nil"/>
              <w:tr2bl w:val="nil"/>
            </w:tcBorders>
            <w:shd w:val="clear" w:color="auto" w:fill="auto"/>
            <w:tcMar>
              <w:top w:w="15" w:type="dxa"/>
              <w:left w:w="15" w:type="dxa"/>
              <w:right w:w="15" w:type="dxa"/>
            </w:tcMar>
            <w:vAlign w:val="center"/>
          </w:tcPr>
          <w:p w14:paraId="2A6EF54B">
            <w:pPr>
              <w:keepNext w:val="0"/>
              <w:keepLines w:val="0"/>
              <w:pageBreakBefore w:val="0"/>
              <w:widowControl w:val="0"/>
              <w:kinsoku/>
              <w:wordWrap/>
              <w:overflowPunct w:val="0"/>
              <w:topLinePunct w:val="0"/>
              <w:autoSpaceDE/>
              <w:autoSpaceDN/>
              <w:bidi w:val="0"/>
              <w:adjustRightInd/>
              <w:snapToGrid/>
              <w:spacing w:line="20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处17万元以上20万元以下的罚款，对其直接负责的主管人员和其他直接责任人员处4万元以上5万元以下的罚款。</w:t>
            </w:r>
          </w:p>
        </w:tc>
      </w:tr>
      <w:tr w14:paraId="77058C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04DF55B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1</w:t>
            </w:r>
            <w:r>
              <w:rPr>
                <w:rFonts w:hint="eastAsia" w:ascii="仿宋_GB2312" w:hAnsi="宋体" w:eastAsia="仿宋_GB2312" w:cs="仿宋_GB2312"/>
                <w:kern w:val="0"/>
                <w:sz w:val="18"/>
                <w:szCs w:val="18"/>
                <w:lang w:val="en-US" w:eastAsia="zh-CN" w:bidi="ar"/>
              </w:rPr>
              <w:t>3</w:t>
            </w:r>
            <w:del w:id="2657" w:author="LV" w:date="2026-07-14T16:56:17Z">
              <w:r>
                <w:rPr>
                  <w:rFonts w:hint="default" w:ascii="仿宋_GB2312" w:hAnsi="宋体" w:eastAsia="仿宋_GB2312" w:cs="仿宋_GB2312"/>
                  <w:kern w:val="0"/>
                  <w:sz w:val="18"/>
                  <w:szCs w:val="18"/>
                  <w:lang w:val="en-US" w:eastAsia="zh-CN" w:bidi="ar"/>
                </w:rPr>
                <w:delText>0</w:delText>
              </w:r>
            </w:del>
            <w:ins w:id="2658" w:author="LV" w:date="2026-07-14T16:56:17Z">
              <w:r>
                <w:rPr>
                  <w:rFonts w:hint="eastAsia" w:ascii="仿宋_GB2312" w:hAnsi="宋体" w:eastAsia="仿宋_GB2312" w:cs="仿宋_GB2312"/>
                  <w:kern w:val="0"/>
                  <w:sz w:val="18"/>
                  <w:szCs w:val="18"/>
                  <w:lang w:val="en-US" w:eastAsia="zh-CN" w:bidi="ar"/>
                </w:rPr>
                <w:t>9</w:t>
              </w:r>
            </w:ins>
          </w:p>
        </w:tc>
        <w:tc>
          <w:tcPr>
            <w:tcW w:w="1005" w:type="dxa"/>
            <w:vMerge w:val="restart"/>
            <w:tcBorders>
              <w:tl2br w:val="nil"/>
              <w:tr2bl w:val="nil"/>
            </w:tcBorders>
            <w:shd w:val="clear" w:color="auto" w:fill="auto"/>
            <w:tcMar>
              <w:top w:w="15" w:type="dxa"/>
              <w:left w:w="15" w:type="dxa"/>
              <w:right w:w="15" w:type="dxa"/>
            </w:tcMar>
            <w:vAlign w:val="center"/>
          </w:tcPr>
          <w:p w14:paraId="5A0E848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煤矿企业未按照规定报告事故隐患的</w:t>
            </w:r>
          </w:p>
        </w:tc>
        <w:tc>
          <w:tcPr>
            <w:tcW w:w="3667" w:type="dxa"/>
            <w:vMerge w:val="restart"/>
            <w:tcBorders>
              <w:tl2br w:val="nil"/>
              <w:tr2bl w:val="nil"/>
            </w:tcBorders>
            <w:shd w:val="clear" w:color="auto" w:fill="auto"/>
            <w:tcMar>
              <w:top w:w="15" w:type="dxa"/>
              <w:left w:w="15" w:type="dxa"/>
              <w:right w:w="15" w:type="dxa"/>
            </w:tcMar>
            <w:vAlign w:val="center"/>
          </w:tcPr>
          <w:p w14:paraId="16EF480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《山东省生产安全事故隐患排查治理办法》</w:t>
            </w:r>
          </w:p>
          <w:p w14:paraId="4033EBF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第二十条 有下列情形之一的，生产经营单位应当及时向所在地人民政府及负有安全生产监督管理职责的部门报告：（一）事故隐患无法及时消除并涉及相邻地区、单位，或者可能危及公共安全的；（二）因其他单位的原因造成或者可能造成事故隐患的。必要时，生产经营单位应当立即通知相邻地区和有关单位，并在现场设置安全警示标志。</w:t>
            </w:r>
          </w:p>
          <w:p w14:paraId="46C423E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第二十一条 对重大事故隐患，生产经营单位应当按照规定立即向县级以上安全生产委员会办公室报告，并可以直报省人民政府安全生产委员会办公室。重大事故隐患的治理方案、治理结果等情况应当及时向所在地负有安全生产监督管理职责的部门报告。</w:t>
            </w:r>
          </w:p>
        </w:tc>
        <w:tc>
          <w:tcPr>
            <w:tcW w:w="4082" w:type="dxa"/>
            <w:vMerge w:val="restart"/>
            <w:tcBorders>
              <w:tl2br w:val="nil"/>
              <w:tr2bl w:val="nil"/>
            </w:tcBorders>
            <w:shd w:val="clear" w:color="auto" w:fill="auto"/>
            <w:tcMar>
              <w:top w:w="15" w:type="dxa"/>
              <w:left w:w="15" w:type="dxa"/>
              <w:right w:w="15" w:type="dxa"/>
            </w:tcMar>
            <w:vAlign w:val="center"/>
          </w:tcPr>
          <w:p w14:paraId="171F5A4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《山东省生产安全事故隐患排查治理办法》第三十六条 违反本办法，生产经营单位未按照规定报告事故隐患的，处1万元以上3万元以下的罚款；情节严重的，处3万元以上10万元以下的罚款，对其主要负责人、直接负责的主管人员和其他直接责任人员处2万元以上5万元以下的罚款；构成犯罪的，依法追究刑事责任。</w:t>
            </w:r>
          </w:p>
        </w:tc>
        <w:tc>
          <w:tcPr>
            <w:tcW w:w="459" w:type="dxa"/>
            <w:tcBorders>
              <w:tl2br w:val="nil"/>
              <w:tr2bl w:val="nil"/>
            </w:tcBorders>
            <w:shd w:val="clear" w:color="auto" w:fill="auto"/>
            <w:noWrap/>
            <w:tcMar>
              <w:top w:w="15" w:type="dxa"/>
              <w:left w:w="15" w:type="dxa"/>
              <w:right w:w="15" w:type="dxa"/>
            </w:tcMar>
            <w:vAlign w:val="center"/>
          </w:tcPr>
          <w:p w14:paraId="2960B56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4DF6D3C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123D0C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5E53E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CB2DF3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8D78CB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379602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D5EAD6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515E15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79C4430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26439F8D">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F8B42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FA7666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506018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B462C3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862F5F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B21C99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0957711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77AB072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835D2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D6CDCE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9B9A7B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0D889B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5E4806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303A56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0A9BCA1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未按照规定报告4处以下一般事故隐患或1处重大事故隐患的。</w:t>
            </w:r>
          </w:p>
        </w:tc>
        <w:tc>
          <w:tcPr>
            <w:tcW w:w="2655" w:type="dxa"/>
            <w:tcBorders>
              <w:tl2br w:val="nil"/>
              <w:tr2bl w:val="nil"/>
            </w:tcBorders>
            <w:shd w:val="clear" w:color="auto" w:fill="auto"/>
            <w:tcMar>
              <w:top w:w="15" w:type="dxa"/>
              <w:left w:w="15" w:type="dxa"/>
              <w:right w:w="15" w:type="dxa"/>
            </w:tcMar>
            <w:vAlign w:val="center"/>
          </w:tcPr>
          <w:p w14:paraId="2366A19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处1万元以上3万元以下的罚款。</w:t>
            </w:r>
          </w:p>
        </w:tc>
      </w:tr>
      <w:tr w14:paraId="3C9A29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C2CD8E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0601C2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6472AE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1595B8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51DB68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645334F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未按照规报告4处以上7处以下一般事故隐患或2处重大事故隐患的。</w:t>
            </w:r>
          </w:p>
        </w:tc>
        <w:tc>
          <w:tcPr>
            <w:tcW w:w="2655" w:type="dxa"/>
            <w:tcBorders>
              <w:tl2br w:val="nil"/>
              <w:tr2bl w:val="nil"/>
            </w:tcBorders>
            <w:shd w:val="clear" w:color="auto" w:fill="auto"/>
            <w:tcMar>
              <w:top w:w="15" w:type="dxa"/>
              <w:left w:w="15" w:type="dxa"/>
              <w:right w:w="15" w:type="dxa"/>
            </w:tcMar>
            <w:vAlign w:val="center"/>
          </w:tcPr>
          <w:p w14:paraId="1758E4D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处3万元以上7万元以下的罚款，对其主要负责人、直接负责的主管人员和其他直接责任人员处2万元以上4万元以下的罚款。</w:t>
            </w:r>
          </w:p>
        </w:tc>
      </w:tr>
      <w:tr w14:paraId="5C38B0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0D1324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4073DE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1A58E3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3C6F75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74FC36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099B828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未按照规定报告7处以上一般事故隐患或3处以上重大事故隐患的。</w:t>
            </w:r>
          </w:p>
        </w:tc>
        <w:tc>
          <w:tcPr>
            <w:tcW w:w="2655" w:type="dxa"/>
            <w:tcBorders>
              <w:tl2br w:val="nil"/>
              <w:tr2bl w:val="nil"/>
            </w:tcBorders>
            <w:shd w:val="clear" w:color="auto" w:fill="auto"/>
            <w:tcMar>
              <w:top w:w="15" w:type="dxa"/>
              <w:left w:w="15" w:type="dxa"/>
              <w:right w:w="15" w:type="dxa"/>
            </w:tcMar>
            <w:vAlign w:val="center"/>
          </w:tcPr>
          <w:p w14:paraId="0981921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处7万元以上10万元以下的罚款，对其主要负责人、直接负责的主管人员和其他直接责任人员处4万元以上5万元以下的罚款。</w:t>
            </w:r>
          </w:p>
        </w:tc>
      </w:tr>
      <w:tr w14:paraId="61F472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del w:id="2659" w:author="LV" w:date="2026-07-14T16:56:27Z"/>
        </w:trPr>
        <w:tc>
          <w:tcPr>
            <w:tcW w:w="418" w:type="dxa"/>
            <w:vMerge w:val="restart"/>
            <w:tcBorders>
              <w:tl2br w:val="nil"/>
              <w:tr2bl w:val="nil"/>
            </w:tcBorders>
            <w:shd w:val="clear" w:color="auto" w:fill="auto"/>
            <w:noWrap/>
            <w:tcMar>
              <w:top w:w="15" w:type="dxa"/>
              <w:left w:w="15" w:type="dxa"/>
              <w:right w:w="15" w:type="dxa"/>
            </w:tcMar>
            <w:vAlign w:val="center"/>
          </w:tcPr>
          <w:p w14:paraId="56A381B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del w:id="2660" w:author="LV" w:date="2026-07-14T16:56:27Z"/>
                <w:rFonts w:hint="eastAsia" w:ascii="仿宋_GB2312" w:hAnsi="宋体" w:eastAsia="仿宋_GB2312" w:cs="仿宋_GB2312"/>
                <w:sz w:val="18"/>
                <w:szCs w:val="18"/>
                <w:lang w:eastAsia="zh-CN"/>
              </w:rPr>
            </w:pPr>
            <w:del w:id="2661" w:author="LV" w:date="2026-07-14T16:56:27Z">
              <w:r>
                <w:rPr>
                  <w:rFonts w:hint="eastAsia" w:ascii="仿宋_GB2312" w:hAnsi="宋体" w:eastAsia="仿宋_GB2312" w:cs="仿宋_GB2312"/>
                  <w:kern w:val="0"/>
                  <w:sz w:val="18"/>
                  <w:szCs w:val="18"/>
                  <w:lang w:bidi="ar"/>
                </w:rPr>
                <w:delText>13</w:delText>
              </w:r>
            </w:del>
            <w:del w:id="2662" w:author="LV" w:date="2026-07-14T16:56:27Z">
              <w:r>
                <w:rPr>
                  <w:rFonts w:hint="eastAsia" w:ascii="仿宋_GB2312" w:hAnsi="宋体" w:eastAsia="仿宋_GB2312" w:cs="仿宋_GB2312"/>
                  <w:kern w:val="0"/>
                  <w:sz w:val="18"/>
                  <w:szCs w:val="18"/>
                  <w:lang w:val="en-US" w:eastAsia="zh-CN" w:bidi="ar"/>
                </w:rPr>
                <w:delText>1</w:delText>
              </w:r>
            </w:del>
          </w:p>
        </w:tc>
        <w:tc>
          <w:tcPr>
            <w:tcW w:w="1005" w:type="dxa"/>
            <w:vMerge w:val="restart"/>
            <w:tcBorders>
              <w:tl2br w:val="nil"/>
              <w:tr2bl w:val="nil"/>
            </w:tcBorders>
            <w:shd w:val="clear" w:color="auto" w:fill="auto"/>
            <w:tcMar>
              <w:top w:w="15" w:type="dxa"/>
              <w:left w:w="15" w:type="dxa"/>
              <w:right w:w="15" w:type="dxa"/>
            </w:tcMar>
            <w:vAlign w:val="center"/>
          </w:tcPr>
          <w:p w14:paraId="60D042AE">
            <w:pPr>
              <w:keepNext w:val="0"/>
              <w:keepLines w:val="0"/>
              <w:pageBreakBefore w:val="0"/>
              <w:widowControl w:val="0"/>
              <w:kinsoku/>
              <w:wordWrap/>
              <w:overflowPunct w:val="0"/>
              <w:topLinePunct w:val="0"/>
              <w:autoSpaceDE/>
              <w:autoSpaceDN/>
              <w:bidi w:val="0"/>
              <w:adjustRightInd/>
              <w:snapToGrid/>
              <w:spacing w:line="280" w:lineRule="exact"/>
              <w:textAlignment w:val="center"/>
              <w:rPr>
                <w:del w:id="2663" w:author="LV" w:date="2026-07-14T16:56:27Z"/>
                <w:rFonts w:ascii="仿宋_GB2312" w:hAnsi="宋体" w:eastAsia="仿宋_GB2312" w:cs="仿宋_GB2312"/>
                <w:sz w:val="18"/>
                <w:szCs w:val="18"/>
              </w:rPr>
            </w:pPr>
            <w:del w:id="2664" w:author="LV" w:date="2026-07-14T16:56:27Z">
              <w:r>
                <w:rPr>
                  <w:rFonts w:hint="eastAsia" w:ascii="仿宋_GB2312" w:hAnsi="宋体" w:eastAsia="仿宋_GB2312" w:cs="仿宋_GB2312"/>
                  <w:kern w:val="0"/>
                  <w:sz w:val="18"/>
                  <w:szCs w:val="18"/>
                  <w:lang w:val="en-US" w:eastAsia="zh-CN" w:bidi="ar"/>
                </w:rPr>
                <w:delText>与31条合并</w:delText>
              </w:r>
            </w:del>
          </w:p>
        </w:tc>
        <w:tc>
          <w:tcPr>
            <w:tcW w:w="3667" w:type="dxa"/>
            <w:vMerge w:val="restart"/>
            <w:tcBorders>
              <w:tl2br w:val="nil"/>
              <w:tr2bl w:val="nil"/>
            </w:tcBorders>
            <w:shd w:val="clear" w:color="auto" w:fill="auto"/>
            <w:tcMar>
              <w:top w:w="15" w:type="dxa"/>
              <w:left w:w="15" w:type="dxa"/>
              <w:right w:w="15" w:type="dxa"/>
            </w:tcMar>
            <w:vAlign w:val="center"/>
          </w:tcPr>
          <w:p w14:paraId="04A178F5">
            <w:pPr>
              <w:keepNext w:val="0"/>
              <w:keepLines w:val="0"/>
              <w:pageBreakBefore w:val="0"/>
              <w:widowControl w:val="0"/>
              <w:kinsoku/>
              <w:wordWrap/>
              <w:overflowPunct w:val="0"/>
              <w:topLinePunct w:val="0"/>
              <w:autoSpaceDE/>
              <w:autoSpaceDN/>
              <w:bidi w:val="0"/>
              <w:adjustRightInd/>
              <w:snapToGrid/>
              <w:spacing w:line="240" w:lineRule="exact"/>
              <w:textAlignment w:val="center"/>
              <w:rPr>
                <w:del w:id="2665" w:author="LV" w:date="2026-07-14T16:56:27Z"/>
                <w:rFonts w:ascii="仿宋_GB2312" w:hAnsi="宋体" w:eastAsia="仿宋_GB2312" w:cs="仿宋_GB2312"/>
                <w:sz w:val="18"/>
                <w:szCs w:val="18"/>
              </w:rPr>
            </w:pPr>
          </w:p>
        </w:tc>
        <w:tc>
          <w:tcPr>
            <w:tcW w:w="4082" w:type="dxa"/>
            <w:vMerge w:val="restart"/>
            <w:tcBorders>
              <w:tl2br w:val="nil"/>
              <w:tr2bl w:val="nil"/>
            </w:tcBorders>
            <w:shd w:val="clear" w:color="auto" w:fill="auto"/>
            <w:tcMar>
              <w:top w:w="15" w:type="dxa"/>
              <w:left w:w="15" w:type="dxa"/>
              <w:right w:w="15" w:type="dxa"/>
            </w:tcMar>
            <w:vAlign w:val="center"/>
          </w:tcPr>
          <w:p w14:paraId="77D4B2C5">
            <w:pPr>
              <w:keepNext w:val="0"/>
              <w:keepLines w:val="0"/>
              <w:pageBreakBefore w:val="0"/>
              <w:widowControl w:val="0"/>
              <w:kinsoku/>
              <w:wordWrap/>
              <w:overflowPunct w:val="0"/>
              <w:topLinePunct w:val="0"/>
              <w:autoSpaceDE/>
              <w:autoSpaceDN/>
              <w:bidi w:val="0"/>
              <w:adjustRightInd/>
              <w:snapToGrid/>
              <w:spacing w:line="280" w:lineRule="exact"/>
              <w:textAlignment w:val="center"/>
              <w:rPr>
                <w:del w:id="2666" w:author="LV" w:date="2026-07-14T16:56:27Z"/>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0F8A3D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del w:id="2667" w:author="LV" w:date="2026-07-14T16:56:27Z"/>
                <w:rFonts w:ascii="仿宋_GB2312" w:hAnsi="宋体" w:eastAsia="仿宋_GB2312" w:cs="仿宋_GB2312"/>
                <w:sz w:val="18"/>
                <w:szCs w:val="18"/>
              </w:rPr>
            </w:pPr>
          </w:p>
        </w:tc>
        <w:tc>
          <w:tcPr>
            <w:tcW w:w="1829" w:type="dxa"/>
            <w:tcBorders>
              <w:tl2br w:val="nil"/>
              <w:tr2bl w:val="nil"/>
            </w:tcBorders>
            <w:shd w:val="clear" w:color="auto" w:fill="auto"/>
            <w:tcMar>
              <w:top w:w="15" w:type="dxa"/>
              <w:left w:w="15" w:type="dxa"/>
              <w:right w:w="15" w:type="dxa"/>
            </w:tcMar>
            <w:vAlign w:val="center"/>
          </w:tcPr>
          <w:p w14:paraId="0CF3C025">
            <w:pPr>
              <w:keepNext w:val="0"/>
              <w:keepLines w:val="0"/>
              <w:pageBreakBefore w:val="0"/>
              <w:widowControl w:val="0"/>
              <w:kinsoku/>
              <w:wordWrap/>
              <w:overflowPunct w:val="0"/>
              <w:topLinePunct w:val="0"/>
              <w:autoSpaceDE/>
              <w:autoSpaceDN/>
              <w:bidi w:val="0"/>
              <w:adjustRightInd/>
              <w:snapToGrid/>
              <w:spacing w:line="280" w:lineRule="exact"/>
              <w:textAlignment w:val="center"/>
              <w:rPr>
                <w:del w:id="2668" w:author="LV" w:date="2026-07-14T16:56:27Z"/>
                <w:rFonts w:ascii="仿宋_GB2312" w:hAnsi="宋体" w:eastAsia="仿宋_GB2312" w:cs="仿宋_GB2312"/>
                <w:sz w:val="18"/>
                <w:szCs w:val="18"/>
              </w:rPr>
            </w:pPr>
          </w:p>
        </w:tc>
        <w:tc>
          <w:tcPr>
            <w:tcW w:w="2655" w:type="dxa"/>
            <w:tcBorders>
              <w:tl2br w:val="nil"/>
              <w:tr2bl w:val="nil"/>
            </w:tcBorders>
            <w:shd w:val="clear" w:color="auto" w:fill="auto"/>
            <w:tcMar>
              <w:top w:w="15" w:type="dxa"/>
              <w:left w:w="15" w:type="dxa"/>
              <w:right w:w="15" w:type="dxa"/>
            </w:tcMar>
            <w:vAlign w:val="center"/>
          </w:tcPr>
          <w:p w14:paraId="24329F63">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del w:id="2669" w:author="LV" w:date="2026-07-14T16:56:27Z"/>
                <w:rFonts w:ascii="仿宋_GB2312" w:hAnsi="宋体" w:eastAsia="仿宋_GB2312" w:cs="仿宋_GB2312"/>
                <w:sz w:val="18"/>
                <w:szCs w:val="18"/>
              </w:rPr>
            </w:pPr>
          </w:p>
        </w:tc>
      </w:tr>
      <w:tr w14:paraId="694939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del w:id="2670" w:author="LV" w:date="2026-07-14T16:56:27Z"/>
        </w:trPr>
        <w:tc>
          <w:tcPr>
            <w:tcW w:w="418" w:type="dxa"/>
            <w:vMerge w:val="continue"/>
            <w:tcBorders>
              <w:tl2br w:val="nil"/>
              <w:tr2bl w:val="nil"/>
            </w:tcBorders>
            <w:shd w:val="clear" w:color="auto" w:fill="auto"/>
            <w:noWrap/>
            <w:tcMar>
              <w:top w:w="15" w:type="dxa"/>
              <w:left w:w="15" w:type="dxa"/>
              <w:right w:w="15" w:type="dxa"/>
            </w:tcMar>
            <w:vAlign w:val="center"/>
          </w:tcPr>
          <w:p w14:paraId="5E6588E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del w:id="2671" w:author="LV" w:date="2026-07-14T16:56:27Z"/>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7EDE465">
            <w:pPr>
              <w:keepNext w:val="0"/>
              <w:keepLines w:val="0"/>
              <w:pageBreakBefore w:val="0"/>
              <w:widowControl w:val="0"/>
              <w:kinsoku/>
              <w:wordWrap/>
              <w:overflowPunct w:val="0"/>
              <w:topLinePunct w:val="0"/>
              <w:autoSpaceDE/>
              <w:autoSpaceDN/>
              <w:bidi w:val="0"/>
              <w:adjustRightInd/>
              <w:snapToGrid/>
              <w:spacing w:line="280" w:lineRule="exact"/>
              <w:rPr>
                <w:del w:id="2672" w:author="LV" w:date="2026-07-14T16:56:27Z"/>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E4212F2">
            <w:pPr>
              <w:keepNext w:val="0"/>
              <w:keepLines w:val="0"/>
              <w:pageBreakBefore w:val="0"/>
              <w:widowControl w:val="0"/>
              <w:kinsoku/>
              <w:wordWrap/>
              <w:overflowPunct w:val="0"/>
              <w:topLinePunct w:val="0"/>
              <w:autoSpaceDE/>
              <w:autoSpaceDN/>
              <w:bidi w:val="0"/>
              <w:adjustRightInd/>
              <w:snapToGrid/>
              <w:spacing w:line="280" w:lineRule="exact"/>
              <w:rPr>
                <w:del w:id="2673" w:author="LV" w:date="2026-07-14T16:56:27Z"/>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7A40F54">
            <w:pPr>
              <w:keepNext w:val="0"/>
              <w:keepLines w:val="0"/>
              <w:pageBreakBefore w:val="0"/>
              <w:widowControl w:val="0"/>
              <w:kinsoku/>
              <w:wordWrap/>
              <w:overflowPunct w:val="0"/>
              <w:topLinePunct w:val="0"/>
              <w:autoSpaceDE/>
              <w:autoSpaceDN/>
              <w:bidi w:val="0"/>
              <w:adjustRightInd/>
              <w:snapToGrid/>
              <w:spacing w:line="280" w:lineRule="exact"/>
              <w:rPr>
                <w:del w:id="2674" w:author="LV" w:date="2026-07-14T16:56:27Z"/>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76A022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del w:id="2675" w:author="LV" w:date="2026-07-14T16:56:27Z"/>
                <w:rFonts w:ascii="仿宋_GB2312" w:hAnsi="宋体" w:eastAsia="仿宋_GB2312" w:cs="仿宋_GB2312"/>
                <w:sz w:val="18"/>
                <w:szCs w:val="18"/>
              </w:rPr>
            </w:pPr>
          </w:p>
        </w:tc>
        <w:tc>
          <w:tcPr>
            <w:tcW w:w="1829" w:type="dxa"/>
            <w:tcBorders>
              <w:tl2br w:val="nil"/>
              <w:tr2bl w:val="nil"/>
            </w:tcBorders>
            <w:shd w:val="clear" w:color="auto" w:fill="auto"/>
            <w:tcMar>
              <w:top w:w="15" w:type="dxa"/>
              <w:left w:w="15" w:type="dxa"/>
              <w:right w:w="15" w:type="dxa"/>
            </w:tcMar>
            <w:vAlign w:val="center"/>
          </w:tcPr>
          <w:p w14:paraId="3731FE26">
            <w:pPr>
              <w:keepNext w:val="0"/>
              <w:keepLines w:val="0"/>
              <w:pageBreakBefore w:val="0"/>
              <w:widowControl w:val="0"/>
              <w:kinsoku/>
              <w:wordWrap/>
              <w:overflowPunct w:val="0"/>
              <w:topLinePunct w:val="0"/>
              <w:autoSpaceDE/>
              <w:autoSpaceDN/>
              <w:bidi w:val="0"/>
              <w:adjustRightInd/>
              <w:snapToGrid/>
              <w:spacing w:line="280" w:lineRule="exact"/>
              <w:textAlignment w:val="center"/>
              <w:rPr>
                <w:del w:id="2676" w:author="LV" w:date="2026-07-14T16:56:27Z"/>
                <w:rFonts w:ascii="仿宋_GB2312" w:hAnsi="宋体" w:eastAsia="仿宋_GB2312" w:cs="仿宋_GB2312"/>
                <w:sz w:val="18"/>
                <w:szCs w:val="18"/>
              </w:rPr>
            </w:pPr>
          </w:p>
        </w:tc>
        <w:tc>
          <w:tcPr>
            <w:tcW w:w="2655" w:type="dxa"/>
            <w:tcBorders>
              <w:tl2br w:val="nil"/>
              <w:tr2bl w:val="nil"/>
            </w:tcBorders>
            <w:shd w:val="clear" w:color="auto" w:fill="auto"/>
            <w:tcMar>
              <w:top w:w="15" w:type="dxa"/>
              <w:left w:w="15" w:type="dxa"/>
              <w:right w:w="15" w:type="dxa"/>
            </w:tcMar>
            <w:vAlign w:val="center"/>
          </w:tcPr>
          <w:p w14:paraId="37CA4DD6">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del w:id="2677" w:author="LV" w:date="2026-07-14T16:56:27Z"/>
                <w:rFonts w:ascii="仿宋_GB2312" w:hAnsi="宋体" w:eastAsia="仿宋_GB2312" w:cs="仿宋_GB2312"/>
                <w:sz w:val="18"/>
                <w:szCs w:val="18"/>
              </w:rPr>
            </w:pPr>
          </w:p>
        </w:tc>
      </w:tr>
      <w:tr w14:paraId="7FCAA6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del w:id="2678" w:author="LV" w:date="2026-07-14T16:56:27Z"/>
        </w:trPr>
        <w:tc>
          <w:tcPr>
            <w:tcW w:w="418" w:type="dxa"/>
            <w:vMerge w:val="continue"/>
            <w:tcBorders>
              <w:tl2br w:val="nil"/>
              <w:tr2bl w:val="nil"/>
            </w:tcBorders>
            <w:shd w:val="clear" w:color="auto" w:fill="auto"/>
            <w:noWrap/>
            <w:tcMar>
              <w:top w:w="15" w:type="dxa"/>
              <w:left w:w="15" w:type="dxa"/>
              <w:right w:w="15" w:type="dxa"/>
            </w:tcMar>
            <w:vAlign w:val="center"/>
          </w:tcPr>
          <w:p w14:paraId="51B4F51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del w:id="2679" w:author="LV" w:date="2026-07-14T16:56:27Z"/>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99BD203">
            <w:pPr>
              <w:keepNext w:val="0"/>
              <w:keepLines w:val="0"/>
              <w:pageBreakBefore w:val="0"/>
              <w:widowControl w:val="0"/>
              <w:kinsoku/>
              <w:wordWrap/>
              <w:overflowPunct w:val="0"/>
              <w:topLinePunct w:val="0"/>
              <w:autoSpaceDE/>
              <w:autoSpaceDN/>
              <w:bidi w:val="0"/>
              <w:adjustRightInd/>
              <w:snapToGrid/>
              <w:spacing w:line="280" w:lineRule="exact"/>
              <w:rPr>
                <w:del w:id="2680" w:author="LV" w:date="2026-07-14T16:56:27Z"/>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E212832">
            <w:pPr>
              <w:keepNext w:val="0"/>
              <w:keepLines w:val="0"/>
              <w:pageBreakBefore w:val="0"/>
              <w:widowControl w:val="0"/>
              <w:kinsoku/>
              <w:wordWrap/>
              <w:overflowPunct w:val="0"/>
              <w:topLinePunct w:val="0"/>
              <w:autoSpaceDE/>
              <w:autoSpaceDN/>
              <w:bidi w:val="0"/>
              <w:adjustRightInd/>
              <w:snapToGrid/>
              <w:spacing w:line="280" w:lineRule="exact"/>
              <w:rPr>
                <w:del w:id="2681" w:author="LV" w:date="2026-07-14T16:56:27Z"/>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EEA22B4">
            <w:pPr>
              <w:keepNext w:val="0"/>
              <w:keepLines w:val="0"/>
              <w:pageBreakBefore w:val="0"/>
              <w:widowControl w:val="0"/>
              <w:kinsoku/>
              <w:wordWrap/>
              <w:overflowPunct w:val="0"/>
              <w:topLinePunct w:val="0"/>
              <w:autoSpaceDE/>
              <w:autoSpaceDN/>
              <w:bidi w:val="0"/>
              <w:adjustRightInd/>
              <w:snapToGrid/>
              <w:spacing w:line="280" w:lineRule="exact"/>
              <w:rPr>
                <w:del w:id="2682" w:author="LV" w:date="2026-07-14T16:56:27Z"/>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0F993D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del w:id="2683" w:author="LV" w:date="2026-07-14T16:56:27Z"/>
                <w:rFonts w:ascii="仿宋_GB2312" w:hAnsi="宋体" w:eastAsia="仿宋_GB2312" w:cs="仿宋_GB2312"/>
                <w:sz w:val="18"/>
                <w:szCs w:val="18"/>
              </w:rPr>
            </w:pPr>
          </w:p>
        </w:tc>
        <w:tc>
          <w:tcPr>
            <w:tcW w:w="1829" w:type="dxa"/>
            <w:tcBorders>
              <w:tl2br w:val="nil"/>
              <w:tr2bl w:val="nil"/>
            </w:tcBorders>
            <w:shd w:val="clear" w:color="auto" w:fill="auto"/>
            <w:tcMar>
              <w:top w:w="15" w:type="dxa"/>
              <w:left w:w="15" w:type="dxa"/>
              <w:right w:w="15" w:type="dxa"/>
            </w:tcMar>
            <w:vAlign w:val="center"/>
          </w:tcPr>
          <w:p w14:paraId="5A496D1A">
            <w:pPr>
              <w:keepNext w:val="0"/>
              <w:keepLines w:val="0"/>
              <w:pageBreakBefore w:val="0"/>
              <w:widowControl w:val="0"/>
              <w:kinsoku/>
              <w:wordWrap/>
              <w:overflowPunct w:val="0"/>
              <w:topLinePunct w:val="0"/>
              <w:autoSpaceDE/>
              <w:autoSpaceDN/>
              <w:bidi w:val="0"/>
              <w:adjustRightInd/>
              <w:snapToGrid/>
              <w:spacing w:line="280" w:lineRule="exact"/>
              <w:textAlignment w:val="center"/>
              <w:rPr>
                <w:del w:id="2684" w:author="LV" w:date="2026-07-14T16:56:27Z"/>
                <w:rFonts w:ascii="仿宋_GB2312" w:hAnsi="宋体" w:eastAsia="仿宋_GB2312" w:cs="仿宋_GB2312"/>
                <w:sz w:val="18"/>
                <w:szCs w:val="18"/>
              </w:rPr>
            </w:pPr>
          </w:p>
        </w:tc>
        <w:tc>
          <w:tcPr>
            <w:tcW w:w="2655" w:type="dxa"/>
            <w:tcBorders>
              <w:tl2br w:val="nil"/>
              <w:tr2bl w:val="nil"/>
            </w:tcBorders>
            <w:shd w:val="clear" w:color="auto" w:fill="auto"/>
            <w:tcMar>
              <w:top w:w="15" w:type="dxa"/>
              <w:left w:w="15" w:type="dxa"/>
              <w:right w:w="15" w:type="dxa"/>
            </w:tcMar>
            <w:vAlign w:val="center"/>
          </w:tcPr>
          <w:p w14:paraId="6A7D056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del w:id="2685" w:author="LV" w:date="2026-07-14T16:56:27Z"/>
                <w:rFonts w:ascii="仿宋_GB2312" w:hAnsi="宋体" w:eastAsia="仿宋_GB2312" w:cs="仿宋_GB2312"/>
                <w:sz w:val="18"/>
                <w:szCs w:val="18"/>
              </w:rPr>
            </w:pPr>
          </w:p>
        </w:tc>
      </w:tr>
      <w:tr w14:paraId="275289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del w:id="2686" w:author="LV" w:date="2026-07-14T16:56:27Z"/>
        </w:trPr>
        <w:tc>
          <w:tcPr>
            <w:tcW w:w="418" w:type="dxa"/>
            <w:vMerge w:val="continue"/>
            <w:tcBorders>
              <w:tl2br w:val="nil"/>
              <w:tr2bl w:val="nil"/>
            </w:tcBorders>
            <w:shd w:val="clear" w:color="auto" w:fill="auto"/>
            <w:noWrap/>
            <w:tcMar>
              <w:top w:w="15" w:type="dxa"/>
              <w:left w:w="15" w:type="dxa"/>
              <w:right w:w="15" w:type="dxa"/>
            </w:tcMar>
            <w:vAlign w:val="center"/>
          </w:tcPr>
          <w:p w14:paraId="57B8D36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del w:id="2687" w:author="LV" w:date="2026-07-14T16:56:27Z"/>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C8DC573">
            <w:pPr>
              <w:keepNext w:val="0"/>
              <w:keepLines w:val="0"/>
              <w:pageBreakBefore w:val="0"/>
              <w:widowControl w:val="0"/>
              <w:kinsoku/>
              <w:wordWrap/>
              <w:overflowPunct w:val="0"/>
              <w:topLinePunct w:val="0"/>
              <w:autoSpaceDE/>
              <w:autoSpaceDN/>
              <w:bidi w:val="0"/>
              <w:adjustRightInd/>
              <w:snapToGrid/>
              <w:spacing w:line="280" w:lineRule="exact"/>
              <w:rPr>
                <w:del w:id="2688" w:author="LV" w:date="2026-07-14T16:56:27Z"/>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C721C59">
            <w:pPr>
              <w:keepNext w:val="0"/>
              <w:keepLines w:val="0"/>
              <w:pageBreakBefore w:val="0"/>
              <w:widowControl w:val="0"/>
              <w:kinsoku/>
              <w:wordWrap/>
              <w:overflowPunct w:val="0"/>
              <w:topLinePunct w:val="0"/>
              <w:autoSpaceDE/>
              <w:autoSpaceDN/>
              <w:bidi w:val="0"/>
              <w:adjustRightInd/>
              <w:snapToGrid/>
              <w:spacing w:line="280" w:lineRule="exact"/>
              <w:rPr>
                <w:del w:id="2689" w:author="LV" w:date="2026-07-14T16:56:27Z"/>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50D50B4">
            <w:pPr>
              <w:keepNext w:val="0"/>
              <w:keepLines w:val="0"/>
              <w:pageBreakBefore w:val="0"/>
              <w:widowControl w:val="0"/>
              <w:kinsoku/>
              <w:wordWrap/>
              <w:overflowPunct w:val="0"/>
              <w:topLinePunct w:val="0"/>
              <w:autoSpaceDE/>
              <w:autoSpaceDN/>
              <w:bidi w:val="0"/>
              <w:adjustRightInd/>
              <w:snapToGrid/>
              <w:spacing w:line="280" w:lineRule="exact"/>
              <w:rPr>
                <w:del w:id="2690" w:author="LV" w:date="2026-07-14T16:56:27Z"/>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B166FC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del w:id="2691" w:author="LV" w:date="2026-07-14T16:56:27Z"/>
                <w:rFonts w:ascii="仿宋_GB2312" w:hAnsi="宋体" w:eastAsia="仿宋_GB2312" w:cs="仿宋_GB2312"/>
                <w:sz w:val="18"/>
                <w:szCs w:val="18"/>
              </w:rPr>
            </w:pPr>
          </w:p>
        </w:tc>
        <w:tc>
          <w:tcPr>
            <w:tcW w:w="1829" w:type="dxa"/>
            <w:tcBorders>
              <w:tl2br w:val="nil"/>
              <w:tr2bl w:val="nil"/>
            </w:tcBorders>
            <w:shd w:val="clear" w:color="auto" w:fill="auto"/>
            <w:tcMar>
              <w:top w:w="15" w:type="dxa"/>
              <w:left w:w="15" w:type="dxa"/>
              <w:right w:w="15" w:type="dxa"/>
            </w:tcMar>
            <w:vAlign w:val="center"/>
          </w:tcPr>
          <w:p w14:paraId="7138DDC3">
            <w:pPr>
              <w:keepNext w:val="0"/>
              <w:keepLines w:val="0"/>
              <w:pageBreakBefore w:val="0"/>
              <w:widowControl w:val="0"/>
              <w:kinsoku/>
              <w:wordWrap/>
              <w:overflowPunct w:val="0"/>
              <w:topLinePunct w:val="0"/>
              <w:autoSpaceDE/>
              <w:autoSpaceDN/>
              <w:bidi w:val="0"/>
              <w:adjustRightInd/>
              <w:snapToGrid/>
              <w:spacing w:line="280" w:lineRule="exact"/>
              <w:textAlignment w:val="center"/>
              <w:rPr>
                <w:del w:id="2692" w:author="LV" w:date="2026-07-14T16:56:27Z"/>
                <w:rFonts w:ascii="仿宋_GB2312" w:hAnsi="宋体" w:eastAsia="仿宋_GB2312" w:cs="仿宋_GB2312"/>
                <w:sz w:val="18"/>
                <w:szCs w:val="18"/>
              </w:rPr>
            </w:pPr>
          </w:p>
        </w:tc>
        <w:tc>
          <w:tcPr>
            <w:tcW w:w="2655" w:type="dxa"/>
            <w:tcBorders>
              <w:tl2br w:val="nil"/>
              <w:tr2bl w:val="nil"/>
            </w:tcBorders>
            <w:shd w:val="clear" w:color="auto" w:fill="auto"/>
            <w:tcMar>
              <w:top w:w="15" w:type="dxa"/>
              <w:left w:w="15" w:type="dxa"/>
              <w:right w:w="15" w:type="dxa"/>
            </w:tcMar>
            <w:vAlign w:val="center"/>
          </w:tcPr>
          <w:p w14:paraId="67E43890">
            <w:pPr>
              <w:keepNext w:val="0"/>
              <w:keepLines w:val="0"/>
              <w:pageBreakBefore w:val="0"/>
              <w:widowControl w:val="0"/>
              <w:kinsoku/>
              <w:wordWrap/>
              <w:overflowPunct w:val="0"/>
              <w:topLinePunct w:val="0"/>
              <w:autoSpaceDE/>
              <w:autoSpaceDN/>
              <w:bidi w:val="0"/>
              <w:adjustRightInd/>
              <w:snapToGrid/>
              <w:spacing w:line="280" w:lineRule="exact"/>
              <w:textAlignment w:val="center"/>
              <w:rPr>
                <w:del w:id="2693" w:author="LV" w:date="2026-07-14T16:56:27Z"/>
                <w:rFonts w:ascii="仿宋_GB2312" w:hAnsi="宋体" w:eastAsia="仿宋_GB2312" w:cs="仿宋_GB2312"/>
                <w:sz w:val="18"/>
                <w:szCs w:val="18"/>
              </w:rPr>
            </w:pPr>
          </w:p>
        </w:tc>
      </w:tr>
      <w:tr w14:paraId="56449C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del w:id="2694" w:author="LV" w:date="2026-07-14T16:56:27Z"/>
        </w:trPr>
        <w:tc>
          <w:tcPr>
            <w:tcW w:w="418" w:type="dxa"/>
            <w:vMerge w:val="continue"/>
            <w:tcBorders>
              <w:tl2br w:val="nil"/>
              <w:tr2bl w:val="nil"/>
            </w:tcBorders>
            <w:shd w:val="clear" w:color="auto" w:fill="auto"/>
            <w:noWrap/>
            <w:tcMar>
              <w:top w:w="15" w:type="dxa"/>
              <w:left w:w="15" w:type="dxa"/>
              <w:right w:w="15" w:type="dxa"/>
            </w:tcMar>
            <w:vAlign w:val="center"/>
          </w:tcPr>
          <w:p w14:paraId="4F34648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del w:id="2695" w:author="LV" w:date="2026-07-14T16:56:27Z"/>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833686B">
            <w:pPr>
              <w:keepNext w:val="0"/>
              <w:keepLines w:val="0"/>
              <w:pageBreakBefore w:val="0"/>
              <w:widowControl w:val="0"/>
              <w:kinsoku/>
              <w:wordWrap/>
              <w:overflowPunct w:val="0"/>
              <w:topLinePunct w:val="0"/>
              <w:autoSpaceDE/>
              <w:autoSpaceDN/>
              <w:bidi w:val="0"/>
              <w:adjustRightInd/>
              <w:snapToGrid/>
              <w:spacing w:line="280" w:lineRule="exact"/>
              <w:rPr>
                <w:del w:id="2696" w:author="LV" w:date="2026-07-14T16:56:27Z"/>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1B8E10F">
            <w:pPr>
              <w:keepNext w:val="0"/>
              <w:keepLines w:val="0"/>
              <w:pageBreakBefore w:val="0"/>
              <w:widowControl w:val="0"/>
              <w:kinsoku/>
              <w:wordWrap/>
              <w:overflowPunct w:val="0"/>
              <w:topLinePunct w:val="0"/>
              <w:autoSpaceDE/>
              <w:autoSpaceDN/>
              <w:bidi w:val="0"/>
              <w:adjustRightInd/>
              <w:snapToGrid/>
              <w:spacing w:line="280" w:lineRule="exact"/>
              <w:rPr>
                <w:del w:id="2697" w:author="LV" w:date="2026-07-14T16:56:27Z"/>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7E4BB16">
            <w:pPr>
              <w:keepNext w:val="0"/>
              <w:keepLines w:val="0"/>
              <w:pageBreakBefore w:val="0"/>
              <w:widowControl w:val="0"/>
              <w:kinsoku/>
              <w:wordWrap/>
              <w:overflowPunct w:val="0"/>
              <w:topLinePunct w:val="0"/>
              <w:autoSpaceDE/>
              <w:autoSpaceDN/>
              <w:bidi w:val="0"/>
              <w:adjustRightInd/>
              <w:snapToGrid/>
              <w:spacing w:line="280" w:lineRule="exact"/>
              <w:rPr>
                <w:del w:id="2698" w:author="LV" w:date="2026-07-14T16:56:27Z"/>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68E7AF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del w:id="2699" w:author="LV" w:date="2026-07-14T16:56:27Z"/>
                <w:rFonts w:ascii="仿宋_GB2312" w:hAnsi="宋体" w:eastAsia="仿宋_GB2312" w:cs="仿宋_GB2312"/>
                <w:sz w:val="18"/>
                <w:szCs w:val="18"/>
              </w:rPr>
            </w:pPr>
          </w:p>
        </w:tc>
        <w:tc>
          <w:tcPr>
            <w:tcW w:w="1829" w:type="dxa"/>
            <w:tcBorders>
              <w:tl2br w:val="nil"/>
              <w:tr2bl w:val="nil"/>
            </w:tcBorders>
            <w:shd w:val="clear" w:color="auto" w:fill="auto"/>
            <w:tcMar>
              <w:top w:w="15" w:type="dxa"/>
              <w:left w:w="15" w:type="dxa"/>
              <w:right w:w="15" w:type="dxa"/>
            </w:tcMar>
            <w:vAlign w:val="center"/>
          </w:tcPr>
          <w:p w14:paraId="3ECD1BD5">
            <w:pPr>
              <w:keepNext w:val="0"/>
              <w:keepLines w:val="0"/>
              <w:pageBreakBefore w:val="0"/>
              <w:widowControl w:val="0"/>
              <w:kinsoku/>
              <w:wordWrap/>
              <w:overflowPunct w:val="0"/>
              <w:topLinePunct w:val="0"/>
              <w:autoSpaceDE/>
              <w:autoSpaceDN/>
              <w:bidi w:val="0"/>
              <w:adjustRightInd/>
              <w:snapToGrid/>
              <w:spacing w:line="280" w:lineRule="exact"/>
              <w:textAlignment w:val="center"/>
              <w:rPr>
                <w:del w:id="2700" w:author="LV" w:date="2026-07-14T16:56:27Z"/>
                <w:rFonts w:ascii="仿宋_GB2312" w:hAnsi="宋体" w:eastAsia="仿宋_GB2312" w:cs="仿宋_GB2312"/>
                <w:sz w:val="18"/>
                <w:szCs w:val="18"/>
              </w:rPr>
            </w:pPr>
          </w:p>
        </w:tc>
        <w:tc>
          <w:tcPr>
            <w:tcW w:w="2655" w:type="dxa"/>
            <w:tcBorders>
              <w:tl2br w:val="nil"/>
              <w:tr2bl w:val="nil"/>
            </w:tcBorders>
            <w:shd w:val="clear" w:color="auto" w:fill="auto"/>
            <w:tcMar>
              <w:top w:w="15" w:type="dxa"/>
              <w:left w:w="15" w:type="dxa"/>
              <w:right w:w="15" w:type="dxa"/>
            </w:tcMar>
            <w:vAlign w:val="center"/>
          </w:tcPr>
          <w:p w14:paraId="6A73328F">
            <w:pPr>
              <w:keepNext w:val="0"/>
              <w:keepLines w:val="0"/>
              <w:pageBreakBefore w:val="0"/>
              <w:widowControl w:val="0"/>
              <w:kinsoku/>
              <w:wordWrap/>
              <w:overflowPunct w:val="0"/>
              <w:topLinePunct w:val="0"/>
              <w:autoSpaceDE/>
              <w:autoSpaceDN/>
              <w:bidi w:val="0"/>
              <w:adjustRightInd/>
              <w:snapToGrid/>
              <w:spacing w:line="280" w:lineRule="exact"/>
              <w:textAlignment w:val="center"/>
              <w:rPr>
                <w:del w:id="2701" w:author="LV" w:date="2026-07-14T16:56:27Z"/>
                <w:rFonts w:ascii="仿宋_GB2312" w:hAnsi="宋体" w:eastAsia="仿宋_GB2312" w:cs="仿宋_GB2312"/>
                <w:sz w:val="18"/>
                <w:szCs w:val="18"/>
              </w:rPr>
            </w:pPr>
          </w:p>
        </w:tc>
      </w:tr>
      <w:tr w14:paraId="3F217F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del w:id="2702" w:author="LV" w:date="2026-07-14T16:56:27Z"/>
        </w:trPr>
        <w:tc>
          <w:tcPr>
            <w:tcW w:w="418" w:type="dxa"/>
            <w:vMerge w:val="continue"/>
            <w:tcBorders>
              <w:tl2br w:val="nil"/>
              <w:tr2bl w:val="nil"/>
            </w:tcBorders>
            <w:shd w:val="clear" w:color="auto" w:fill="auto"/>
            <w:noWrap/>
            <w:tcMar>
              <w:top w:w="15" w:type="dxa"/>
              <w:left w:w="15" w:type="dxa"/>
              <w:right w:w="15" w:type="dxa"/>
            </w:tcMar>
            <w:vAlign w:val="center"/>
          </w:tcPr>
          <w:p w14:paraId="09E6A99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del w:id="2703" w:author="LV" w:date="2026-07-14T16:56:27Z"/>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30064E1">
            <w:pPr>
              <w:keepNext w:val="0"/>
              <w:keepLines w:val="0"/>
              <w:pageBreakBefore w:val="0"/>
              <w:widowControl w:val="0"/>
              <w:kinsoku/>
              <w:wordWrap/>
              <w:overflowPunct w:val="0"/>
              <w:topLinePunct w:val="0"/>
              <w:autoSpaceDE/>
              <w:autoSpaceDN/>
              <w:bidi w:val="0"/>
              <w:adjustRightInd/>
              <w:snapToGrid/>
              <w:spacing w:line="280" w:lineRule="exact"/>
              <w:rPr>
                <w:del w:id="2704" w:author="LV" w:date="2026-07-14T16:56:27Z"/>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29CF53F">
            <w:pPr>
              <w:keepNext w:val="0"/>
              <w:keepLines w:val="0"/>
              <w:pageBreakBefore w:val="0"/>
              <w:widowControl w:val="0"/>
              <w:kinsoku/>
              <w:wordWrap/>
              <w:overflowPunct w:val="0"/>
              <w:topLinePunct w:val="0"/>
              <w:autoSpaceDE/>
              <w:autoSpaceDN/>
              <w:bidi w:val="0"/>
              <w:adjustRightInd/>
              <w:snapToGrid/>
              <w:spacing w:line="280" w:lineRule="exact"/>
              <w:rPr>
                <w:del w:id="2705" w:author="LV" w:date="2026-07-14T16:56:27Z"/>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AB0AB38">
            <w:pPr>
              <w:keepNext w:val="0"/>
              <w:keepLines w:val="0"/>
              <w:pageBreakBefore w:val="0"/>
              <w:widowControl w:val="0"/>
              <w:kinsoku/>
              <w:wordWrap/>
              <w:overflowPunct w:val="0"/>
              <w:topLinePunct w:val="0"/>
              <w:autoSpaceDE/>
              <w:autoSpaceDN/>
              <w:bidi w:val="0"/>
              <w:adjustRightInd/>
              <w:snapToGrid/>
              <w:spacing w:line="280" w:lineRule="exact"/>
              <w:rPr>
                <w:del w:id="2706" w:author="LV" w:date="2026-07-14T16:56:27Z"/>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6E4E01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del w:id="2707" w:author="LV" w:date="2026-07-14T16:56:27Z"/>
                <w:rFonts w:ascii="仿宋_GB2312" w:hAnsi="宋体" w:eastAsia="仿宋_GB2312" w:cs="仿宋_GB2312"/>
                <w:sz w:val="18"/>
                <w:szCs w:val="18"/>
              </w:rPr>
            </w:pPr>
          </w:p>
        </w:tc>
        <w:tc>
          <w:tcPr>
            <w:tcW w:w="1829" w:type="dxa"/>
            <w:tcBorders>
              <w:tl2br w:val="nil"/>
              <w:tr2bl w:val="nil"/>
            </w:tcBorders>
            <w:shd w:val="clear" w:color="auto" w:fill="auto"/>
            <w:tcMar>
              <w:top w:w="15" w:type="dxa"/>
              <w:left w:w="15" w:type="dxa"/>
              <w:right w:w="15" w:type="dxa"/>
            </w:tcMar>
            <w:vAlign w:val="center"/>
          </w:tcPr>
          <w:p w14:paraId="46E2B874">
            <w:pPr>
              <w:keepNext w:val="0"/>
              <w:keepLines w:val="0"/>
              <w:pageBreakBefore w:val="0"/>
              <w:widowControl w:val="0"/>
              <w:kinsoku/>
              <w:wordWrap/>
              <w:overflowPunct w:val="0"/>
              <w:topLinePunct w:val="0"/>
              <w:autoSpaceDE/>
              <w:autoSpaceDN/>
              <w:bidi w:val="0"/>
              <w:adjustRightInd/>
              <w:snapToGrid/>
              <w:spacing w:line="280" w:lineRule="exact"/>
              <w:textAlignment w:val="center"/>
              <w:rPr>
                <w:del w:id="2708" w:author="LV" w:date="2026-07-14T16:56:27Z"/>
                <w:rFonts w:ascii="仿宋_GB2312" w:hAnsi="宋体" w:eastAsia="仿宋_GB2312" w:cs="仿宋_GB2312"/>
                <w:sz w:val="18"/>
                <w:szCs w:val="18"/>
              </w:rPr>
            </w:pPr>
          </w:p>
        </w:tc>
        <w:tc>
          <w:tcPr>
            <w:tcW w:w="2655" w:type="dxa"/>
            <w:tcBorders>
              <w:tl2br w:val="nil"/>
              <w:tr2bl w:val="nil"/>
            </w:tcBorders>
            <w:shd w:val="clear" w:color="auto" w:fill="auto"/>
            <w:tcMar>
              <w:top w:w="15" w:type="dxa"/>
              <w:left w:w="15" w:type="dxa"/>
              <w:right w:w="15" w:type="dxa"/>
            </w:tcMar>
            <w:vAlign w:val="center"/>
          </w:tcPr>
          <w:p w14:paraId="4E658464">
            <w:pPr>
              <w:keepNext w:val="0"/>
              <w:keepLines w:val="0"/>
              <w:pageBreakBefore w:val="0"/>
              <w:widowControl w:val="0"/>
              <w:kinsoku/>
              <w:wordWrap/>
              <w:overflowPunct w:val="0"/>
              <w:topLinePunct w:val="0"/>
              <w:autoSpaceDE/>
              <w:autoSpaceDN/>
              <w:bidi w:val="0"/>
              <w:adjustRightInd/>
              <w:snapToGrid/>
              <w:spacing w:line="280" w:lineRule="exact"/>
              <w:textAlignment w:val="center"/>
              <w:rPr>
                <w:del w:id="2709" w:author="LV" w:date="2026-07-14T16:56:27Z"/>
                <w:rFonts w:ascii="仿宋_GB2312" w:hAnsi="宋体" w:eastAsia="仿宋_GB2312" w:cs="仿宋_GB2312"/>
                <w:sz w:val="18"/>
                <w:szCs w:val="18"/>
              </w:rPr>
            </w:pPr>
          </w:p>
        </w:tc>
      </w:tr>
      <w:tr w14:paraId="1ED233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del w:id="2710" w:author="LV" w:date="2026-07-14T16:56:37Z"/>
        </w:trPr>
        <w:tc>
          <w:tcPr>
            <w:tcW w:w="418" w:type="dxa"/>
            <w:vMerge w:val="restart"/>
            <w:tcBorders>
              <w:tl2br w:val="nil"/>
              <w:tr2bl w:val="nil"/>
            </w:tcBorders>
            <w:shd w:val="clear" w:color="auto" w:fill="auto"/>
            <w:noWrap/>
            <w:tcMar>
              <w:top w:w="15" w:type="dxa"/>
              <w:left w:w="15" w:type="dxa"/>
              <w:right w:w="15" w:type="dxa"/>
            </w:tcMar>
            <w:vAlign w:val="center"/>
          </w:tcPr>
          <w:p w14:paraId="5CBB401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del w:id="2711" w:author="LV" w:date="2026-07-14T16:56:37Z"/>
                <w:rFonts w:hint="eastAsia" w:ascii="仿宋_GB2312" w:hAnsi="宋体" w:eastAsia="仿宋_GB2312" w:cs="仿宋_GB2312"/>
                <w:sz w:val="18"/>
                <w:szCs w:val="18"/>
                <w:lang w:eastAsia="zh-CN"/>
              </w:rPr>
            </w:pPr>
            <w:del w:id="2712" w:author="LV" w:date="2026-07-14T16:56:37Z">
              <w:r>
                <w:rPr>
                  <w:rFonts w:hint="eastAsia" w:ascii="仿宋_GB2312" w:hAnsi="宋体" w:eastAsia="仿宋_GB2312" w:cs="仿宋_GB2312"/>
                  <w:kern w:val="0"/>
                  <w:sz w:val="18"/>
                  <w:szCs w:val="18"/>
                  <w:lang w:bidi="ar"/>
                </w:rPr>
                <w:delText>13</w:delText>
              </w:r>
            </w:del>
            <w:del w:id="2713" w:author="LV" w:date="2026-07-14T16:56:37Z">
              <w:r>
                <w:rPr>
                  <w:rFonts w:hint="eastAsia" w:ascii="仿宋_GB2312" w:hAnsi="宋体" w:eastAsia="仿宋_GB2312" w:cs="仿宋_GB2312"/>
                  <w:kern w:val="0"/>
                  <w:sz w:val="18"/>
                  <w:szCs w:val="18"/>
                  <w:lang w:val="en-US" w:eastAsia="zh-CN" w:bidi="ar"/>
                </w:rPr>
                <w:delText>2</w:delText>
              </w:r>
            </w:del>
          </w:p>
        </w:tc>
        <w:tc>
          <w:tcPr>
            <w:tcW w:w="1005" w:type="dxa"/>
            <w:vMerge w:val="restart"/>
            <w:tcBorders>
              <w:tl2br w:val="nil"/>
              <w:tr2bl w:val="nil"/>
            </w:tcBorders>
            <w:shd w:val="clear" w:color="auto" w:fill="auto"/>
            <w:tcMar>
              <w:top w:w="15" w:type="dxa"/>
              <w:left w:w="15" w:type="dxa"/>
              <w:right w:w="15" w:type="dxa"/>
            </w:tcMar>
            <w:vAlign w:val="center"/>
          </w:tcPr>
          <w:p w14:paraId="5ACC4F53">
            <w:pPr>
              <w:keepNext w:val="0"/>
              <w:keepLines w:val="0"/>
              <w:pageBreakBefore w:val="0"/>
              <w:widowControl w:val="0"/>
              <w:kinsoku/>
              <w:wordWrap/>
              <w:overflowPunct w:val="0"/>
              <w:topLinePunct w:val="0"/>
              <w:autoSpaceDE/>
              <w:autoSpaceDN/>
              <w:bidi w:val="0"/>
              <w:adjustRightInd/>
              <w:snapToGrid/>
              <w:spacing w:line="280" w:lineRule="exact"/>
              <w:textAlignment w:val="center"/>
              <w:rPr>
                <w:del w:id="2714" w:author="LV" w:date="2026-07-14T16:56:37Z"/>
                <w:rFonts w:ascii="仿宋_GB2312" w:hAnsi="宋体" w:eastAsia="仿宋_GB2312" w:cs="仿宋_GB2312"/>
                <w:sz w:val="18"/>
                <w:szCs w:val="18"/>
              </w:rPr>
            </w:pPr>
            <w:del w:id="2715" w:author="LV" w:date="2026-07-14T16:56:37Z">
              <w:r>
                <w:rPr>
                  <w:rFonts w:hint="eastAsia" w:ascii="仿宋_GB2312" w:hAnsi="宋体" w:eastAsia="仿宋_GB2312" w:cs="仿宋_GB2312"/>
                  <w:kern w:val="0"/>
                  <w:sz w:val="18"/>
                  <w:szCs w:val="18"/>
                  <w:lang w:val="en-US" w:eastAsia="zh-CN" w:bidi="ar"/>
                </w:rPr>
                <w:delText>与32条合并</w:delText>
              </w:r>
            </w:del>
          </w:p>
        </w:tc>
        <w:tc>
          <w:tcPr>
            <w:tcW w:w="3667" w:type="dxa"/>
            <w:vMerge w:val="restart"/>
            <w:tcBorders>
              <w:tl2br w:val="nil"/>
              <w:tr2bl w:val="nil"/>
            </w:tcBorders>
            <w:shd w:val="clear" w:color="auto" w:fill="auto"/>
            <w:tcMar>
              <w:top w:w="15" w:type="dxa"/>
              <w:left w:w="15" w:type="dxa"/>
              <w:right w:w="15" w:type="dxa"/>
            </w:tcMar>
            <w:vAlign w:val="center"/>
          </w:tcPr>
          <w:p w14:paraId="0045D8C5">
            <w:pPr>
              <w:keepNext w:val="0"/>
              <w:keepLines w:val="0"/>
              <w:pageBreakBefore w:val="0"/>
              <w:widowControl w:val="0"/>
              <w:kinsoku/>
              <w:wordWrap/>
              <w:overflowPunct w:val="0"/>
              <w:topLinePunct w:val="0"/>
              <w:autoSpaceDE/>
              <w:autoSpaceDN/>
              <w:bidi w:val="0"/>
              <w:adjustRightInd/>
              <w:snapToGrid/>
              <w:spacing w:line="240" w:lineRule="exact"/>
              <w:textAlignment w:val="center"/>
              <w:rPr>
                <w:del w:id="2716" w:author="LV" w:date="2026-07-14T16:56:37Z"/>
                <w:rFonts w:ascii="仿宋_GB2312" w:hAnsi="宋体" w:eastAsia="仿宋_GB2312" w:cs="仿宋_GB2312"/>
                <w:sz w:val="18"/>
                <w:szCs w:val="18"/>
              </w:rPr>
            </w:pPr>
          </w:p>
        </w:tc>
        <w:tc>
          <w:tcPr>
            <w:tcW w:w="4082" w:type="dxa"/>
            <w:vMerge w:val="restart"/>
            <w:tcBorders>
              <w:tl2br w:val="nil"/>
              <w:tr2bl w:val="nil"/>
            </w:tcBorders>
            <w:shd w:val="clear" w:color="auto" w:fill="auto"/>
            <w:tcMar>
              <w:top w:w="15" w:type="dxa"/>
              <w:left w:w="15" w:type="dxa"/>
              <w:right w:w="15" w:type="dxa"/>
            </w:tcMar>
            <w:vAlign w:val="center"/>
          </w:tcPr>
          <w:p w14:paraId="12B30A4F">
            <w:pPr>
              <w:keepNext w:val="0"/>
              <w:keepLines w:val="0"/>
              <w:pageBreakBefore w:val="0"/>
              <w:widowControl w:val="0"/>
              <w:kinsoku/>
              <w:wordWrap/>
              <w:overflowPunct w:val="0"/>
              <w:topLinePunct w:val="0"/>
              <w:autoSpaceDE/>
              <w:autoSpaceDN/>
              <w:bidi w:val="0"/>
              <w:adjustRightInd/>
              <w:snapToGrid/>
              <w:spacing w:line="280" w:lineRule="exact"/>
              <w:textAlignment w:val="center"/>
              <w:rPr>
                <w:del w:id="2717" w:author="LV" w:date="2026-07-14T16:56:37Z"/>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417A20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del w:id="2718" w:author="LV" w:date="2026-07-14T16:56:37Z"/>
                <w:rFonts w:ascii="仿宋_GB2312" w:hAnsi="宋体" w:eastAsia="仿宋_GB2312" w:cs="仿宋_GB2312"/>
                <w:sz w:val="18"/>
                <w:szCs w:val="18"/>
              </w:rPr>
            </w:pPr>
          </w:p>
        </w:tc>
        <w:tc>
          <w:tcPr>
            <w:tcW w:w="1829" w:type="dxa"/>
            <w:tcBorders>
              <w:tl2br w:val="nil"/>
              <w:tr2bl w:val="nil"/>
            </w:tcBorders>
            <w:shd w:val="clear" w:color="auto" w:fill="auto"/>
            <w:tcMar>
              <w:top w:w="15" w:type="dxa"/>
              <w:left w:w="15" w:type="dxa"/>
              <w:right w:w="15" w:type="dxa"/>
            </w:tcMar>
            <w:vAlign w:val="center"/>
          </w:tcPr>
          <w:p w14:paraId="12207733">
            <w:pPr>
              <w:keepNext w:val="0"/>
              <w:keepLines w:val="0"/>
              <w:pageBreakBefore w:val="0"/>
              <w:widowControl w:val="0"/>
              <w:kinsoku/>
              <w:wordWrap/>
              <w:overflowPunct w:val="0"/>
              <w:topLinePunct w:val="0"/>
              <w:autoSpaceDE/>
              <w:autoSpaceDN/>
              <w:bidi w:val="0"/>
              <w:adjustRightInd/>
              <w:snapToGrid/>
              <w:spacing w:line="280" w:lineRule="exact"/>
              <w:textAlignment w:val="center"/>
              <w:rPr>
                <w:del w:id="2719" w:author="LV" w:date="2026-07-14T16:56:37Z"/>
                <w:rFonts w:ascii="仿宋_GB2312" w:hAnsi="宋体" w:eastAsia="仿宋_GB2312" w:cs="仿宋_GB2312"/>
                <w:sz w:val="18"/>
                <w:szCs w:val="18"/>
              </w:rPr>
            </w:pPr>
          </w:p>
        </w:tc>
        <w:tc>
          <w:tcPr>
            <w:tcW w:w="2655" w:type="dxa"/>
            <w:tcBorders>
              <w:tl2br w:val="nil"/>
              <w:tr2bl w:val="nil"/>
            </w:tcBorders>
            <w:shd w:val="clear" w:color="auto" w:fill="auto"/>
            <w:tcMar>
              <w:top w:w="15" w:type="dxa"/>
              <w:left w:w="15" w:type="dxa"/>
              <w:right w:w="15" w:type="dxa"/>
            </w:tcMar>
            <w:vAlign w:val="center"/>
          </w:tcPr>
          <w:p w14:paraId="0488F03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del w:id="2720" w:author="LV" w:date="2026-07-14T16:56:37Z"/>
                <w:rFonts w:ascii="仿宋_GB2312" w:hAnsi="宋体" w:eastAsia="仿宋_GB2312" w:cs="仿宋_GB2312"/>
                <w:sz w:val="18"/>
                <w:szCs w:val="18"/>
              </w:rPr>
            </w:pPr>
          </w:p>
        </w:tc>
      </w:tr>
      <w:tr w14:paraId="7E9F8D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del w:id="2721" w:author="LV" w:date="2026-07-14T16:56:37Z"/>
        </w:trPr>
        <w:tc>
          <w:tcPr>
            <w:tcW w:w="418" w:type="dxa"/>
            <w:vMerge w:val="continue"/>
            <w:tcBorders>
              <w:tl2br w:val="nil"/>
              <w:tr2bl w:val="nil"/>
            </w:tcBorders>
            <w:shd w:val="clear" w:color="auto" w:fill="auto"/>
            <w:noWrap/>
            <w:tcMar>
              <w:top w:w="15" w:type="dxa"/>
              <w:left w:w="15" w:type="dxa"/>
              <w:right w:w="15" w:type="dxa"/>
            </w:tcMar>
            <w:vAlign w:val="center"/>
          </w:tcPr>
          <w:p w14:paraId="472321A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del w:id="2722" w:author="LV" w:date="2026-07-14T16:56:37Z"/>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794359E">
            <w:pPr>
              <w:keepNext w:val="0"/>
              <w:keepLines w:val="0"/>
              <w:pageBreakBefore w:val="0"/>
              <w:widowControl w:val="0"/>
              <w:kinsoku/>
              <w:wordWrap/>
              <w:overflowPunct w:val="0"/>
              <w:topLinePunct w:val="0"/>
              <w:autoSpaceDE/>
              <w:autoSpaceDN/>
              <w:bidi w:val="0"/>
              <w:adjustRightInd/>
              <w:snapToGrid/>
              <w:spacing w:line="280" w:lineRule="exact"/>
              <w:rPr>
                <w:del w:id="2723" w:author="LV" w:date="2026-07-14T16:56:37Z"/>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5E5CDB1">
            <w:pPr>
              <w:keepNext w:val="0"/>
              <w:keepLines w:val="0"/>
              <w:pageBreakBefore w:val="0"/>
              <w:widowControl w:val="0"/>
              <w:kinsoku/>
              <w:wordWrap/>
              <w:overflowPunct w:val="0"/>
              <w:topLinePunct w:val="0"/>
              <w:autoSpaceDE/>
              <w:autoSpaceDN/>
              <w:bidi w:val="0"/>
              <w:adjustRightInd/>
              <w:snapToGrid/>
              <w:spacing w:line="280" w:lineRule="exact"/>
              <w:rPr>
                <w:del w:id="2724" w:author="LV" w:date="2026-07-14T16:56:37Z"/>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4861C6D">
            <w:pPr>
              <w:keepNext w:val="0"/>
              <w:keepLines w:val="0"/>
              <w:pageBreakBefore w:val="0"/>
              <w:widowControl w:val="0"/>
              <w:kinsoku/>
              <w:wordWrap/>
              <w:overflowPunct w:val="0"/>
              <w:topLinePunct w:val="0"/>
              <w:autoSpaceDE/>
              <w:autoSpaceDN/>
              <w:bidi w:val="0"/>
              <w:adjustRightInd/>
              <w:snapToGrid/>
              <w:spacing w:line="280" w:lineRule="exact"/>
              <w:rPr>
                <w:del w:id="2725" w:author="LV" w:date="2026-07-14T16:56:37Z"/>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616ECC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del w:id="2726" w:author="LV" w:date="2026-07-14T16:56:37Z"/>
                <w:rFonts w:ascii="仿宋_GB2312" w:hAnsi="宋体" w:eastAsia="仿宋_GB2312" w:cs="仿宋_GB2312"/>
                <w:sz w:val="18"/>
                <w:szCs w:val="18"/>
              </w:rPr>
            </w:pPr>
          </w:p>
        </w:tc>
        <w:tc>
          <w:tcPr>
            <w:tcW w:w="1829" w:type="dxa"/>
            <w:tcBorders>
              <w:tl2br w:val="nil"/>
              <w:tr2bl w:val="nil"/>
            </w:tcBorders>
            <w:shd w:val="clear" w:color="auto" w:fill="auto"/>
            <w:tcMar>
              <w:top w:w="15" w:type="dxa"/>
              <w:left w:w="15" w:type="dxa"/>
              <w:right w:w="15" w:type="dxa"/>
            </w:tcMar>
            <w:vAlign w:val="center"/>
          </w:tcPr>
          <w:p w14:paraId="7559493C">
            <w:pPr>
              <w:keepNext w:val="0"/>
              <w:keepLines w:val="0"/>
              <w:pageBreakBefore w:val="0"/>
              <w:widowControl w:val="0"/>
              <w:kinsoku/>
              <w:wordWrap/>
              <w:overflowPunct w:val="0"/>
              <w:topLinePunct w:val="0"/>
              <w:autoSpaceDE/>
              <w:autoSpaceDN/>
              <w:bidi w:val="0"/>
              <w:adjustRightInd/>
              <w:snapToGrid/>
              <w:spacing w:line="280" w:lineRule="exact"/>
              <w:textAlignment w:val="center"/>
              <w:rPr>
                <w:del w:id="2727" w:author="LV" w:date="2026-07-14T16:56:37Z"/>
                <w:rFonts w:ascii="仿宋_GB2312" w:hAnsi="宋体" w:eastAsia="仿宋_GB2312" w:cs="仿宋_GB2312"/>
                <w:sz w:val="18"/>
                <w:szCs w:val="18"/>
              </w:rPr>
            </w:pPr>
          </w:p>
        </w:tc>
        <w:tc>
          <w:tcPr>
            <w:tcW w:w="2655" w:type="dxa"/>
            <w:tcBorders>
              <w:tl2br w:val="nil"/>
              <w:tr2bl w:val="nil"/>
            </w:tcBorders>
            <w:shd w:val="clear" w:color="auto" w:fill="auto"/>
            <w:noWrap/>
            <w:tcMar>
              <w:top w:w="15" w:type="dxa"/>
              <w:left w:w="15" w:type="dxa"/>
              <w:right w:w="15" w:type="dxa"/>
            </w:tcMar>
            <w:vAlign w:val="center"/>
          </w:tcPr>
          <w:p w14:paraId="685C898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del w:id="2728" w:author="LV" w:date="2026-07-14T16:56:37Z"/>
                <w:rFonts w:ascii="仿宋_GB2312" w:hAnsi="宋体" w:eastAsia="仿宋_GB2312" w:cs="仿宋_GB2312"/>
                <w:sz w:val="18"/>
                <w:szCs w:val="18"/>
              </w:rPr>
            </w:pPr>
          </w:p>
        </w:tc>
      </w:tr>
      <w:tr w14:paraId="7742BA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del w:id="2729" w:author="LV" w:date="2026-07-14T16:56:37Z"/>
        </w:trPr>
        <w:tc>
          <w:tcPr>
            <w:tcW w:w="418" w:type="dxa"/>
            <w:vMerge w:val="continue"/>
            <w:tcBorders>
              <w:tl2br w:val="nil"/>
              <w:tr2bl w:val="nil"/>
            </w:tcBorders>
            <w:shd w:val="clear" w:color="auto" w:fill="auto"/>
            <w:noWrap/>
            <w:tcMar>
              <w:top w:w="15" w:type="dxa"/>
              <w:left w:w="15" w:type="dxa"/>
              <w:right w:w="15" w:type="dxa"/>
            </w:tcMar>
            <w:vAlign w:val="center"/>
          </w:tcPr>
          <w:p w14:paraId="598F3AB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del w:id="2730" w:author="LV" w:date="2026-07-14T16:56:37Z"/>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0BB350F">
            <w:pPr>
              <w:keepNext w:val="0"/>
              <w:keepLines w:val="0"/>
              <w:pageBreakBefore w:val="0"/>
              <w:widowControl w:val="0"/>
              <w:kinsoku/>
              <w:wordWrap/>
              <w:overflowPunct w:val="0"/>
              <w:topLinePunct w:val="0"/>
              <w:autoSpaceDE/>
              <w:autoSpaceDN/>
              <w:bidi w:val="0"/>
              <w:adjustRightInd/>
              <w:snapToGrid/>
              <w:spacing w:line="280" w:lineRule="exact"/>
              <w:rPr>
                <w:del w:id="2731" w:author="LV" w:date="2026-07-14T16:56:37Z"/>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A53F4DD">
            <w:pPr>
              <w:keepNext w:val="0"/>
              <w:keepLines w:val="0"/>
              <w:pageBreakBefore w:val="0"/>
              <w:widowControl w:val="0"/>
              <w:kinsoku/>
              <w:wordWrap/>
              <w:overflowPunct w:val="0"/>
              <w:topLinePunct w:val="0"/>
              <w:autoSpaceDE/>
              <w:autoSpaceDN/>
              <w:bidi w:val="0"/>
              <w:adjustRightInd/>
              <w:snapToGrid/>
              <w:spacing w:line="280" w:lineRule="exact"/>
              <w:rPr>
                <w:del w:id="2732" w:author="LV" w:date="2026-07-14T16:56:37Z"/>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B5E976C">
            <w:pPr>
              <w:keepNext w:val="0"/>
              <w:keepLines w:val="0"/>
              <w:pageBreakBefore w:val="0"/>
              <w:widowControl w:val="0"/>
              <w:kinsoku/>
              <w:wordWrap/>
              <w:overflowPunct w:val="0"/>
              <w:topLinePunct w:val="0"/>
              <w:autoSpaceDE/>
              <w:autoSpaceDN/>
              <w:bidi w:val="0"/>
              <w:adjustRightInd/>
              <w:snapToGrid/>
              <w:spacing w:line="280" w:lineRule="exact"/>
              <w:rPr>
                <w:del w:id="2733" w:author="LV" w:date="2026-07-14T16:56:37Z"/>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D85438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del w:id="2734" w:author="LV" w:date="2026-07-14T16:56:37Z"/>
                <w:rFonts w:ascii="仿宋_GB2312" w:hAnsi="宋体" w:eastAsia="仿宋_GB2312" w:cs="仿宋_GB2312"/>
                <w:sz w:val="18"/>
                <w:szCs w:val="18"/>
              </w:rPr>
            </w:pPr>
          </w:p>
        </w:tc>
        <w:tc>
          <w:tcPr>
            <w:tcW w:w="1829" w:type="dxa"/>
            <w:tcBorders>
              <w:tl2br w:val="nil"/>
              <w:tr2bl w:val="nil"/>
            </w:tcBorders>
            <w:shd w:val="clear" w:color="auto" w:fill="auto"/>
            <w:tcMar>
              <w:top w:w="15" w:type="dxa"/>
              <w:left w:w="15" w:type="dxa"/>
              <w:right w:w="15" w:type="dxa"/>
            </w:tcMar>
            <w:vAlign w:val="center"/>
          </w:tcPr>
          <w:p w14:paraId="6F55B5FC">
            <w:pPr>
              <w:keepNext w:val="0"/>
              <w:keepLines w:val="0"/>
              <w:pageBreakBefore w:val="0"/>
              <w:widowControl w:val="0"/>
              <w:kinsoku/>
              <w:wordWrap/>
              <w:overflowPunct w:val="0"/>
              <w:topLinePunct w:val="0"/>
              <w:autoSpaceDE/>
              <w:autoSpaceDN/>
              <w:bidi w:val="0"/>
              <w:adjustRightInd/>
              <w:snapToGrid/>
              <w:spacing w:line="280" w:lineRule="exact"/>
              <w:textAlignment w:val="center"/>
              <w:rPr>
                <w:del w:id="2735" w:author="LV" w:date="2026-07-14T16:56:37Z"/>
                <w:rFonts w:ascii="仿宋_GB2312" w:hAnsi="宋体" w:eastAsia="仿宋_GB2312" w:cs="仿宋_GB2312"/>
                <w:sz w:val="18"/>
                <w:szCs w:val="18"/>
              </w:rPr>
            </w:pPr>
          </w:p>
        </w:tc>
        <w:tc>
          <w:tcPr>
            <w:tcW w:w="2655" w:type="dxa"/>
            <w:tcBorders>
              <w:tl2br w:val="nil"/>
              <w:tr2bl w:val="nil"/>
            </w:tcBorders>
            <w:shd w:val="clear" w:color="auto" w:fill="auto"/>
            <w:noWrap/>
            <w:tcMar>
              <w:top w:w="15" w:type="dxa"/>
              <w:left w:w="15" w:type="dxa"/>
              <w:right w:w="15" w:type="dxa"/>
            </w:tcMar>
            <w:vAlign w:val="center"/>
          </w:tcPr>
          <w:p w14:paraId="31654B4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del w:id="2736" w:author="LV" w:date="2026-07-14T16:56:37Z"/>
                <w:rFonts w:ascii="仿宋_GB2312" w:hAnsi="宋体" w:eastAsia="仿宋_GB2312" w:cs="仿宋_GB2312"/>
                <w:sz w:val="18"/>
                <w:szCs w:val="18"/>
              </w:rPr>
            </w:pPr>
          </w:p>
        </w:tc>
      </w:tr>
      <w:tr w14:paraId="2672E2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del w:id="2737" w:author="LV" w:date="2026-07-14T16:56:37Z"/>
        </w:trPr>
        <w:tc>
          <w:tcPr>
            <w:tcW w:w="418" w:type="dxa"/>
            <w:vMerge w:val="continue"/>
            <w:tcBorders>
              <w:tl2br w:val="nil"/>
              <w:tr2bl w:val="nil"/>
            </w:tcBorders>
            <w:shd w:val="clear" w:color="auto" w:fill="auto"/>
            <w:noWrap/>
            <w:tcMar>
              <w:top w:w="15" w:type="dxa"/>
              <w:left w:w="15" w:type="dxa"/>
              <w:right w:w="15" w:type="dxa"/>
            </w:tcMar>
            <w:vAlign w:val="center"/>
          </w:tcPr>
          <w:p w14:paraId="63C1ECA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del w:id="2738" w:author="LV" w:date="2026-07-14T16:56:37Z"/>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1FCF1B1">
            <w:pPr>
              <w:keepNext w:val="0"/>
              <w:keepLines w:val="0"/>
              <w:pageBreakBefore w:val="0"/>
              <w:widowControl w:val="0"/>
              <w:kinsoku/>
              <w:wordWrap/>
              <w:overflowPunct w:val="0"/>
              <w:topLinePunct w:val="0"/>
              <w:autoSpaceDE/>
              <w:autoSpaceDN/>
              <w:bidi w:val="0"/>
              <w:adjustRightInd/>
              <w:snapToGrid/>
              <w:spacing w:line="280" w:lineRule="exact"/>
              <w:rPr>
                <w:del w:id="2739" w:author="LV" w:date="2026-07-14T16:56:37Z"/>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E7E9BA2">
            <w:pPr>
              <w:keepNext w:val="0"/>
              <w:keepLines w:val="0"/>
              <w:pageBreakBefore w:val="0"/>
              <w:widowControl w:val="0"/>
              <w:kinsoku/>
              <w:wordWrap/>
              <w:overflowPunct w:val="0"/>
              <w:topLinePunct w:val="0"/>
              <w:autoSpaceDE/>
              <w:autoSpaceDN/>
              <w:bidi w:val="0"/>
              <w:adjustRightInd/>
              <w:snapToGrid/>
              <w:spacing w:line="280" w:lineRule="exact"/>
              <w:rPr>
                <w:del w:id="2740" w:author="LV" w:date="2026-07-14T16:56:37Z"/>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B7DEDEF">
            <w:pPr>
              <w:keepNext w:val="0"/>
              <w:keepLines w:val="0"/>
              <w:pageBreakBefore w:val="0"/>
              <w:widowControl w:val="0"/>
              <w:kinsoku/>
              <w:wordWrap/>
              <w:overflowPunct w:val="0"/>
              <w:topLinePunct w:val="0"/>
              <w:autoSpaceDE/>
              <w:autoSpaceDN/>
              <w:bidi w:val="0"/>
              <w:adjustRightInd/>
              <w:snapToGrid/>
              <w:spacing w:line="280" w:lineRule="exact"/>
              <w:rPr>
                <w:del w:id="2741" w:author="LV" w:date="2026-07-14T16:56:37Z"/>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8AE5C0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del w:id="2742" w:author="LV" w:date="2026-07-14T16:56:37Z"/>
                <w:rFonts w:ascii="仿宋_GB2312" w:hAnsi="宋体" w:eastAsia="仿宋_GB2312" w:cs="仿宋_GB2312"/>
                <w:sz w:val="18"/>
                <w:szCs w:val="18"/>
              </w:rPr>
            </w:pPr>
          </w:p>
        </w:tc>
        <w:tc>
          <w:tcPr>
            <w:tcW w:w="1829" w:type="dxa"/>
            <w:tcBorders>
              <w:tl2br w:val="nil"/>
              <w:tr2bl w:val="nil"/>
            </w:tcBorders>
            <w:shd w:val="clear" w:color="auto" w:fill="auto"/>
            <w:tcMar>
              <w:top w:w="15" w:type="dxa"/>
              <w:left w:w="15" w:type="dxa"/>
              <w:right w:w="15" w:type="dxa"/>
            </w:tcMar>
            <w:vAlign w:val="center"/>
          </w:tcPr>
          <w:p w14:paraId="5461CE35">
            <w:pPr>
              <w:keepNext w:val="0"/>
              <w:keepLines w:val="0"/>
              <w:pageBreakBefore w:val="0"/>
              <w:widowControl w:val="0"/>
              <w:kinsoku/>
              <w:wordWrap/>
              <w:overflowPunct w:val="0"/>
              <w:topLinePunct w:val="0"/>
              <w:autoSpaceDE/>
              <w:autoSpaceDN/>
              <w:bidi w:val="0"/>
              <w:adjustRightInd/>
              <w:snapToGrid/>
              <w:spacing w:line="280" w:lineRule="exact"/>
              <w:textAlignment w:val="center"/>
              <w:rPr>
                <w:del w:id="2743" w:author="LV" w:date="2026-07-14T16:56:37Z"/>
                <w:rFonts w:ascii="仿宋_GB2312" w:hAnsi="宋体" w:eastAsia="仿宋_GB2312" w:cs="仿宋_GB2312"/>
                <w:sz w:val="18"/>
                <w:szCs w:val="18"/>
              </w:rPr>
            </w:pPr>
          </w:p>
        </w:tc>
        <w:tc>
          <w:tcPr>
            <w:tcW w:w="2655" w:type="dxa"/>
            <w:tcBorders>
              <w:tl2br w:val="nil"/>
              <w:tr2bl w:val="nil"/>
            </w:tcBorders>
            <w:shd w:val="clear" w:color="auto" w:fill="auto"/>
            <w:tcMar>
              <w:top w:w="15" w:type="dxa"/>
              <w:left w:w="15" w:type="dxa"/>
              <w:right w:w="15" w:type="dxa"/>
            </w:tcMar>
            <w:vAlign w:val="center"/>
          </w:tcPr>
          <w:p w14:paraId="56622B0C">
            <w:pPr>
              <w:keepNext w:val="0"/>
              <w:keepLines w:val="0"/>
              <w:pageBreakBefore w:val="0"/>
              <w:widowControl w:val="0"/>
              <w:kinsoku/>
              <w:wordWrap/>
              <w:overflowPunct w:val="0"/>
              <w:topLinePunct w:val="0"/>
              <w:autoSpaceDE/>
              <w:autoSpaceDN/>
              <w:bidi w:val="0"/>
              <w:adjustRightInd/>
              <w:snapToGrid/>
              <w:spacing w:line="280" w:lineRule="exact"/>
              <w:textAlignment w:val="center"/>
              <w:rPr>
                <w:del w:id="2744" w:author="LV" w:date="2026-07-14T16:56:37Z"/>
                <w:rFonts w:ascii="仿宋_GB2312" w:hAnsi="宋体" w:eastAsia="仿宋_GB2312" w:cs="仿宋_GB2312"/>
                <w:sz w:val="18"/>
                <w:szCs w:val="18"/>
              </w:rPr>
            </w:pPr>
          </w:p>
        </w:tc>
      </w:tr>
      <w:tr w14:paraId="7A2754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del w:id="2745" w:author="LV" w:date="2026-07-14T16:56:37Z"/>
        </w:trPr>
        <w:tc>
          <w:tcPr>
            <w:tcW w:w="418" w:type="dxa"/>
            <w:vMerge w:val="continue"/>
            <w:tcBorders>
              <w:tl2br w:val="nil"/>
              <w:tr2bl w:val="nil"/>
            </w:tcBorders>
            <w:shd w:val="clear" w:color="auto" w:fill="auto"/>
            <w:noWrap/>
            <w:tcMar>
              <w:top w:w="15" w:type="dxa"/>
              <w:left w:w="15" w:type="dxa"/>
              <w:right w:w="15" w:type="dxa"/>
            </w:tcMar>
            <w:vAlign w:val="center"/>
          </w:tcPr>
          <w:p w14:paraId="65EF729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del w:id="2746" w:author="LV" w:date="2026-07-14T16:56:37Z"/>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29420EE">
            <w:pPr>
              <w:keepNext w:val="0"/>
              <w:keepLines w:val="0"/>
              <w:pageBreakBefore w:val="0"/>
              <w:widowControl w:val="0"/>
              <w:kinsoku/>
              <w:wordWrap/>
              <w:overflowPunct w:val="0"/>
              <w:topLinePunct w:val="0"/>
              <w:autoSpaceDE/>
              <w:autoSpaceDN/>
              <w:bidi w:val="0"/>
              <w:adjustRightInd/>
              <w:snapToGrid/>
              <w:spacing w:line="280" w:lineRule="exact"/>
              <w:rPr>
                <w:del w:id="2747" w:author="LV" w:date="2026-07-14T16:56:37Z"/>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1D20F05">
            <w:pPr>
              <w:keepNext w:val="0"/>
              <w:keepLines w:val="0"/>
              <w:pageBreakBefore w:val="0"/>
              <w:widowControl w:val="0"/>
              <w:kinsoku/>
              <w:wordWrap/>
              <w:overflowPunct w:val="0"/>
              <w:topLinePunct w:val="0"/>
              <w:autoSpaceDE/>
              <w:autoSpaceDN/>
              <w:bidi w:val="0"/>
              <w:adjustRightInd/>
              <w:snapToGrid/>
              <w:spacing w:line="280" w:lineRule="exact"/>
              <w:rPr>
                <w:del w:id="2748" w:author="LV" w:date="2026-07-14T16:56:37Z"/>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77E79A1">
            <w:pPr>
              <w:keepNext w:val="0"/>
              <w:keepLines w:val="0"/>
              <w:pageBreakBefore w:val="0"/>
              <w:widowControl w:val="0"/>
              <w:kinsoku/>
              <w:wordWrap/>
              <w:overflowPunct w:val="0"/>
              <w:topLinePunct w:val="0"/>
              <w:autoSpaceDE/>
              <w:autoSpaceDN/>
              <w:bidi w:val="0"/>
              <w:adjustRightInd/>
              <w:snapToGrid/>
              <w:spacing w:line="280" w:lineRule="exact"/>
              <w:rPr>
                <w:del w:id="2749" w:author="LV" w:date="2026-07-14T16:56:37Z"/>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C56566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del w:id="2750" w:author="LV" w:date="2026-07-14T16:56:37Z"/>
                <w:rFonts w:ascii="仿宋_GB2312" w:hAnsi="宋体" w:eastAsia="仿宋_GB2312" w:cs="仿宋_GB2312"/>
                <w:sz w:val="18"/>
                <w:szCs w:val="18"/>
              </w:rPr>
            </w:pPr>
          </w:p>
        </w:tc>
        <w:tc>
          <w:tcPr>
            <w:tcW w:w="1829" w:type="dxa"/>
            <w:tcBorders>
              <w:tl2br w:val="nil"/>
              <w:tr2bl w:val="nil"/>
            </w:tcBorders>
            <w:shd w:val="clear" w:color="auto" w:fill="auto"/>
            <w:tcMar>
              <w:top w:w="15" w:type="dxa"/>
              <w:left w:w="15" w:type="dxa"/>
              <w:right w:w="15" w:type="dxa"/>
            </w:tcMar>
            <w:vAlign w:val="center"/>
          </w:tcPr>
          <w:p w14:paraId="14494F9F">
            <w:pPr>
              <w:keepNext w:val="0"/>
              <w:keepLines w:val="0"/>
              <w:pageBreakBefore w:val="0"/>
              <w:widowControl w:val="0"/>
              <w:kinsoku/>
              <w:wordWrap/>
              <w:overflowPunct w:val="0"/>
              <w:topLinePunct w:val="0"/>
              <w:autoSpaceDE/>
              <w:autoSpaceDN/>
              <w:bidi w:val="0"/>
              <w:adjustRightInd/>
              <w:snapToGrid/>
              <w:spacing w:line="280" w:lineRule="exact"/>
              <w:textAlignment w:val="center"/>
              <w:rPr>
                <w:del w:id="2751" w:author="LV" w:date="2026-07-14T16:56:37Z"/>
                <w:rFonts w:ascii="仿宋_GB2312" w:hAnsi="宋体" w:eastAsia="仿宋_GB2312" w:cs="仿宋_GB2312"/>
                <w:sz w:val="18"/>
                <w:szCs w:val="18"/>
              </w:rPr>
            </w:pPr>
          </w:p>
        </w:tc>
        <w:tc>
          <w:tcPr>
            <w:tcW w:w="2655" w:type="dxa"/>
            <w:tcBorders>
              <w:tl2br w:val="nil"/>
              <w:tr2bl w:val="nil"/>
            </w:tcBorders>
            <w:shd w:val="clear" w:color="auto" w:fill="auto"/>
            <w:tcMar>
              <w:top w:w="15" w:type="dxa"/>
              <w:left w:w="15" w:type="dxa"/>
              <w:right w:w="15" w:type="dxa"/>
            </w:tcMar>
            <w:vAlign w:val="center"/>
          </w:tcPr>
          <w:p w14:paraId="390FF6FB">
            <w:pPr>
              <w:keepNext w:val="0"/>
              <w:keepLines w:val="0"/>
              <w:pageBreakBefore w:val="0"/>
              <w:widowControl w:val="0"/>
              <w:kinsoku/>
              <w:wordWrap/>
              <w:overflowPunct w:val="0"/>
              <w:topLinePunct w:val="0"/>
              <w:autoSpaceDE/>
              <w:autoSpaceDN/>
              <w:bidi w:val="0"/>
              <w:adjustRightInd/>
              <w:snapToGrid/>
              <w:spacing w:line="280" w:lineRule="exact"/>
              <w:textAlignment w:val="center"/>
              <w:rPr>
                <w:del w:id="2752" w:author="LV" w:date="2026-07-14T16:56:37Z"/>
                <w:rFonts w:ascii="仿宋_GB2312" w:hAnsi="宋体" w:eastAsia="仿宋_GB2312" w:cs="仿宋_GB2312"/>
                <w:sz w:val="18"/>
                <w:szCs w:val="18"/>
              </w:rPr>
            </w:pPr>
          </w:p>
        </w:tc>
      </w:tr>
      <w:tr w14:paraId="608276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del w:id="2753" w:author="LV" w:date="2026-07-14T16:56:37Z"/>
        </w:trPr>
        <w:tc>
          <w:tcPr>
            <w:tcW w:w="418" w:type="dxa"/>
            <w:vMerge w:val="continue"/>
            <w:tcBorders>
              <w:tl2br w:val="nil"/>
              <w:tr2bl w:val="nil"/>
            </w:tcBorders>
            <w:shd w:val="clear" w:color="auto" w:fill="auto"/>
            <w:noWrap/>
            <w:tcMar>
              <w:top w:w="15" w:type="dxa"/>
              <w:left w:w="15" w:type="dxa"/>
              <w:right w:w="15" w:type="dxa"/>
            </w:tcMar>
            <w:vAlign w:val="center"/>
          </w:tcPr>
          <w:p w14:paraId="1B726BA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del w:id="2754" w:author="LV" w:date="2026-07-14T16:56:37Z"/>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E01FCBA">
            <w:pPr>
              <w:keepNext w:val="0"/>
              <w:keepLines w:val="0"/>
              <w:pageBreakBefore w:val="0"/>
              <w:widowControl w:val="0"/>
              <w:kinsoku/>
              <w:wordWrap/>
              <w:overflowPunct w:val="0"/>
              <w:topLinePunct w:val="0"/>
              <w:autoSpaceDE/>
              <w:autoSpaceDN/>
              <w:bidi w:val="0"/>
              <w:adjustRightInd/>
              <w:snapToGrid/>
              <w:spacing w:line="280" w:lineRule="exact"/>
              <w:rPr>
                <w:del w:id="2755" w:author="LV" w:date="2026-07-14T16:56:37Z"/>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ECD380F">
            <w:pPr>
              <w:keepNext w:val="0"/>
              <w:keepLines w:val="0"/>
              <w:pageBreakBefore w:val="0"/>
              <w:widowControl w:val="0"/>
              <w:kinsoku/>
              <w:wordWrap/>
              <w:overflowPunct w:val="0"/>
              <w:topLinePunct w:val="0"/>
              <w:autoSpaceDE/>
              <w:autoSpaceDN/>
              <w:bidi w:val="0"/>
              <w:adjustRightInd/>
              <w:snapToGrid/>
              <w:spacing w:line="280" w:lineRule="exact"/>
              <w:rPr>
                <w:del w:id="2756" w:author="LV" w:date="2026-07-14T16:56:37Z"/>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D287DFA">
            <w:pPr>
              <w:keepNext w:val="0"/>
              <w:keepLines w:val="0"/>
              <w:pageBreakBefore w:val="0"/>
              <w:widowControl w:val="0"/>
              <w:kinsoku/>
              <w:wordWrap/>
              <w:overflowPunct w:val="0"/>
              <w:topLinePunct w:val="0"/>
              <w:autoSpaceDE/>
              <w:autoSpaceDN/>
              <w:bidi w:val="0"/>
              <w:adjustRightInd/>
              <w:snapToGrid/>
              <w:spacing w:line="280" w:lineRule="exact"/>
              <w:rPr>
                <w:del w:id="2757" w:author="LV" w:date="2026-07-14T16:56:37Z"/>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72AD26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del w:id="2758" w:author="LV" w:date="2026-07-14T16:56:37Z"/>
                <w:rFonts w:ascii="仿宋_GB2312" w:hAnsi="宋体" w:eastAsia="仿宋_GB2312" w:cs="仿宋_GB2312"/>
                <w:sz w:val="18"/>
                <w:szCs w:val="18"/>
              </w:rPr>
            </w:pPr>
          </w:p>
        </w:tc>
        <w:tc>
          <w:tcPr>
            <w:tcW w:w="1829" w:type="dxa"/>
            <w:tcBorders>
              <w:tl2br w:val="nil"/>
              <w:tr2bl w:val="nil"/>
            </w:tcBorders>
            <w:shd w:val="clear" w:color="auto" w:fill="auto"/>
            <w:tcMar>
              <w:top w:w="15" w:type="dxa"/>
              <w:left w:w="15" w:type="dxa"/>
              <w:right w:w="15" w:type="dxa"/>
            </w:tcMar>
            <w:vAlign w:val="center"/>
          </w:tcPr>
          <w:p w14:paraId="1A0FB636">
            <w:pPr>
              <w:keepNext w:val="0"/>
              <w:keepLines w:val="0"/>
              <w:pageBreakBefore w:val="0"/>
              <w:widowControl w:val="0"/>
              <w:kinsoku/>
              <w:wordWrap/>
              <w:overflowPunct w:val="0"/>
              <w:topLinePunct w:val="0"/>
              <w:autoSpaceDE/>
              <w:autoSpaceDN/>
              <w:bidi w:val="0"/>
              <w:adjustRightInd/>
              <w:snapToGrid/>
              <w:spacing w:line="280" w:lineRule="exact"/>
              <w:textAlignment w:val="center"/>
              <w:rPr>
                <w:del w:id="2759" w:author="LV" w:date="2026-07-14T16:56:37Z"/>
                <w:rFonts w:ascii="仿宋_GB2312" w:hAnsi="宋体" w:eastAsia="仿宋_GB2312" w:cs="仿宋_GB2312"/>
                <w:sz w:val="18"/>
                <w:szCs w:val="18"/>
              </w:rPr>
            </w:pPr>
          </w:p>
        </w:tc>
        <w:tc>
          <w:tcPr>
            <w:tcW w:w="2655" w:type="dxa"/>
            <w:tcBorders>
              <w:tl2br w:val="nil"/>
              <w:tr2bl w:val="nil"/>
            </w:tcBorders>
            <w:shd w:val="clear" w:color="auto" w:fill="auto"/>
            <w:tcMar>
              <w:top w:w="15" w:type="dxa"/>
              <w:left w:w="15" w:type="dxa"/>
              <w:right w:w="15" w:type="dxa"/>
            </w:tcMar>
            <w:vAlign w:val="center"/>
          </w:tcPr>
          <w:p w14:paraId="7AF6C3E0">
            <w:pPr>
              <w:keepNext w:val="0"/>
              <w:keepLines w:val="0"/>
              <w:pageBreakBefore w:val="0"/>
              <w:widowControl w:val="0"/>
              <w:kinsoku/>
              <w:wordWrap/>
              <w:overflowPunct w:val="0"/>
              <w:topLinePunct w:val="0"/>
              <w:autoSpaceDE/>
              <w:autoSpaceDN/>
              <w:bidi w:val="0"/>
              <w:adjustRightInd/>
              <w:snapToGrid/>
              <w:spacing w:line="280" w:lineRule="exact"/>
              <w:textAlignment w:val="center"/>
              <w:rPr>
                <w:del w:id="2760" w:author="LV" w:date="2026-07-14T16:56:37Z"/>
                <w:rFonts w:ascii="仿宋_GB2312" w:hAnsi="宋体" w:eastAsia="仿宋_GB2312" w:cs="仿宋_GB2312"/>
                <w:sz w:val="18"/>
                <w:szCs w:val="18"/>
              </w:rPr>
            </w:pPr>
          </w:p>
        </w:tc>
      </w:tr>
      <w:tr w14:paraId="6724E0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7C5A827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1</w:t>
            </w:r>
            <w:del w:id="2761" w:author="LV" w:date="2026-07-14T16:56:43Z">
              <w:r>
                <w:rPr>
                  <w:rFonts w:hint="default" w:ascii="仿宋_GB2312" w:hAnsi="宋体" w:eastAsia="仿宋_GB2312" w:cs="仿宋_GB2312"/>
                  <w:kern w:val="0"/>
                  <w:sz w:val="18"/>
                  <w:szCs w:val="18"/>
                  <w:lang w:val="en-US" w:bidi="ar"/>
                </w:rPr>
                <w:delText>3</w:delText>
              </w:r>
            </w:del>
            <w:del w:id="2762" w:author="LV" w:date="2026-07-14T16:56:43Z">
              <w:r>
                <w:rPr>
                  <w:rFonts w:hint="default" w:ascii="仿宋_GB2312" w:hAnsi="宋体" w:eastAsia="仿宋_GB2312" w:cs="仿宋_GB2312"/>
                  <w:kern w:val="0"/>
                  <w:sz w:val="18"/>
                  <w:szCs w:val="18"/>
                  <w:lang w:val="en-US" w:eastAsia="zh-CN" w:bidi="ar"/>
                </w:rPr>
                <w:delText>3</w:delText>
              </w:r>
            </w:del>
            <w:ins w:id="2763" w:author="LV" w:date="2026-07-14T16:56:43Z">
              <w:r>
                <w:rPr>
                  <w:rFonts w:hint="eastAsia" w:ascii="仿宋_GB2312" w:hAnsi="宋体" w:eastAsia="仿宋_GB2312" w:cs="仿宋_GB2312"/>
                  <w:kern w:val="0"/>
                  <w:sz w:val="18"/>
                  <w:szCs w:val="18"/>
                  <w:lang w:val="en-US" w:eastAsia="zh-CN" w:bidi="ar"/>
                </w:rPr>
                <w:t>40</w:t>
              </w:r>
            </w:ins>
          </w:p>
        </w:tc>
        <w:tc>
          <w:tcPr>
            <w:tcW w:w="1005" w:type="dxa"/>
            <w:vMerge w:val="restart"/>
            <w:tcBorders>
              <w:tl2br w:val="nil"/>
              <w:tr2bl w:val="nil"/>
            </w:tcBorders>
            <w:shd w:val="clear" w:color="auto" w:fill="auto"/>
            <w:tcMar>
              <w:top w:w="15" w:type="dxa"/>
              <w:left w:w="15" w:type="dxa"/>
              <w:right w:w="15" w:type="dxa"/>
            </w:tcMar>
            <w:vAlign w:val="center"/>
          </w:tcPr>
          <w:p w14:paraId="382CB41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煤矿企业未按照规定建立事故隐患排查治理台账或者重大事故隐患排查治理信息档案，逾期未改正的</w:t>
            </w:r>
          </w:p>
        </w:tc>
        <w:tc>
          <w:tcPr>
            <w:tcW w:w="3667" w:type="dxa"/>
            <w:vMerge w:val="restart"/>
            <w:tcBorders>
              <w:tl2br w:val="nil"/>
              <w:tr2bl w:val="nil"/>
            </w:tcBorders>
            <w:shd w:val="clear" w:color="auto" w:fill="auto"/>
            <w:tcMar>
              <w:top w:w="15" w:type="dxa"/>
              <w:left w:w="15" w:type="dxa"/>
              <w:right w:w="15" w:type="dxa"/>
            </w:tcMar>
            <w:vAlign w:val="center"/>
          </w:tcPr>
          <w:p w14:paraId="13A4E41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《山东省生产安全事故隐患排查治理办法》第二十二条 生产经营单位应当建立事故隐患排查治理台账，如实记录事故隐患排查人员、时间、具体部位或者场所、具体情形、报送情况和监控措施。重大事故隐患还应当建立专门的信息档案，保存事故隐患治理过程中形成的风险评估情况、治理方案、复查验收报告以及报送情况等各种记录和文件。</w:t>
            </w:r>
          </w:p>
        </w:tc>
        <w:tc>
          <w:tcPr>
            <w:tcW w:w="4082" w:type="dxa"/>
            <w:vMerge w:val="restart"/>
            <w:tcBorders>
              <w:tl2br w:val="nil"/>
              <w:tr2bl w:val="nil"/>
            </w:tcBorders>
            <w:shd w:val="clear" w:color="auto" w:fill="auto"/>
            <w:tcMar>
              <w:top w:w="15" w:type="dxa"/>
              <w:left w:w="15" w:type="dxa"/>
              <w:right w:w="15" w:type="dxa"/>
            </w:tcMar>
            <w:vAlign w:val="center"/>
          </w:tcPr>
          <w:p w14:paraId="6AE7B4B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《山东省生产安全事故隐患排查治理办法》第三十八条 违反本办法，生产经营单位未按照规定建立事故隐患排查治理台账或者重大事故隐患排查治理信息档案的，责令限期改正；逾期未改正的，处1万元以上3万元以下的罚款。</w:t>
            </w:r>
          </w:p>
        </w:tc>
        <w:tc>
          <w:tcPr>
            <w:tcW w:w="459" w:type="dxa"/>
            <w:tcBorders>
              <w:tl2br w:val="nil"/>
              <w:tr2bl w:val="nil"/>
            </w:tcBorders>
            <w:shd w:val="clear" w:color="auto" w:fill="auto"/>
            <w:noWrap/>
            <w:tcMar>
              <w:top w:w="15" w:type="dxa"/>
              <w:left w:w="15" w:type="dxa"/>
              <w:right w:w="15" w:type="dxa"/>
            </w:tcMar>
            <w:vAlign w:val="center"/>
          </w:tcPr>
          <w:p w14:paraId="7209503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1DED8FD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C1156B6">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5A46A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3A827B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3E4822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D3F317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F877E9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B1DDD6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314451E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13B7F7C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38B82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FD7DBD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240776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7BAC08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0B8876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398B38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5C659E4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F86974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CA812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23C9A0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971155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992E94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3E25A9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34B95E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47B5580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逾期未按照规定建立事故隐患排查治理台账的。</w:t>
            </w:r>
          </w:p>
        </w:tc>
        <w:tc>
          <w:tcPr>
            <w:tcW w:w="2655" w:type="dxa"/>
            <w:tcBorders>
              <w:tl2br w:val="nil"/>
              <w:tr2bl w:val="nil"/>
            </w:tcBorders>
            <w:shd w:val="clear" w:color="auto" w:fill="auto"/>
            <w:tcMar>
              <w:top w:w="15" w:type="dxa"/>
              <w:left w:w="15" w:type="dxa"/>
              <w:right w:w="15" w:type="dxa"/>
            </w:tcMar>
            <w:vAlign w:val="center"/>
          </w:tcPr>
          <w:p w14:paraId="2A1E861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处1万元以上1.5万元以下的罚款。</w:t>
            </w:r>
          </w:p>
        </w:tc>
      </w:tr>
      <w:tr w14:paraId="7ED964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58E034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352BDE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144E12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2C28C0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1F9725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53EE1E3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逾期未按照规定建立重大事故隐患排查治理信息档案的。</w:t>
            </w:r>
          </w:p>
        </w:tc>
        <w:tc>
          <w:tcPr>
            <w:tcW w:w="2655" w:type="dxa"/>
            <w:tcBorders>
              <w:tl2br w:val="nil"/>
              <w:tr2bl w:val="nil"/>
            </w:tcBorders>
            <w:shd w:val="clear" w:color="auto" w:fill="auto"/>
            <w:tcMar>
              <w:top w:w="15" w:type="dxa"/>
              <w:left w:w="15" w:type="dxa"/>
              <w:right w:w="15" w:type="dxa"/>
            </w:tcMar>
            <w:vAlign w:val="center"/>
          </w:tcPr>
          <w:p w14:paraId="75952C0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w:t>
            </w:r>
            <w:r>
              <w:rPr>
                <w:rFonts w:ascii="仿宋_GB2312" w:hAnsi="宋体" w:eastAsia="仿宋_GB2312" w:cs="仿宋_GB2312"/>
                <w:kern w:val="0"/>
                <w:sz w:val="18"/>
                <w:szCs w:val="18"/>
                <w:lang w:val="is-IS" w:bidi="ar"/>
              </w:rPr>
              <w:t>1.5万元以上2.5万元以下</w:t>
            </w:r>
            <w:r>
              <w:rPr>
                <w:rFonts w:hint="eastAsia" w:ascii="仿宋_GB2312" w:hAnsi="宋体" w:eastAsia="仿宋_GB2312" w:cs="仿宋_GB2312"/>
                <w:kern w:val="0"/>
                <w:sz w:val="18"/>
                <w:szCs w:val="18"/>
                <w:lang w:bidi="ar"/>
              </w:rPr>
              <w:t>的罚款。</w:t>
            </w:r>
          </w:p>
        </w:tc>
      </w:tr>
      <w:tr w14:paraId="06B9FA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036FDE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A46F41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04C9FE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3DC461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38AD92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33BB871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逾期未按照规定建立事故隐患排查治理台账，也未按照规定建立重大事故隐患排查治理信息档案的。</w:t>
            </w:r>
          </w:p>
        </w:tc>
        <w:tc>
          <w:tcPr>
            <w:tcW w:w="2655" w:type="dxa"/>
            <w:tcBorders>
              <w:tl2br w:val="nil"/>
              <w:tr2bl w:val="nil"/>
            </w:tcBorders>
            <w:shd w:val="clear" w:color="auto" w:fill="auto"/>
            <w:tcMar>
              <w:top w:w="15" w:type="dxa"/>
              <w:left w:w="15" w:type="dxa"/>
              <w:right w:w="15" w:type="dxa"/>
            </w:tcMar>
            <w:vAlign w:val="center"/>
          </w:tcPr>
          <w:p w14:paraId="52D1764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处2</w:t>
            </w:r>
            <w:r>
              <w:rPr>
                <w:rFonts w:ascii="仿宋_GB2312" w:hAnsi="宋体" w:eastAsia="仿宋_GB2312" w:cs="仿宋_GB2312"/>
                <w:kern w:val="0"/>
                <w:sz w:val="18"/>
                <w:szCs w:val="18"/>
                <w:lang w:val="is-IS" w:bidi="ar"/>
              </w:rPr>
              <w:t>.5万元以上</w:t>
            </w:r>
            <w:r>
              <w:rPr>
                <w:rFonts w:hint="eastAsia" w:ascii="仿宋_GB2312" w:hAnsi="宋体" w:eastAsia="仿宋_GB2312" w:cs="仿宋_GB2312"/>
                <w:kern w:val="0"/>
                <w:sz w:val="18"/>
                <w:szCs w:val="18"/>
                <w:lang w:bidi="ar"/>
              </w:rPr>
              <w:t>3</w:t>
            </w:r>
            <w:r>
              <w:rPr>
                <w:rFonts w:ascii="仿宋_GB2312" w:hAnsi="宋体" w:eastAsia="仿宋_GB2312" w:cs="仿宋_GB2312"/>
                <w:kern w:val="0"/>
                <w:sz w:val="18"/>
                <w:szCs w:val="18"/>
                <w:lang w:val="is-IS" w:bidi="ar"/>
              </w:rPr>
              <w:t>万元以下</w:t>
            </w:r>
            <w:r>
              <w:rPr>
                <w:rFonts w:hint="eastAsia" w:ascii="仿宋_GB2312" w:hAnsi="宋体" w:eastAsia="仿宋_GB2312" w:cs="仿宋_GB2312"/>
                <w:kern w:val="0"/>
                <w:sz w:val="18"/>
                <w:szCs w:val="18"/>
                <w:lang w:bidi="ar"/>
              </w:rPr>
              <w:t>的罚款。</w:t>
            </w:r>
          </w:p>
        </w:tc>
      </w:tr>
      <w:tr w14:paraId="765547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0A805DE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1</w:t>
            </w:r>
            <w:del w:id="2764" w:author="LV" w:date="2026-07-14T16:56:52Z">
              <w:r>
                <w:rPr>
                  <w:rFonts w:hint="default" w:ascii="仿宋_GB2312" w:hAnsi="宋体" w:eastAsia="仿宋_GB2312" w:cs="仿宋_GB2312"/>
                  <w:kern w:val="0"/>
                  <w:sz w:val="18"/>
                  <w:szCs w:val="18"/>
                  <w:lang w:val="en-US" w:bidi="ar"/>
                </w:rPr>
                <w:delText>3</w:delText>
              </w:r>
            </w:del>
            <w:del w:id="2765" w:author="LV" w:date="2026-07-14T16:56:52Z">
              <w:r>
                <w:rPr>
                  <w:rFonts w:hint="default" w:ascii="仿宋_GB2312" w:hAnsi="宋体" w:eastAsia="仿宋_GB2312" w:cs="仿宋_GB2312"/>
                  <w:kern w:val="0"/>
                  <w:sz w:val="18"/>
                  <w:szCs w:val="18"/>
                  <w:lang w:val="en-US" w:eastAsia="zh-CN" w:bidi="ar"/>
                </w:rPr>
                <w:delText>4</w:delText>
              </w:r>
            </w:del>
            <w:ins w:id="2766" w:author="LV" w:date="2026-07-14T16:56:52Z">
              <w:r>
                <w:rPr>
                  <w:rFonts w:hint="eastAsia" w:ascii="仿宋_GB2312" w:hAnsi="宋体" w:eastAsia="仿宋_GB2312" w:cs="仿宋_GB2312"/>
                  <w:kern w:val="0"/>
                  <w:sz w:val="18"/>
                  <w:szCs w:val="18"/>
                  <w:lang w:val="en-US" w:eastAsia="zh-CN" w:bidi="ar"/>
                </w:rPr>
                <w:t>41</w:t>
              </w:r>
            </w:ins>
          </w:p>
        </w:tc>
        <w:tc>
          <w:tcPr>
            <w:tcW w:w="1005" w:type="dxa"/>
            <w:vMerge w:val="restart"/>
            <w:tcBorders>
              <w:tl2br w:val="nil"/>
              <w:tr2bl w:val="nil"/>
            </w:tcBorders>
            <w:shd w:val="clear" w:color="auto" w:fill="auto"/>
            <w:tcMar>
              <w:top w:w="15" w:type="dxa"/>
              <w:left w:w="15" w:type="dxa"/>
              <w:right w:w="15" w:type="dxa"/>
            </w:tcMar>
            <w:vAlign w:val="center"/>
          </w:tcPr>
          <w:p w14:paraId="7A4023C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未按照规定对从业人员进行安全生产风险教育培训</w:t>
            </w:r>
            <w:r>
              <w:rPr>
                <w:rFonts w:hint="eastAsia" w:ascii="仿宋_GB2312" w:hAnsi="宋体" w:eastAsia="仿宋_GB2312" w:cs="仿宋_GB2312"/>
                <w:kern w:val="0"/>
                <w:sz w:val="18"/>
                <w:szCs w:val="18"/>
                <w:lang w:val="en-US" w:eastAsia="zh-CN" w:bidi="ar"/>
              </w:rPr>
              <w:t>的</w:t>
            </w:r>
          </w:p>
        </w:tc>
        <w:tc>
          <w:tcPr>
            <w:tcW w:w="3667" w:type="dxa"/>
            <w:vMerge w:val="restart"/>
            <w:tcBorders>
              <w:tl2br w:val="nil"/>
              <w:tr2bl w:val="nil"/>
            </w:tcBorders>
            <w:shd w:val="clear" w:color="auto" w:fill="auto"/>
            <w:tcMar>
              <w:top w:w="15" w:type="dxa"/>
              <w:left w:w="15" w:type="dxa"/>
              <w:right w:w="15" w:type="dxa"/>
            </w:tcMar>
            <w:vAlign w:val="center"/>
          </w:tcPr>
          <w:p w14:paraId="72CE81B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bidi="ar"/>
              </w:rPr>
              <w:t>《山东省安全生产风险管控办法》</w:t>
            </w:r>
          </w:p>
          <w:p w14:paraId="11262C4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bidi="ar"/>
              </w:rPr>
              <w:t>第七条</w:t>
            </w:r>
            <w:r>
              <w:rPr>
                <w:rFonts w:hint="eastAsia" w:ascii="仿宋_GB2312" w:hAnsi="宋体" w:eastAsia="仿宋_GB2312" w:cs="仿宋_GB2312"/>
                <w:color w:val="auto"/>
                <w:kern w:val="0"/>
                <w:sz w:val="18"/>
                <w:szCs w:val="18"/>
                <w:lang w:val="en-US" w:eastAsia="zh-CN" w:bidi="ar"/>
              </w:rPr>
              <w:t xml:space="preserve"> </w:t>
            </w:r>
            <w:r>
              <w:rPr>
                <w:rFonts w:hint="eastAsia" w:ascii="仿宋_GB2312" w:hAnsi="宋体" w:eastAsia="仿宋_GB2312" w:cs="仿宋_GB2312"/>
                <w:color w:val="auto"/>
                <w:kern w:val="0"/>
                <w:sz w:val="18"/>
                <w:szCs w:val="18"/>
                <w:lang w:bidi="ar"/>
              </w:rPr>
              <w:t>各级人民政府以及有关部门、新闻媒体应当采取多种形式，开展安全生产风险管控宣传，增强生产经营单位及其从业人员和公众的安全生产风险防范意识。生产经营单位应当将风险管控工作纳入年度安全生产教育培训计划并组织实施。</w:t>
            </w:r>
          </w:p>
          <w:p w14:paraId="7D7ACB9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color w:val="auto"/>
                <w:kern w:val="0"/>
                <w:sz w:val="18"/>
                <w:szCs w:val="18"/>
                <w:lang w:bidi="ar"/>
              </w:rPr>
              <w:t>第十五条</w:t>
            </w:r>
            <w:r>
              <w:rPr>
                <w:rFonts w:hint="eastAsia" w:ascii="仿宋_GB2312" w:hAnsi="宋体" w:eastAsia="仿宋_GB2312" w:cs="仿宋_GB2312"/>
                <w:color w:val="auto"/>
                <w:kern w:val="0"/>
                <w:sz w:val="18"/>
                <w:szCs w:val="18"/>
                <w:lang w:val="en-US" w:eastAsia="zh-CN" w:bidi="ar"/>
              </w:rPr>
              <w:t xml:space="preserve"> </w:t>
            </w:r>
            <w:r>
              <w:rPr>
                <w:rFonts w:hint="eastAsia" w:ascii="仿宋_GB2312" w:hAnsi="宋体" w:eastAsia="仿宋_GB2312" w:cs="仿宋_GB2312"/>
                <w:color w:val="auto"/>
                <w:kern w:val="0"/>
                <w:sz w:val="18"/>
                <w:szCs w:val="18"/>
                <w:lang w:bidi="ar"/>
              </w:rPr>
              <w:t>生产经营单位应当根据风险评价和风险因素辨识结果，编制风险分级管控清单，列明管控重点、管控机构、责任人员和技术改造、</w:t>
            </w:r>
            <w:r>
              <w:rPr>
                <w:rFonts w:hint="default" w:ascii="仿宋_GB2312" w:hAnsi="宋体" w:eastAsia="仿宋_GB2312" w:cs="仿宋_GB2312"/>
                <w:color w:val="auto"/>
                <w:kern w:val="0"/>
                <w:sz w:val="18"/>
                <w:szCs w:val="18"/>
                <w:lang w:bidi="ar"/>
              </w:rPr>
              <w:fldChar w:fldCharType="begin"/>
            </w:r>
            <w:r>
              <w:rPr>
                <w:rFonts w:hint="default" w:ascii="仿宋_GB2312" w:hAnsi="宋体" w:eastAsia="仿宋_GB2312" w:cs="仿宋_GB2312"/>
                <w:color w:val="auto"/>
                <w:kern w:val="0"/>
                <w:sz w:val="18"/>
                <w:szCs w:val="18"/>
                <w:lang w:bidi="ar"/>
              </w:rPr>
              <w:instrText xml:space="preserve"> HYPERLINK "https://baike.sogou.com/lemma/ShowInnerLink.htm?lemmaId=7014373&amp;ss_c=ssc.citiao.link" \t "https://baike.sogou.com/_blank" </w:instrText>
            </w:r>
            <w:r>
              <w:rPr>
                <w:rFonts w:hint="default" w:ascii="仿宋_GB2312" w:hAnsi="宋体" w:eastAsia="仿宋_GB2312" w:cs="仿宋_GB2312"/>
                <w:color w:val="auto"/>
                <w:kern w:val="0"/>
                <w:sz w:val="18"/>
                <w:szCs w:val="18"/>
                <w:lang w:bidi="ar"/>
              </w:rPr>
              <w:fldChar w:fldCharType="separate"/>
            </w:r>
            <w:r>
              <w:rPr>
                <w:rFonts w:hint="default" w:ascii="仿宋_GB2312" w:hAnsi="宋体" w:eastAsia="仿宋_GB2312" w:cs="仿宋_GB2312"/>
                <w:color w:val="auto"/>
                <w:kern w:val="0"/>
                <w:sz w:val="18"/>
                <w:szCs w:val="18"/>
                <w:lang w:bidi="ar"/>
              </w:rPr>
              <w:t>经营管理</w:t>
            </w:r>
            <w:r>
              <w:rPr>
                <w:rFonts w:hint="default" w:ascii="仿宋_GB2312" w:hAnsi="宋体" w:eastAsia="仿宋_GB2312" w:cs="仿宋_GB2312"/>
                <w:color w:val="auto"/>
                <w:kern w:val="0"/>
                <w:sz w:val="18"/>
                <w:szCs w:val="18"/>
                <w:lang w:bidi="ar"/>
              </w:rPr>
              <w:fldChar w:fldCharType="end"/>
            </w:r>
            <w:r>
              <w:rPr>
                <w:rFonts w:hint="default" w:ascii="仿宋_GB2312" w:hAnsi="宋体" w:eastAsia="仿宋_GB2312" w:cs="仿宋_GB2312"/>
                <w:color w:val="auto"/>
                <w:kern w:val="0"/>
                <w:sz w:val="18"/>
                <w:szCs w:val="18"/>
                <w:lang w:bidi="ar"/>
              </w:rPr>
              <w:t>、培训教育、安全防护和应急处置等管控措施。</w:t>
            </w:r>
          </w:p>
        </w:tc>
        <w:tc>
          <w:tcPr>
            <w:tcW w:w="4082" w:type="dxa"/>
            <w:vMerge w:val="restart"/>
            <w:tcBorders>
              <w:tl2br w:val="nil"/>
              <w:tr2bl w:val="nil"/>
            </w:tcBorders>
            <w:shd w:val="clear" w:color="auto" w:fill="auto"/>
            <w:tcMar>
              <w:top w:w="15" w:type="dxa"/>
              <w:left w:w="15" w:type="dxa"/>
              <w:right w:w="15" w:type="dxa"/>
            </w:tcMar>
            <w:vAlign w:val="center"/>
          </w:tcPr>
          <w:p w14:paraId="46F02E4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《山东省安全生产风险管控办法》第二十六条 违反本办法规定，生产经营单位有下列情形之一的，由负有安全生产监督管理职责的部门责令限期改正，可以处1万元以上5万元以下的罚款；逾期未改正的，责令停产停业整顿，并处5万元以上10万元以下的罚款，对其主要负责人、直接负责的主管人员和其他直接责任人员处1万元以上2万元以下的罚款:（二）未按照规定对从业人员进行安全生产风险教育培训的</w:t>
            </w:r>
            <w:r>
              <w:rPr>
                <w:rFonts w:hint="eastAsia" w:ascii="仿宋_GB2312" w:hAnsi="宋体" w:eastAsia="仿宋_GB2312" w:cs="仿宋_GB2312"/>
                <w:kern w:val="0"/>
                <w:sz w:val="18"/>
                <w:szCs w:val="18"/>
                <w:lang w:eastAsia="zh-CN" w:bidi="ar"/>
              </w:rPr>
              <w:t>。</w:t>
            </w:r>
          </w:p>
        </w:tc>
        <w:tc>
          <w:tcPr>
            <w:tcW w:w="459" w:type="dxa"/>
            <w:tcBorders>
              <w:tl2br w:val="nil"/>
              <w:tr2bl w:val="nil"/>
            </w:tcBorders>
            <w:shd w:val="clear" w:color="auto" w:fill="auto"/>
            <w:noWrap/>
            <w:tcMar>
              <w:top w:w="15" w:type="dxa"/>
              <w:left w:w="15" w:type="dxa"/>
              <w:right w:w="15" w:type="dxa"/>
            </w:tcMar>
            <w:vAlign w:val="center"/>
          </w:tcPr>
          <w:p w14:paraId="10894A0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6892893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5B897C32">
            <w:pPr>
              <w:keepNext w:val="0"/>
              <w:keepLines w:val="0"/>
              <w:pageBreakBefore w:val="0"/>
              <w:widowControl w:val="0"/>
              <w:kinsoku/>
              <w:wordWrap/>
              <w:overflowPunct w:val="0"/>
              <w:topLinePunct w:val="0"/>
              <w:autoSpaceDE/>
              <w:autoSpaceDN/>
              <w:bidi w:val="0"/>
              <w:adjustRightInd/>
              <w:snapToGrid/>
              <w:spacing w:line="280" w:lineRule="exact"/>
              <w:jc w:val="center"/>
              <w:textAlignment w:val="bottom"/>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66093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8147B9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1C7815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82B16D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59DC82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30B05E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4463A87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44697195">
            <w:pPr>
              <w:keepNext w:val="0"/>
              <w:keepLines w:val="0"/>
              <w:pageBreakBefore w:val="0"/>
              <w:widowControl w:val="0"/>
              <w:kinsoku/>
              <w:wordWrap/>
              <w:overflowPunct w:val="0"/>
              <w:topLinePunct w:val="0"/>
              <w:autoSpaceDE/>
              <w:autoSpaceDN/>
              <w:bidi w:val="0"/>
              <w:adjustRightInd/>
              <w:snapToGrid/>
              <w:spacing w:line="280" w:lineRule="exact"/>
              <w:jc w:val="center"/>
              <w:textAlignment w:val="bottom"/>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02E02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26C381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4D8C2E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51EC7E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F2ECCB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04B0D6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45EB1C4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7A3D135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7039B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D85E77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D19BDB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4D0934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0ED84C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DB7FCB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304718C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未按照规定对从业人员进行安全生产风险教育培训，涉及5人以下的。</w:t>
            </w:r>
          </w:p>
        </w:tc>
        <w:tc>
          <w:tcPr>
            <w:tcW w:w="2655" w:type="dxa"/>
            <w:tcBorders>
              <w:tl2br w:val="nil"/>
              <w:tr2bl w:val="nil"/>
            </w:tcBorders>
            <w:shd w:val="clear" w:color="auto" w:fill="auto"/>
            <w:tcMar>
              <w:top w:w="15" w:type="dxa"/>
              <w:left w:w="15" w:type="dxa"/>
              <w:right w:w="15" w:type="dxa"/>
            </w:tcMar>
            <w:vAlign w:val="center"/>
          </w:tcPr>
          <w:p w14:paraId="38D7FB4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可以处1万元以上2万元以下的罚款。</w:t>
            </w:r>
          </w:p>
        </w:tc>
      </w:tr>
      <w:tr w14:paraId="557CF7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C2D8A8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A2B65F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1B5EFF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78C340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7BFE06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1A641EB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未按照规定对从业人员进行安全生产风险教育培训，涉及5人以上10人以下的。</w:t>
            </w:r>
          </w:p>
        </w:tc>
        <w:tc>
          <w:tcPr>
            <w:tcW w:w="2655" w:type="dxa"/>
            <w:tcBorders>
              <w:tl2br w:val="nil"/>
              <w:tr2bl w:val="nil"/>
            </w:tcBorders>
            <w:shd w:val="clear" w:color="auto" w:fill="auto"/>
            <w:tcMar>
              <w:top w:w="15" w:type="dxa"/>
              <w:left w:w="15" w:type="dxa"/>
              <w:right w:w="15" w:type="dxa"/>
            </w:tcMar>
            <w:vAlign w:val="center"/>
          </w:tcPr>
          <w:p w14:paraId="6FB61CA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可以处2万元以上4万元以下的罚款。</w:t>
            </w:r>
          </w:p>
        </w:tc>
      </w:tr>
      <w:tr w14:paraId="79FD62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D0EC5E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3D1F8A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29ADFD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089EBD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135EEF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36F4836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未按照规定对从业人员进行安全生产风险教育培训，涉及10人以上的。</w:t>
            </w:r>
          </w:p>
        </w:tc>
        <w:tc>
          <w:tcPr>
            <w:tcW w:w="2655" w:type="dxa"/>
            <w:tcBorders>
              <w:tl2br w:val="nil"/>
              <w:tr2bl w:val="nil"/>
            </w:tcBorders>
            <w:shd w:val="clear" w:color="auto" w:fill="auto"/>
            <w:tcMar>
              <w:top w:w="15" w:type="dxa"/>
              <w:left w:w="15" w:type="dxa"/>
              <w:right w:w="15" w:type="dxa"/>
            </w:tcMar>
            <w:vAlign w:val="center"/>
          </w:tcPr>
          <w:p w14:paraId="23EC826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可以处4万元以上5万元以下的罚款。</w:t>
            </w:r>
          </w:p>
        </w:tc>
      </w:tr>
      <w:tr w14:paraId="593B46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527C953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color w:val="auto"/>
                <w:sz w:val="18"/>
                <w:szCs w:val="18"/>
                <w:lang w:val="en-US" w:eastAsia="zh-CN"/>
              </w:rPr>
            </w:pPr>
            <w:r>
              <w:rPr>
                <w:rFonts w:hint="eastAsia" w:ascii="仿宋_GB2312" w:hAnsi="宋体" w:eastAsia="仿宋_GB2312" w:cs="仿宋_GB2312"/>
                <w:color w:val="auto"/>
                <w:kern w:val="0"/>
                <w:sz w:val="18"/>
                <w:szCs w:val="18"/>
                <w:lang w:bidi="ar"/>
              </w:rPr>
              <w:t>1</w:t>
            </w:r>
            <w:del w:id="2767" w:author="LV" w:date="2026-07-14T16:56:56Z">
              <w:r>
                <w:rPr>
                  <w:rFonts w:hint="default" w:ascii="仿宋_GB2312" w:hAnsi="宋体" w:eastAsia="仿宋_GB2312" w:cs="仿宋_GB2312"/>
                  <w:color w:val="auto"/>
                  <w:kern w:val="0"/>
                  <w:sz w:val="18"/>
                  <w:szCs w:val="18"/>
                  <w:lang w:val="en-US" w:bidi="ar"/>
                </w:rPr>
                <w:delText>3</w:delText>
              </w:r>
            </w:del>
            <w:del w:id="2768" w:author="LV" w:date="2026-07-14T16:56:56Z">
              <w:r>
                <w:rPr>
                  <w:rFonts w:hint="default" w:ascii="仿宋_GB2312" w:hAnsi="宋体" w:eastAsia="仿宋_GB2312" w:cs="仿宋_GB2312"/>
                  <w:color w:val="auto"/>
                  <w:kern w:val="0"/>
                  <w:sz w:val="18"/>
                  <w:szCs w:val="18"/>
                  <w:lang w:val="en-US" w:eastAsia="zh-CN" w:bidi="ar"/>
                </w:rPr>
                <w:delText>5</w:delText>
              </w:r>
            </w:del>
            <w:ins w:id="2769" w:author="LV" w:date="2026-07-14T16:56:56Z">
              <w:r>
                <w:rPr>
                  <w:rFonts w:hint="eastAsia" w:ascii="仿宋_GB2312" w:hAnsi="宋体" w:eastAsia="仿宋_GB2312" w:cs="仿宋_GB2312"/>
                  <w:color w:val="auto"/>
                  <w:kern w:val="0"/>
                  <w:sz w:val="18"/>
                  <w:szCs w:val="18"/>
                  <w:lang w:val="en-US" w:eastAsia="zh-CN" w:bidi="ar"/>
                </w:rPr>
                <w:t>4</w:t>
              </w:r>
            </w:ins>
            <w:ins w:id="2770" w:author="LV" w:date="2026-07-14T16:56:57Z">
              <w:r>
                <w:rPr>
                  <w:rFonts w:hint="eastAsia" w:ascii="仿宋_GB2312" w:hAnsi="宋体" w:eastAsia="仿宋_GB2312" w:cs="仿宋_GB2312"/>
                  <w:color w:val="auto"/>
                  <w:kern w:val="0"/>
                  <w:sz w:val="18"/>
                  <w:szCs w:val="18"/>
                  <w:lang w:val="en-US" w:eastAsia="zh-CN" w:bidi="ar"/>
                </w:rPr>
                <w:t>2</w:t>
              </w:r>
            </w:ins>
          </w:p>
        </w:tc>
        <w:tc>
          <w:tcPr>
            <w:tcW w:w="1005" w:type="dxa"/>
            <w:vMerge w:val="restart"/>
            <w:tcBorders>
              <w:tl2br w:val="nil"/>
              <w:tr2bl w:val="nil"/>
            </w:tcBorders>
            <w:shd w:val="clear" w:color="auto" w:fill="auto"/>
            <w:tcMar>
              <w:top w:w="15" w:type="dxa"/>
              <w:left w:w="15" w:type="dxa"/>
              <w:right w:w="15" w:type="dxa"/>
            </w:tcMar>
            <w:vAlign w:val="center"/>
          </w:tcPr>
          <w:p w14:paraId="086085C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kern w:val="0"/>
                <w:sz w:val="18"/>
                <w:szCs w:val="18"/>
                <w:lang w:bidi="ar"/>
              </w:rPr>
              <w:t>生产经营单位未开展安全生产风险管控评审</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逾期未改正的</w:t>
            </w:r>
          </w:p>
        </w:tc>
        <w:tc>
          <w:tcPr>
            <w:tcW w:w="3667" w:type="dxa"/>
            <w:vMerge w:val="restart"/>
            <w:tcBorders>
              <w:tl2br w:val="nil"/>
              <w:tr2bl w:val="nil"/>
            </w:tcBorders>
            <w:shd w:val="clear" w:color="auto" w:fill="auto"/>
            <w:tcMar>
              <w:top w:w="15" w:type="dxa"/>
              <w:left w:w="15" w:type="dxa"/>
              <w:right w:w="15" w:type="dxa"/>
            </w:tcMar>
            <w:vAlign w:val="center"/>
          </w:tcPr>
          <w:p w14:paraId="4EF42105">
            <w:pPr>
              <w:keepNext w:val="0"/>
              <w:keepLines w:val="0"/>
              <w:pageBreakBefore w:val="0"/>
              <w:widowControl w:val="0"/>
              <w:numPr>
                <w:ilvl w:val="0"/>
                <w:numId w:val="0"/>
              </w:numPr>
              <w:kinsoku/>
              <w:wordWrap/>
              <w:overflowPunct w:val="0"/>
              <w:topLinePunct w:val="0"/>
              <w:autoSpaceDE/>
              <w:autoSpaceDN/>
              <w:bidi w:val="0"/>
              <w:adjustRightInd/>
              <w:snapToGrid/>
              <w:spacing w:line="280" w:lineRule="exact"/>
              <w:jc w:val="both"/>
              <w:textAlignment w:val="center"/>
              <w:rPr>
                <w:rFonts w:hint="eastAsia" w:ascii="仿宋_GB2312" w:hAnsi="宋体" w:eastAsia="仿宋_GB2312" w:cs="仿宋_GB2312"/>
                <w:spacing w:val="-6"/>
                <w:kern w:val="0"/>
                <w:sz w:val="18"/>
                <w:szCs w:val="18"/>
                <w:lang w:bidi="ar"/>
              </w:rPr>
            </w:pPr>
            <w:r>
              <w:rPr>
                <w:rFonts w:hint="eastAsia" w:ascii="仿宋_GB2312" w:hAnsi="宋体" w:eastAsia="仿宋_GB2312" w:cs="仿宋_GB2312"/>
                <w:spacing w:val="-6"/>
                <w:kern w:val="0"/>
                <w:sz w:val="18"/>
                <w:szCs w:val="18"/>
                <w:lang w:bidi="ar"/>
              </w:rPr>
              <w:t>《山东省安全生产风险管控办法》（省政府令331号）第二十一条　生产经营单位应当每年至少开展1次风险管控评审，保障管控措施持续有效。有下列情形之一的，应当及时开展风险管控评审：</w:t>
            </w:r>
          </w:p>
          <w:p w14:paraId="7B7E70DB">
            <w:pPr>
              <w:keepNext w:val="0"/>
              <w:keepLines w:val="0"/>
              <w:pageBreakBefore w:val="0"/>
              <w:widowControl w:val="0"/>
              <w:numPr>
                <w:ilvl w:val="0"/>
                <w:numId w:val="0"/>
              </w:numPr>
              <w:kinsoku/>
              <w:wordWrap/>
              <w:overflowPunct w:val="0"/>
              <w:topLinePunct w:val="0"/>
              <w:autoSpaceDE/>
              <w:autoSpaceDN/>
              <w:bidi w:val="0"/>
              <w:adjustRightInd/>
              <w:snapToGrid/>
              <w:spacing w:line="280" w:lineRule="exact"/>
              <w:jc w:val="both"/>
              <w:textAlignment w:val="center"/>
              <w:rPr>
                <w:rFonts w:hint="eastAsia" w:ascii="仿宋_GB2312" w:hAnsi="宋体" w:eastAsia="仿宋_GB2312" w:cs="仿宋_GB2312"/>
                <w:spacing w:val="-6"/>
                <w:kern w:val="0"/>
                <w:sz w:val="18"/>
                <w:szCs w:val="18"/>
                <w:lang w:bidi="ar"/>
              </w:rPr>
            </w:pPr>
            <w:r>
              <w:rPr>
                <w:rFonts w:hint="eastAsia" w:ascii="仿宋_GB2312" w:hAnsi="宋体" w:eastAsia="仿宋_GB2312" w:cs="仿宋_GB2312"/>
                <w:spacing w:val="-6"/>
                <w:kern w:val="0"/>
                <w:sz w:val="18"/>
                <w:szCs w:val="18"/>
                <w:lang w:bidi="ar"/>
              </w:rPr>
              <w:t>（一）发生生产安全事故的；</w:t>
            </w:r>
          </w:p>
          <w:p w14:paraId="7D1CD6DE">
            <w:pPr>
              <w:keepNext w:val="0"/>
              <w:keepLines w:val="0"/>
              <w:pageBreakBefore w:val="0"/>
              <w:widowControl w:val="0"/>
              <w:numPr>
                <w:ilvl w:val="0"/>
                <w:numId w:val="0"/>
              </w:numPr>
              <w:kinsoku/>
              <w:wordWrap/>
              <w:overflowPunct w:val="0"/>
              <w:topLinePunct w:val="0"/>
              <w:autoSpaceDE/>
              <w:autoSpaceDN/>
              <w:bidi w:val="0"/>
              <w:adjustRightInd/>
              <w:snapToGrid/>
              <w:spacing w:line="280" w:lineRule="exact"/>
              <w:jc w:val="both"/>
              <w:textAlignment w:val="center"/>
              <w:rPr>
                <w:rFonts w:hint="eastAsia" w:ascii="仿宋_GB2312" w:hAnsi="宋体" w:eastAsia="仿宋_GB2312" w:cs="仿宋_GB2312"/>
                <w:spacing w:val="-6"/>
                <w:kern w:val="0"/>
                <w:sz w:val="18"/>
                <w:szCs w:val="18"/>
                <w:lang w:bidi="ar"/>
              </w:rPr>
            </w:pPr>
            <w:r>
              <w:rPr>
                <w:rFonts w:hint="eastAsia" w:ascii="仿宋_GB2312" w:hAnsi="宋体" w:eastAsia="仿宋_GB2312" w:cs="仿宋_GB2312"/>
                <w:spacing w:val="-6"/>
                <w:kern w:val="0"/>
                <w:sz w:val="18"/>
                <w:szCs w:val="18"/>
                <w:lang w:bidi="ar"/>
              </w:rPr>
              <w:t>（二）安全生产标准和条件发生重大变化的；</w:t>
            </w:r>
          </w:p>
          <w:p w14:paraId="0C1868DA">
            <w:pPr>
              <w:keepNext w:val="0"/>
              <w:keepLines w:val="0"/>
              <w:pageBreakBefore w:val="0"/>
              <w:widowControl w:val="0"/>
              <w:numPr>
                <w:ilvl w:val="0"/>
                <w:numId w:val="0"/>
              </w:numPr>
              <w:kinsoku/>
              <w:wordWrap/>
              <w:overflowPunct w:val="0"/>
              <w:topLinePunct w:val="0"/>
              <w:autoSpaceDE/>
              <w:autoSpaceDN/>
              <w:bidi w:val="0"/>
              <w:adjustRightInd/>
              <w:snapToGrid/>
              <w:spacing w:line="280" w:lineRule="exact"/>
              <w:jc w:val="both"/>
              <w:textAlignment w:val="center"/>
              <w:rPr>
                <w:rFonts w:hint="eastAsia" w:ascii="仿宋_GB2312" w:hAnsi="宋体" w:eastAsia="仿宋_GB2312" w:cs="仿宋_GB2312"/>
                <w:spacing w:val="-6"/>
                <w:kern w:val="0"/>
                <w:sz w:val="18"/>
                <w:szCs w:val="18"/>
                <w:lang w:bidi="ar"/>
              </w:rPr>
            </w:pPr>
            <w:r>
              <w:rPr>
                <w:rFonts w:hint="eastAsia" w:ascii="仿宋_GB2312" w:hAnsi="宋体" w:eastAsia="仿宋_GB2312" w:cs="仿宋_GB2312"/>
                <w:spacing w:val="-6"/>
                <w:kern w:val="0"/>
                <w:sz w:val="18"/>
                <w:szCs w:val="18"/>
                <w:lang w:bidi="ar"/>
              </w:rPr>
              <w:t>（三）生产经营单位组织机构发生重大调整的；</w:t>
            </w:r>
          </w:p>
          <w:p w14:paraId="215F1C3C">
            <w:pPr>
              <w:keepNext w:val="0"/>
              <w:keepLines w:val="0"/>
              <w:pageBreakBefore w:val="0"/>
              <w:widowControl w:val="0"/>
              <w:numPr>
                <w:ilvl w:val="0"/>
                <w:numId w:val="0"/>
              </w:numPr>
              <w:kinsoku/>
              <w:wordWrap/>
              <w:overflowPunct w:val="0"/>
              <w:topLinePunct w:val="0"/>
              <w:autoSpaceDE/>
              <w:autoSpaceDN/>
              <w:bidi w:val="0"/>
              <w:adjustRightInd/>
              <w:snapToGrid/>
              <w:spacing w:line="280" w:lineRule="exact"/>
              <w:jc w:val="both"/>
              <w:textAlignment w:val="center"/>
              <w:rPr>
                <w:rFonts w:hint="eastAsia" w:ascii="仿宋_GB2312" w:hAnsi="宋体" w:eastAsia="仿宋_GB2312" w:cs="仿宋_GB2312"/>
                <w:spacing w:val="-6"/>
                <w:kern w:val="0"/>
                <w:sz w:val="18"/>
                <w:szCs w:val="18"/>
                <w:lang w:bidi="ar"/>
              </w:rPr>
            </w:pPr>
            <w:r>
              <w:rPr>
                <w:rFonts w:hint="eastAsia" w:ascii="仿宋_GB2312" w:hAnsi="宋体" w:eastAsia="仿宋_GB2312" w:cs="仿宋_GB2312"/>
                <w:spacing w:val="-6"/>
                <w:kern w:val="0"/>
                <w:sz w:val="18"/>
                <w:szCs w:val="18"/>
                <w:lang w:bidi="ar"/>
              </w:rPr>
              <w:t>（四）生产工艺、材料、技术、设施设备等发生改变的；</w:t>
            </w:r>
          </w:p>
          <w:p w14:paraId="43B84B75">
            <w:pPr>
              <w:keepNext w:val="0"/>
              <w:keepLines w:val="0"/>
              <w:pageBreakBefore w:val="0"/>
              <w:widowControl w:val="0"/>
              <w:numPr>
                <w:ilvl w:val="0"/>
                <w:numId w:val="0"/>
              </w:numPr>
              <w:kinsoku/>
              <w:wordWrap/>
              <w:overflowPunct w:val="0"/>
              <w:topLinePunct w:val="0"/>
              <w:autoSpaceDE/>
              <w:autoSpaceDN/>
              <w:bidi w:val="0"/>
              <w:adjustRightInd/>
              <w:snapToGrid/>
              <w:spacing w:line="280" w:lineRule="exact"/>
              <w:ind w:left="0" w:leftChars="0" w:firstLine="0" w:firstLineChars="0"/>
              <w:jc w:val="both"/>
              <w:textAlignment w:val="center"/>
              <w:rPr>
                <w:rFonts w:ascii="仿宋_GB2312" w:hAnsi="宋体" w:eastAsia="仿宋_GB2312" w:cs="仿宋_GB2312"/>
                <w:color w:val="auto"/>
                <w:sz w:val="18"/>
                <w:szCs w:val="18"/>
              </w:rPr>
            </w:pPr>
            <w:r>
              <w:rPr>
                <w:rFonts w:hint="eastAsia" w:ascii="仿宋_GB2312" w:hAnsi="宋体" w:eastAsia="仿宋_GB2312" w:cs="仿宋_GB2312"/>
                <w:spacing w:val="-6"/>
                <w:kern w:val="0"/>
                <w:sz w:val="18"/>
                <w:szCs w:val="18"/>
                <w:lang w:bidi="ar"/>
              </w:rPr>
              <w:t>（五）其他需要开展评审的情况。</w:t>
            </w:r>
          </w:p>
        </w:tc>
        <w:tc>
          <w:tcPr>
            <w:tcW w:w="4082" w:type="dxa"/>
            <w:vMerge w:val="restart"/>
            <w:tcBorders>
              <w:tl2br w:val="nil"/>
              <w:tr2bl w:val="nil"/>
            </w:tcBorders>
            <w:shd w:val="clear" w:color="auto" w:fill="auto"/>
            <w:tcMar>
              <w:top w:w="15" w:type="dxa"/>
              <w:left w:w="15" w:type="dxa"/>
              <w:right w:w="15" w:type="dxa"/>
            </w:tcMar>
            <w:vAlign w:val="center"/>
          </w:tcPr>
          <w:p w14:paraId="4214905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i w:val="0"/>
                <w:caps w:val="0"/>
                <w:spacing w:val="0"/>
                <w:kern w:val="0"/>
                <w:sz w:val="18"/>
                <w:szCs w:val="18"/>
                <w:u w:val="none"/>
                <w:shd w:val="clear"/>
                <w:lang w:bidi="ar"/>
              </w:rPr>
              <w:t>《山东省安全生产风险管控办法》</w:t>
            </w:r>
            <w:r>
              <w:rPr>
                <w:rFonts w:hint="eastAsia" w:ascii="仿宋_GB2312" w:hAnsi="宋体" w:eastAsia="仿宋_GB2312" w:cs="仿宋_GB2312"/>
                <w:i w:val="0"/>
                <w:caps w:val="0"/>
                <w:spacing w:val="0"/>
                <w:kern w:val="0"/>
                <w:sz w:val="18"/>
                <w:szCs w:val="18"/>
                <w:u w:val="none"/>
                <w:shd w:val="clear"/>
                <w:lang w:eastAsia="zh-CN" w:bidi="ar"/>
              </w:rPr>
              <w:t>（</w:t>
            </w:r>
            <w:r>
              <w:rPr>
                <w:rFonts w:hint="eastAsia" w:ascii="仿宋_GB2312" w:hAnsi="宋体" w:eastAsia="仿宋_GB2312" w:cs="仿宋_GB2312"/>
                <w:i w:val="0"/>
                <w:caps w:val="0"/>
                <w:spacing w:val="0"/>
                <w:kern w:val="0"/>
                <w:sz w:val="18"/>
                <w:szCs w:val="18"/>
                <w:u w:val="none"/>
                <w:shd w:val="clear"/>
                <w:lang w:val="en-US" w:eastAsia="zh-CN" w:bidi="ar"/>
              </w:rPr>
              <w:t>省政府令331号）</w:t>
            </w:r>
            <w:r>
              <w:rPr>
                <w:rFonts w:hint="eastAsia" w:ascii="仿宋_GB2312" w:hAnsi="宋体" w:eastAsia="仿宋_GB2312" w:cs="仿宋_GB2312"/>
                <w:kern w:val="0"/>
                <w:sz w:val="18"/>
                <w:szCs w:val="18"/>
                <w:lang w:bidi="ar"/>
              </w:rPr>
              <w:t>第二十八条　违反本办法规定，生产经营单位未开展安全生产风险管控评审的，由负有安全生产监督管理职责的部门责令限期改正；逾期未改正的，处5000元以上3万元以下的罚款。</w:t>
            </w:r>
          </w:p>
        </w:tc>
        <w:tc>
          <w:tcPr>
            <w:tcW w:w="459" w:type="dxa"/>
            <w:tcBorders>
              <w:tl2br w:val="nil"/>
              <w:tr2bl w:val="nil"/>
            </w:tcBorders>
            <w:shd w:val="clear" w:color="auto" w:fill="auto"/>
            <w:noWrap/>
            <w:tcMar>
              <w:top w:w="15" w:type="dxa"/>
              <w:left w:w="15" w:type="dxa"/>
              <w:right w:w="15" w:type="dxa"/>
            </w:tcMar>
            <w:vAlign w:val="center"/>
          </w:tcPr>
          <w:p w14:paraId="24CE981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7F5AF55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6BA56B1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kern w:val="0"/>
                <w:sz w:val="18"/>
                <w:szCs w:val="18"/>
                <w:lang w:bidi="ar"/>
              </w:rPr>
              <w:t>无</w:t>
            </w:r>
          </w:p>
        </w:tc>
      </w:tr>
      <w:tr w14:paraId="112B64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F1E0AA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color w:val="auto"/>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2C2352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6595D3C">
            <w:pPr>
              <w:keepNext w:val="0"/>
              <w:keepLines w:val="0"/>
              <w:pageBreakBefore w:val="0"/>
              <w:widowControl w:val="0"/>
              <w:numPr>
                <w:ilvl w:val="0"/>
                <w:numId w:val="0"/>
              </w:numPr>
              <w:kinsoku/>
              <w:wordWrap/>
              <w:overflowPunct w:val="0"/>
              <w:topLinePunct w:val="0"/>
              <w:autoSpaceDE/>
              <w:autoSpaceDN/>
              <w:bidi w:val="0"/>
              <w:adjustRightInd/>
              <w:snapToGrid/>
              <w:spacing w:line="280" w:lineRule="exact"/>
              <w:ind w:left="0" w:leftChars="0" w:firstLine="0" w:firstLineChars="0"/>
              <w:jc w:val="both"/>
              <w:textAlignment w:val="center"/>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16F6C6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433EC5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7C46EC3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51B8D5B4">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kern w:val="0"/>
                <w:sz w:val="18"/>
                <w:szCs w:val="18"/>
                <w:lang w:bidi="ar"/>
              </w:rPr>
              <w:t>无</w:t>
            </w:r>
          </w:p>
        </w:tc>
      </w:tr>
      <w:tr w14:paraId="15ABD9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5A71BE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color w:val="auto"/>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804A94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14F4D8B">
            <w:pPr>
              <w:keepNext w:val="0"/>
              <w:keepLines w:val="0"/>
              <w:pageBreakBefore w:val="0"/>
              <w:widowControl w:val="0"/>
              <w:numPr>
                <w:ilvl w:val="0"/>
                <w:numId w:val="0"/>
              </w:numPr>
              <w:kinsoku/>
              <w:wordWrap/>
              <w:overflowPunct w:val="0"/>
              <w:topLinePunct w:val="0"/>
              <w:autoSpaceDE/>
              <w:autoSpaceDN/>
              <w:bidi w:val="0"/>
              <w:adjustRightInd/>
              <w:snapToGrid/>
              <w:spacing w:line="280" w:lineRule="exact"/>
              <w:ind w:left="0" w:leftChars="0" w:firstLine="0" w:firstLineChars="0"/>
              <w:jc w:val="both"/>
              <w:textAlignment w:val="center"/>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529333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F65F10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7373600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71FC052F">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kern w:val="0"/>
                <w:sz w:val="18"/>
                <w:szCs w:val="18"/>
                <w:lang w:bidi="ar"/>
              </w:rPr>
              <w:t>无</w:t>
            </w:r>
          </w:p>
        </w:tc>
      </w:tr>
      <w:tr w14:paraId="3B444A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62343C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color w:val="auto"/>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572BF9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1F213C7">
            <w:pPr>
              <w:keepNext w:val="0"/>
              <w:keepLines w:val="0"/>
              <w:pageBreakBefore w:val="0"/>
              <w:widowControl w:val="0"/>
              <w:numPr>
                <w:ilvl w:val="0"/>
                <w:numId w:val="0"/>
              </w:numPr>
              <w:kinsoku/>
              <w:wordWrap/>
              <w:overflowPunct w:val="0"/>
              <w:topLinePunct w:val="0"/>
              <w:autoSpaceDE/>
              <w:autoSpaceDN/>
              <w:bidi w:val="0"/>
              <w:adjustRightInd/>
              <w:snapToGrid/>
              <w:spacing w:line="280" w:lineRule="exact"/>
              <w:ind w:left="0" w:leftChars="0" w:firstLine="0" w:firstLineChars="0"/>
              <w:jc w:val="both"/>
              <w:textAlignment w:val="center"/>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A82C8A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94EA45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71A4C0D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kern w:val="0"/>
                <w:sz w:val="18"/>
                <w:szCs w:val="18"/>
                <w:lang w:val="en-US" w:eastAsia="zh-CN" w:bidi="ar"/>
              </w:rPr>
              <w:t>未开展安全风险评审，</w:t>
            </w:r>
            <w:r>
              <w:rPr>
                <w:rFonts w:hint="eastAsia" w:ascii="仿宋_GB2312" w:hAnsi="宋体" w:eastAsia="仿宋_GB2312" w:cs="仿宋_GB2312"/>
                <w:color w:val="auto"/>
                <w:kern w:val="0"/>
                <w:sz w:val="18"/>
                <w:szCs w:val="18"/>
                <w:lang w:bidi="ar"/>
              </w:rPr>
              <w:t>逾期未改正</w:t>
            </w:r>
            <w:r>
              <w:rPr>
                <w:rFonts w:hint="eastAsia" w:ascii="仿宋_GB2312" w:hAnsi="宋体" w:eastAsia="仿宋_GB2312" w:cs="仿宋_GB2312"/>
                <w:color w:val="auto"/>
                <w:kern w:val="0"/>
                <w:sz w:val="18"/>
                <w:szCs w:val="18"/>
                <w:lang w:eastAsia="zh-CN" w:bidi="ar"/>
              </w:rPr>
              <w:t>，</w:t>
            </w:r>
            <w:r>
              <w:rPr>
                <w:rFonts w:hint="eastAsia" w:ascii="仿宋_GB2312" w:hAnsi="宋体" w:eastAsia="仿宋_GB2312" w:cs="仿宋_GB2312"/>
                <w:color w:val="auto"/>
                <w:kern w:val="0"/>
                <w:sz w:val="18"/>
                <w:szCs w:val="18"/>
                <w:lang w:bidi="ar"/>
              </w:rPr>
              <w:t>超过责令改正期限10日以下的</w:t>
            </w:r>
            <w:r>
              <w:rPr>
                <w:rFonts w:hint="eastAsia" w:ascii="仿宋_GB2312" w:hAnsi="宋体" w:eastAsia="仿宋_GB2312" w:cs="仿宋_GB2312"/>
                <w:kern w:val="0"/>
                <w:sz w:val="18"/>
                <w:szCs w:val="18"/>
                <w:lang w:bidi="ar"/>
              </w:rPr>
              <w:t>。</w:t>
            </w:r>
          </w:p>
        </w:tc>
        <w:tc>
          <w:tcPr>
            <w:tcW w:w="2655" w:type="dxa"/>
            <w:tcBorders>
              <w:tl2br w:val="nil"/>
              <w:tr2bl w:val="nil"/>
            </w:tcBorders>
            <w:shd w:val="clear" w:color="auto" w:fill="auto"/>
            <w:tcMar>
              <w:top w:w="15" w:type="dxa"/>
              <w:left w:w="15" w:type="dxa"/>
              <w:right w:w="15" w:type="dxa"/>
            </w:tcMar>
            <w:vAlign w:val="center"/>
          </w:tcPr>
          <w:p w14:paraId="23B82F5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kern w:val="0"/>
                <w:sz w:val="18"/>
                <w:szCs w:val="18"/>
                <w:lang w:bidi="ar"/>
              </w:rPr>
              <w:t>处</w:t>
            </w:r>
            <w:r>
              <w:rPr>
                <w:rFonts w:hint="eastAsia" w:ascii="仿宋_GB2312" w:hAnsi="宋体" w:eastAsia="仿宋_GB2312" w:cs="仿宋_GB2312"/>
                <w:kern w:val="0"/>
                <w:sz w:val="18"/>
                <w:szCs w:val="18"/>
                <w:lang w:val="en-US" w:eastAsia="zh-CN" w:bidi="ar"/>
              </w:rPr>
              <w:t>5千</w:t>
            </w:r>
            <w:r>
              <w:rPr>
                <w:rFonts w:hint="eastAsia" w:ascii="仿宋_GB2312" w:hAnsi="宋体" w:eastAsia="仿宋_GB2312" w:cs="仿宋_GB2312"/>
                <w:kern w:val="0"/>
                <w:sz w:val="18"/>
                <w:szCs w:val="18"/>
                <w:lang w:bidi="ar"/>
              </w:rPr>
              <w:t>元</w:t>
            </w:r>
            <w:r>
              <w:rPr>
                <w:rFonts w:hint="eastAsia" w:ascii="仿宋_GB2312" w:hAnsi="宋体" w:eastAsia="仿宋_GB2312" w:cs="仿宋_GB2312"/>
                <w:kern w:val="0"/>
                <w:sz w:val="18"/>
                <w:szCs w:val="18"/>
                <w:lang w:val="en-US" w:eastAsia="zh-CN" w:bidi="ar"/>
              </w:rPr>
              <w:t>以上1万元</w:t>
            </w:r>
            <w:r>
              <w:rPr>
                <w:rFonts w:hint="eastAsia" w:ascii="仿宋_GB2312" w:hAnsi="宋体" w:eastAsia="仿宋_GB2312" w:cs="仿宋_GB2312"/>
                <w:kern w:val="0"/>
                <w:sz w:val="18"/>
                <w:szCs w:val="18"/>
                <w:lang w:bidi="ar"/>
              </w:rPr>
              <w:t>以下的罚款。</w:t>
            </w:r>
          </w:p>
        </w:tc>
      </w:tr>
      <w:tr w14:paraId="4951B8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EFE676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color w:val="auto"/>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DD10FC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44883CC">
            <w:pPr>
              <w:keepNext w:val="0"/>
              <w:keepLines w:val="0"/>
              <w:pageBreakBefore w:val="0"/>
              <w:widowControl w:val="0"/>
              <w:numPr>
                <w:ilvl w:val="0"/>
                <w:numId w:val="0"/>
              </w:numPr>
              <w:kinsoku/>
              <w:wordWrap/>
              <w:overflowPunct w:val="0"/>
              <w:topLinePunct w:val="0"/>
              <w:autoSpaceDE/>
              <w:autoSpaceDN/>
              <w:bidi w:val="0"/>
              <w:adjustRightInd/>
              <w:snapToGrid/>
              <w:spacing w:line="280" w:lineRule="exact"/>
              <w:ind w:left="0" w:leftChars="0" w:firstLine="0" w:firstLineChars="0"/>
              <w:jc w:val="both"/>
              <w:textAlignment w:val="center"/>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AF5A53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EBDDA2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4FB3B42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kern w:val="0"/>
                <w:sz w:val="18"/>
                <w:szCs w:val="18"/>
                <w:lang w:val="en-US" w:eastAsia="zh-CN" w:bidi="ar"/>
              </w:rPr>
              <w:t>未开展安全风险评审，</w:t>
            </w:r>
            <w:r>
              <w:rPr>
                <w:rFonts w:hint="eastAsia" w:ascii="仿宋_GB2312" w:hAnsi="宋体" w:eastAsia="仿宋_GB2312" w:cs="仿宋_GB2312"/>
                <w:color w:val="auto"/>
                <w:kern w:val="0"/>
                <w:sz w:val="18"/>
                <w:szCs w:val="18"/>
                <w:lang w:bidi="ar"/>
              </w:rPr>
              <w:t>逾期未改正</w:t>
            </w:r>
            <w:r>
              <w:rPr>
                <w:rFonts w:hint="eastAsia" w:ascii="仿宋_GB2312" w:hAnsi="宋体" w:eastAsia="仿宋_GB2312" w:cs="仿宋_GB2312"/>
                <w:color w:val="auto"/>
                <w:kern w:val="0"/>
                <w:sz w:val="18"/>
                <w:szCs w:val="18"/>
                <w:lang w:eastAsia="zh-CN" w:bidi="ar"/>
              </w:rPr>
              <w:t>，</w:t>
            </w:r>
            <w:r>
              <w:rPr>
                <w:rFonts w:hint="eastAsia" w:ascii="仿宋_GB2312" w:hAnsi="宋体" w:eastAsia="仿宋_GB2312" w:cs="仿宋_GB2312"/>
                <w:color w:val="auto"/>
                <w:kern w:val="0"/>
                <w:sz w:val="18"/>
                <w:szCs w:val="18"/>
                <w:lang w:bidi="ar"/>
              </w:rPr>
              <w:t>超过责令改正期限10日以</w:t>
            </w:r>
            <w:r>
              <w:rPr>
                <w:rFonts w:hint="eastAsia" w:ascii="仿宋_GB2312" w:hAnsi="宋体" w:eastAsia="仿宋_GB2312" w:cs="仿宋_GB2312"/>
                <w:color w:val="auto"/>
                <w:kern w:val="0"/>
                <w:sz w:val="18"/>
                <w:szCs w:val="18"/>
                <w:lang w:val="en-US" w:eastAsia="zh-CN" w:bidi="ar"/>
              </w:rPr>
              <w:t>上20日以下</w:t>
            </w:r>
            <w:r>
              <w:rPr>
                <w:rFonts w:hint="eastAsia" w:ascii="仿宋_GB2312" w:hAnsi="宋体" w:eastAsia="仿宋_GB2312" w:cs="仿宋_GB2312"/>
                <w:color w:val="auto"/>
                <w:kern w:val="0"/>
                <w:sz w:val="18"/>
                <w:szCs w:val="18"/>
                <w:lang w:bidi="ar"/>
              </w:rPr>
              <w:t>的</w:t>
            </w:r>
          </w:p>
        </w:tc>
        <w:tc>
          <w:tcPr>
            <w:tcW w:w="2655" w:type="dxa"/>
            <w:tcBorders>
              <w:tl2br w:val="nil"/>
              <w:tr2bl w:val="nil"/>
            </w:tcBorders>
            <w:shd w:val="clear" w:color="auto" w:fill="auto"/>
            <w:tcMar>
              <w:top w:w="15" w:type="dxa"/>
              <w:left w:w="15" w:type="dxa"/>
              <w:right w:w="15" w:type="dxa"/>
            </w:tcMar>
            <w:vAlign w:val="center"/>
          </w:tcPr>
          <w:p w14:paraId="446C909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kern w:val="0"/>
                <w:sz w:val="18"/>
                <w:szCs w:val="18"/>
                <w:lang w:bidi="ar"/>
              </w:rPr>
              <w:t>处</w:t>
            </w:r>
            <w:r>
              <w:rPr>
                <w:rFonts w:hint="eastAsia" w:ascii="仿宋_GB2312" w:hAnsi="宋体" w:eastAsia="仿宋_GB2312" w:cs="仿宋_GB2312"/>
                <w:kern w:val="0"/>
                <w:sz w:val="18"/>
                <w:szCs w:val="18"/>
                <w:lang w:val="en-US" w:eastAsia="zh-CN" w:bidi="ar"/>
              </w:rPr>
              <w:t>1</w:t>
            </w:r>
            <w:r>
              <w:rPr>
                <w:rFonts w:hint="eastAsia" w:ascii="仿宋_GB2312" w:hAnsi="宋体" w:eastAsia="仿宋_GB2312" w:cs="仿宋_GB2312"/>
                <w:kern w:val="0"/>
                <w:sz w:val="18"/>
                <w:szCs w:val="18"/>
                <w:lang w:bidi="ar"/>
              </w:rPr>
              <w:t>万元以上</w:t>
            </w:r>
            <w:r>
              <w:rPr>
                <w:rFonts w:hint="eastAsia" w:ascii="仿宋_GB2312" w:hAnsi="宋体" w:eastAsia="仿宋_GB2312" w:cs="仿宋_GB2312"/>
                <w:kern w:val="0"/>
                <w:sz w:val="18"/>
                <w:szCs w:val="18"/>
                <w:lang w:val="en-US" w:eastAsia="zh-CN" w:bidi="ar"/>
              </w:rPr>
              <w:t>2</w:t>
            </w:r>
            <w:r>
              <w:rPr>
                <w:rFonts w:hint="eastAsia" w:ascii="仿宋_GB2312" w:hAnsi="宋体" w:eastAsia="仿宋_GB2312" w:cs="仿宋_GB2312"/>
                <w:kern w:val="0"/>
                <w:sz w:val="18"/>
                <w:szCs w:val="18"/>
                <w:lang w:bidi="ar"/>
              </w:rPr>
              <w:t>万元以下的罚款。</w:t>
            </w:r>
          </w:p>
        </w:tc>
      </w:tr>
      <w:tr w14:paraId="30F8FC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2DA54C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color w:val="auto"/>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42660D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AB23F26">
            <w:pPr>
              <w:keepNext w:val="0"/>
              <w:keepLines w:val="0"/>
              <w:pageBreakBefore w:val="0"/>
              <w:widowControl w:val="0"/>
              <w:numPr>
                <w:ilvl w:val="0"/>
                <w:numId w:val="0"/>
              </w:numPr>
              <w:kinsoku/>
              <w:wordWrap/>
              <w:overflowPunct w:val="0"/>
              <w:topLinePunct w:val="0"/>
              <w:autoSpaceDE/>
              <w:autoSpaceDN/>
              <w:bidi w:val="0"/>
              <w:adjustRightInd/>
              <w:snapToGrid/>
              <w:spacing w:line="280" w:lineRule="exact"/>
              <w:ind w:left="0" w:leftChars="0" w:firstLine="0" w:firstLineChars="0"/>
              <w:jc w:val="both"/>
              <w:textAlignment w:val="center"/>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FFDF84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3C736E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4AD8976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kern w:val="0"/>
                <w:sz w:val="18"/>
                <w:szCs w:val="18"/>
                <w:lang w:val="en-US" w:eastAsia="zh-CN" w:bidi="ar"/>
              </w:rPr>
              <w:t>未开展安全风险评审，</w:t>
            </w:r>
            <w:r>
              <w:rPr>
                <w:rFonts w:hint="eastAsia" w:ascii="仿宋_GB2312" w:hAnsi="宋体" w:eastAsia="仿宋_GB2312" w:cs="仿宋_GB2312"/>
                <w:color w:val="auto"/>
                <w:kern w:val="0"/>
                <w:sz w:val="18"/>
                <w:szCs w:val="18"/>
                <w:lang w:bidi="ar"/>
              </w:rPr>
              <w:t>逾期未改正</w:t>
            </w:r>
            <w:r>
              <w:rPr>
                <w:rFonts w:hint="eastAsia" w:ascii="仿宋_GB2312" w:hAnsi="宋体" w:eastAsia="仿宋_GB2312" w:cs="仿宋_GB2312"/>
                <w:color w:val="auto"/>
                <w:kern w:val="0"/>
                <w:sz w:val="18"/>
                <w:szCs w:val="18"/>
                <w:lang w:eastAsia="zh-CN" w:bidi="ar"/>
              </w:rPr>
              <w:t>，</w:t>
            </w:r>
            <w:r>
              <w:rPr>
                <w:rFonts w:hint="eastAsia" w:ascii="仿宋_GB2312" w:hAnsi="宋体" w:eastAsia="仿宋_GB2312" w:cs="仿宋_GB2312"/>
                <w:color w:val="auto"/>
                <w:kern w:val="0"/>
                <w:sz w:val="18"/>
                <w:szCs w:val="18"/>
                <w:lang w:bidi="ar"/>
              </w:rPr>
              <w:t>超过责令改正期限</w:t>
            </w:r>
            <w:r>
              <w:rPr>
                <w:rFonts w:hint="eastAsia" w:ascii="仿宋_GB2312" w:hAnsi="宋体" w:eastAsia="仿宋_GB2312" w:cs="仿宋_GB2312"/>
                <w:color w:val="auto"/>
                <w:kern w:val="0"/>
                <w:sz w:val="18"/>
                <w:szCs w:val="18"/>
                <w:lang w:val="en-US" w:eastAsia="zh-CN" w:bidi="ar"/>
              </w:rPr>
              <w:t>20</w:t>
            </w:r>
            <w:r>
              <w:rPr>
                <w:rFonts w:hint="eastAsia" w:ascii="仿宋_GB2312" w:hAnsi="宋体" w:eastAsia="仿宋_GB2312" w:cs="仿宋_GB2312"/>
                <w:color w:val="auto"/>
                <w:kern w:val="0"/>
                <w:sz w:val="18"/>
                <w:szCs w:val="18"/>
                <w:lang w:bidi="ar"/>
              </w:rPr>
              <w:t>日以</w:t>
            </w:r>
            <w:r>
              <w:rPr>
                <w:rFonts w:hint="eastAsia" w:ascii="仿宋_GB2312" w:hAnsi="宋体" w:eastAsia="仿宋_GB2312" w:cs="仿宋_GB2312"/>
                <w:color w:val="auto"/>
                <w:kern w:val="0"/>
                <w:sz w:val="18"/>
                <w:szCs w:val="18"/>
                <w:lang w:val="en-US" w:eastAsia="zh-CN" w:bidi="ar"/>
              </w:rPr>
              <w:t>上</w:t>
            </w:r>
            <w:r>
              <w:rPr>
                <w:rFonts w:hint="eastAsia" w:ascii="仿宋_GB2312" w:hAnsi="宋体" w:eastAsia="仿宋_GB2312" w:cs="仿宋_GB2312"/>
                <w:color w:val="auto"/>
                <w:kern w:val="0"/>
                <w:sz w:val="18"/>
                <w:szCs w:val="18"/>
                <w:lang w:bidi="ar"/>
              </w:rPr>
              <w:t>的</w:t>
            </w:r>
          </w:p>
        </w:tc>
        <w:tc>
          <w:tcPr>
            <w:tcW w:w="2655" w:type="dxa"/>
            <w:tcBorders>
              <w:tl2br w:val="nil"/>
              <w:tr2bl w:val="nil"/>
            </w:tcBorders>
            <w:shd w:val="clear" w:color="auto" w:fill="auto"/>
            <w:tcMar>
              <w:top w:w="15" w:type="dxa"/>
              <w:left w:w="15" w:type="dxa"/>
              <w:right w:w="15" w:type="dxa"/>
            </w:tcMar>
            <w:vAlign w:val="center"/>
          </w:tcPr>
          <w:p w14:paraId="7C2EDA4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kern w:val="0"/>
                <w:sz w:val="18"/>
                <w:szCs w:val="18"/>
                <w:lang w:bidi="ar"/>
              </w:rPr>
              <w:t>处</w:t>
            </w:r>
            <w:r>
              <w:rPr>
                <w:rFonts w:hint="eastAsia" w:ascii="仿宋_GB2312" w:hAnsi="宋体" w:eastAsia="仿宋_GB2312" w:cs="仿宋_GB2312"/>
                <w:kern w:val="0"/>
                <w:sz w:val="18"/>
                <w:szCs w:val="18"/>
                <w:lang w:val="en-US" w:eastAsia="zh-CN" w:bidi="ar"/>
              </w:rPr>
              <w:t>2</w:t>
            </w:r>
            <w:r>
              <w:rPr>
                <w:rFonts w:hint="eastAsia" w:ascii="仿宋_GB2312" w:hAnsi="宋体" w:eastAsia="仿宋_GB2312" w:cs="仿宋_GB2312"/>
                <w:kern w:val="0"/>
                <w:sz w:val="18"/>
                <w:szCs w:val="18"/>
                <w:lang w:bidi="ar"/>
              </w:rPr>
              <w:t>万元以上</w:t>
            </w:r>
            <w:r>
              <w:rPr>
                <w:rFonts w:hint="eastAsia" w:ascii="仿宋_GB2312" w:hAnsi="宋体" w:eastAsia="仿宋_GB2312" w:cs="仿宋_GB2312"/>
                <w:kern w:val="0"/>
                <w:sz w:val="18"/>
                <w:szCs w:val="18"/>
                <w:lang w:val="en-US" w:eastAsia="zh-CN" w:bidi="ar"/>
              </w:rPr>
              <w:t>3</w:t>
            </w:r>
            <w:r>
              <w:rPr>
                <w:rFonts w:hint="eastAsia" w:ascii="仿宋_GB2312" w:hAnsi="宋体" w:eastAsia="仿宋_GB2312" w:cs="仿宋_GB2312"/>
                <w:kern w:val="0"/>
                <w:sz w:val="18"/>
                <w:szCs w:val="18"/>
                <w:lang w:bidi="ar"/>
              </w:rPr>
              <w:t>万元以下的罚款。</w:t>
            </w:r>
          </w:p>
        </w:tc>
      </w:tr>
      <w:tr w14:paraId="5719E8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766F9BC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1</w:t>
            </w:r>
            <w:del w:id="2771" w:author="LV" w:date="2026-07-14T16:57:02Z">
              <w:r>
                <w:rPr>
                  <w:rFonts w:hint="default" w:ascii="仿宋_GB2312" w:hAnsi="宋体" w:eastAsia="仿宋_GB2312" w:cs="仿宋_GB2312"/>
                  <w:kern w:val="0"/>
                  <w:sz w:val="18"/>
                  <w:szCs w:val="18"/>
                  <w:lang w:val="en-US" w:bidi="ar"/>
                </w:rPr>
                <w:delText>3</w:delText>
              </w:r>
            </w:del>
            <w:del w:id="2772" w:author="LV" w:date="2026-07-14T16:57:02Z">
              <w:r>
                <w:rPr>
                  <w:rFonts w:hint="default" w:ascii="仿宋_GB2312" w:hAnsi="宋体" w:eastAsia="仿宋_GB2312" w:cs="仿宋_GB2312"/>
                  <w:kern w:val="0"/>
                  <w:sz w:val="18"/>
                  <w:szCs w:val="18"/>
                  <w:lang w:val="en-US" w:eastAsia="zh-CN" w:bidi="ar"/>
                </w:rPr>
                <w:delText>6</w:delText>
              </w:r>
            </w:del>
            <w:ins w:id="2773" w:author="LV" w:date="2026-07-14T16:57:02Z">
              <w:r>
                <w:rPr>
                  <w:rFonts w:hint="eastAsia" w:ascii="仿宋_GB2312" w:hAnsi="宋体" w:eastAsia="仿宋_GB2312" w:cs="仿宋_GB2312"/>
                  <w:kern w:val="0"/>
                  <w:sz w:val="18"/>
                  <w:szCs w:val="18"/>
                  <w:lang w:val="en-US" w:eastAsia="zh-CN" w:bidi="ar"/>
                </w:rPr>
                <w:t>43</w:t>
              </w:r>
            </w:ins>
          </w:p>
        </w:tc>
        <w:tc>
          <w:tcPr>
            <w:tcW w:w="1005" w:type="dxa"/>
            <w:vMerge w:val="restart"/>
            <w:tcBorders>
              <w:tl2br w:val="nil"/>
              <w:tr2bl w:val="nil"/>
            </w:tcBorders>
            <w:shd w:val="clear" w:color="auto" w:fill="auto"/>
            <w:tcMar>
              <w:top w:w="15" w:type="dxa"/>
              <w:left w:w="15" w:type="dxa"/>
              <w:right w:w="15" w:type="dxa"/>
            </w:tcMar>
            <w:vAlign w:val="center"/>
          </w:tcPr>
          <w:p w14:paraId="1EC9791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生产经营单位未开展安全生产风险管控评审，逾期未改正的</w:t>
            </w:r>
          </w:p>
        </w:tc>
        <w:tc>
          <w:tcPr>
            <w:tcW w:w="3667" w:type="dxa"/>
            <w:vMerge w:val="restart"/>
            <w:tcBorders>
              <w:tl2br w:val="nil"/>
              <w:tr2bl w:val="nil"/>
            </w:tcBorders>
            <w:shd w:val="clear" w:color="auto" w:fill="auto"/>
            <w:tcMar>
              <w:top w:w="15" w:type="dxa"/>
              <w:left w:w="15" w:type="dxa"/>
              <w:right w:w="15" w:type="dxa"/>
            </w:tcMar>
            <w:vAlign w:val="center"/>
          </w:tcPr>
          <w:p w14:paraId="47043606">
            <w:pPr>
              <w:keepNext w:val="0"/>
              <w:keepLines w:val="0"/>
              <w:pageBreakBefore w:val="0"/>
              <w:widowControl w:val="0"/>
              <w:kinsoku/>
              <w:wordWrap/>
              <w:overflowPunct w:val="0"/>
              <w:topLinePunct w:val="0"/>
              <w:autoSpaceDE/>
              <w:autoSpaceDN/>
              <w:bidi w:val="0"/>
              <w:adjustRightInd/>
              <w:snapToGrid/>
              <w:spacing w:line="280" w:lineRule="exact"/>
              <w:ind w:left="0" w:firstLine="0" w:firstLineChars="0"/>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bidi="ar"/>
              </w:rPr>
              <w:t>《山东省安全生产风险管控办法》第二十一</w:t>
            </w:r>
            <w:r>
              <w:rPr>
                <w:rFonts w:hint="eastAsia" w:ascii="仿宋_GB2312" w:hAnsi="宋体" w:eastAsia="仿宋_GB2312" w:cs="仿宋_GB2312"/>
                <w:color w:val="auto"/>
                <w:kern w:val="0"/>
                <w:sz w:val="18"/>
                <w:szCs w:val="18"/>
                <w:lang w:eastAsia="zh-CN" w:bidi="ar"/>
              </w:rPr>
              <w:t>条</w:t>
            </w:r>
            <w:r>
              <w:rPr>
                <w:rFonts w:hint="eastAsia" w:ascii="仿宋_GB2312" w:hAnsi="宋体" w:eastAsia="仿宋_GB2312" w:cs="仿宋_GB2312"/>
                <w:color w:val="auto"/>
                <w:kern w:val="0"/>
                <w:sz w:val="18"/>
                <w:szCs w:val="18"/>
                <w:lang w:bidi="ar"/>
              </w:rPr>
              <w:t>生产经营单位应当每年至少开展1次风险管控评审，保障管控措施持续有效。有下列情形之一的，应当及时开展风险管控评审：（一）发生生产安全事故的；（二）安全生产标准和条件发生重大变化的；（三）生产经营单位组织机构发生重大调整的；（四）生产工艺、材料、技术、设施设备等发生改变的；（五）其他需要开展评审的情况。</w:t>
            </w:r>
          </w:p>
          <w:p w14:paraId="7A9B5FF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p>
        </w:tc>
        <w:tc>
          <w:tcPr>
            <w:tcW w:w="4082" w:type="dxa"/>
            <w:vMerge w:val="restart"/>
            <w:tcBorders>
              <w:tl2br w:val="nil"/>
              <w:tr2bl w:val="nil"/>
            </w:tcBorders>
            <w:shd w:val="clear" w:color="auto" w:fill="auto"/>
            <w:tcMar>
              <w:top w:w="15" w:type="dxa"/>
              <w:left w:w="15" w:type="dxa"/>
              <w:right w:w="15" w:type="dxa"/>
            </w:tcMar>
            <w:vAlign w:val="center"/>
          </w:tcPr>
          <w:p w14:paraId="60DC94B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lang w:eastAsia="zh-CN"/>
              </w:rPr>
            </w:pPr>
            <w:r>
              <w:rPr>
                <w:rFonts w:hint="eastAsia" w:ascii="仿宋_GB2312" w:hAnsi="宋体" w:eastAsia="仿宋_GB2312" w:cs="仿宋_GB2312"/>
                <w:kern w:val="0"/>
                <w:sz w:val="18"/>
                <w:szCs w:val="18"/>
                <w:lang w:bidi="ar"/>
              </w:rPr>
              <w:t>《山东省安全生产风险管控办法》第二十八</w:t>
            </w:r>
            <w:r>
              <w:rPr>
                <w:rFonts w:ascii="仿宋_GB2312" w:hAnsi="宋体" w:eastAsia="仿宋_GB2312" w:cs="仿宋_GB2312"/>
                <w:kern w:val="0"/>
                <w:sz w:val="18"/>
                <w:szCs w:val="18"/>
                <w:lang w:bidi="ar"/>
              </w:rPr>
              <w:t>条</w:t>
            </w:r>
            <w:r>
              <w:rPr>
                <w:rFonts w:hint="eastAsia" w:ascii="仿宋_GB2312" w:hAnsi="宋体" w:eastAsia="仿宋_GB2312" w:cs="仿宋_GB2312"/>
                <w:kern w:val="0"/>
                <w:sz w:val="18"/>
                <w:szCs w:val="18"/>
                <w:lang w:bidi="ar"/>
              </w:rPr>
              <w:t xml:space="preserve"> 违反本办法规定，生产经营单位未开展安全生产风险管控评审的，由负有安全生产监督管理职责的部门责令限期改正；逾期未改正的，处5000元以上3万元以下的罚款</w:t>
            </w:r>
            <w:r>
              <w:rPr>
                <w:rFonts w:hint="eastAsia" w:ascii="仿宋_GB2312" w:hAnsi="宋体" w:eastAsia="仿宋_GB2312" w:cs="仿宋_GB2312"/>
                <w:kern w:val="0"/>
                <w:sz w:val="18"/>
                <w:szCs w:val="18"/>
                <w:lang w:eastAsia="zh-CN" w:bidi="ar"/>
              </w:rPr>
              <w:t>。</w:t>
            </w:r>
          </w:p>
        </w:tc>
        <w:tc>
          <w:tcPr>
            <w:tcW w:w="459" w:type="dxa"/>
            <w:tcBorders>
              <w:tl2br w:val="nil"/>
              <w:tr2bl w:val="nil"/>
            </w:tcBorders>
            <w:shd w:val="clear" w:color="auto" w:fill="auto"/>
            <w:noWrap/>
            <w:tcMar>
              <w:top w:w="15" w:type="dxa"/>
              <w:left w:w="15" w:type="dxa"/>
              <w:right w:w="15" w:type="dxa"/>
            </w:tcMar>
            <w:vAlign w:val="center"/>
          </w:tcPr>
          <w:p w14:paraId="63ABE58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00FA44D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11642A5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6A4ED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3F9759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D5BE84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B9A4C5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541778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60CB8E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6E44290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4C29E6A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FF75E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A8E4CD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253BBF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D56628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9AA44A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D06E52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21F926E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5C282E3">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642F2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E9F794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091292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31A332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C2E7EB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6609F6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39118BF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发生本办法第二十一条规定需要开展评审的情况，但未及时开展风险管控评审的。</w:t>
            </w:r>
          </w:p>
        </w:tc>
        <w:tc>
          <w:tcPr>
            <w:tcW w:w="2655" w:type="dxa"/>
            <w:tcBorders>
              <w:tl2br w:val="nil"/>
              <w:tr2bl w:val="nil"/>
            </w:tcBorders>
            <w:shd w:val="clear" w:color="auto" w:fill="auto"/>
            <w:tcMar>
              <w:top w:w="15" w:type="dxa"/>
              <w:left w:w="15" w:type="dxa"/>
              <w:right w:w="15" w:type="dxa"/>
            </w:tcMar>
            <w:vAlign w:val="center"/>
          </w:tcPr>
          <w:p w14:paraId="6E56B32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处5000元以上1万元以下的罚款。</w:t>
            </w:r>
          </w:p>
        </w:tc>
      </w:tr>
      <w:tr w14:paraId="524F5D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0C649F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6B690B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020769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F086D9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A2F5B6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398E845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未按规定每年至少开展1次风险管控评审的。</w:t>
            </w:r>
          </w:p>
        </w:tc>
        <w:tc>
          <w:tcPr>
            <w:tcW w:w="2655" w:type="dxa"/>
            <w:tcBorders>
              <w:tl2br w:val="nil"/>
              <w:tr2bl w:val="nil"/>
            </w:tcBorders>
            <w:shd w:val="clear" w:color="auto" w:fill="auto"/>
            <w:tcMar>
              <w:top w:w="15" w:type="dxa"/>
              <w:left w:w="15" w:type="dxa"/>
              <w:right w:w="15" w:type="dxa"/>
            </w:tcMar>
            <w:vAlign w:val="center"/>
          </w:tcPr>
          <w:p w14:paraId="5534C9C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处1万元以上2万元以下的罚款。</w:t>
            </w:r>
          </w:p>
        </w:tc>
      </w:tr>
      <w:tr w14:paraId="4D1E56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E0F17E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EFA4F1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3B8B07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C17A23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69400D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747F4A7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从未开展安全生产风险管控评审的。</w:t>
            </w:r>
          </w:p>
        </w:tc>
        <w:tc>
          <w:tcPr>
            <w:tcW w:w="2655" w:type="dxa"/>
            <w:tcBorders>
              <w:tl2br w:val="nil"/>
              <w:tr2bl w:val="nil"/>
            </w:tcBorders>
            <w:shd w:val="clear" w:color="auto" w:fill="auto"/>
            <w:tcMar>
              <w:top w:w="15" w:type="dxa"/>
              <w:left w:w="15" w:type="dxa"/>
              <w:right w:w="15" w:type="dxa"/>
            </w:tcMar>
            <w:vAlign w:val="center"/>
          </w:tcPr>
          <w:p w14:paraId="1552D4B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处2万元以上3万元以下的罚款。</w:t>
            </w:r>
          </w:p>
        </w:tc>
      </w:tr>
      <w:tr w14:paraId="5F95D0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60511EE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1</w:t>
            </w:r>
            <w:del w:id="2774" w:author="LV" w:date="2026-07-14T16:57:06Z">
              <w:r>
                <w:rPr>
                  <w:rFonts w:hint="default" w:ascii="仿宋_GB2312" w:hAnsi="宋体" w:eastAsia="仿宋_GB2312" w:cs="仿宋_GB2312"/>
                  <w:kern w:val="0"/>
                  <w:sz w:val="18"/>
                  <w:szCs w:val="18"/>
                  <w:lang w:val="en-US" w:eastAsia="zh-CN" w:bidi="ar"/>
                </w:rPr>
                <w:delText>37</w:delText>
              </w:r>
            </w:del>
            <w:ins w:id="2775" w:author="LV" w:date="2026-07-14T16:57:06Z">
              <w:r>
                <w:rPr>
                  <w:rFonts w:hint="eastAsia" w:ascii="仿宋_GB2312" w:hAnsi="宋体" w:eastAsia="仿宋_GB2312" w:cs="仿宋_GB2312"/>
                  <w:kern w:val="0"/>
                  <w:sz w:val="18"/>
                  <w:szCs w:val="18"/>
                  <w:lang w:val="en-US" w:eastAsia="zh-CN" w:bidi="ar"/>
                </w:rPr>
                <w:t>44</w:t>
              </w:r>
            </w:ins>
          </w:p>
        </w:tc>
        <w:tc>
          <w:tcPr>
            <w:tcW w:w="1005" w:type="dxa"/>
            <w:vMerge w:val="restart"/>
            <w:tcBorders>
              <w:tl2br w:val="nil"/>
              <w:tr2bl w:val="nil"/>
            </w:tcBorders>
            <w:shd w:val="clear" w:color="auto" w:fill="auto"/>
            <w:tcMar>
              <w:top w:w="15" w:type="dxa"/>
              <w:left w:w="15" w:type="dxa"/>
              <w:right w:w="15" w:type="dxa"/>
            </w:tcMar>
            <w:vAlign w:val="center"/>
          </w:tcPr>
          <w:p w14:paraId="37D3542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生产经营单位的主要负责人（含实际控制人）未依法履行《山东省安全生产条例》规定安全生产管理职责的</w:t>
            </w:r>
          </w:p>
        </w:tc>
        <w:tc>
          <w:tcPr>
            <w:tcW w:w="3667" w:type="dxa"/>
            <w:vMerge w:val="restart"/>
            <w:tcBorders>
              <w:tl2br w:val="nil"/>
              <w:tr2bl w:val="nil"/>
            </w:tcBorders>
            <w:shd w:val="clear" w:color="auto" w:fill="auto"/>
            <w:tcMar>
              <w:top w:w="15" w:type="dxa"/>
              <w:left w:w="15" w:type="dxa"/>
              <w:right w:w="15" w:type="dxa"/>
            </w:tcMar>
            <w:vAlign w:val="center"/>
          </w:tcPr>
          <w:p w14:paraId="3966D84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lang w:eastAsia="zh-CN"/>
              </w:rPr>
            </w:pPr>
            <w:r>
              <w:rPr>
                <w:rFonts w:hint="eastAsia" w:ascii="仿宋_GB2312" w:hAnsi="宋体" w:eastAsia="仿宋_GB2312" w:cs="仿宋_GB2312"/>
                <w:kern w:val="0"/>
                <w:sz w:val="18"/>
                <w:szCs w:val="18"/>
                <w:lang w:bidi="ar"/>
              </w:rPr>
              <w:t>《山东省安全生产条例》第十七条 生产经营单位的主要负责人是本单位安全生产第一责任人，对安全生产工作全面负责，具体履行下列职责：（一）建立健全本单位全员安全生产责任制，并组织落实和考核奖惩；（二）组织制定并实施本单位安全生产规章制度和操作规程；（三）确定分管安全生产的负责人或者安全总监、主要技术负责人、其他相关负责人的安全管理职责；（四）明确本单位技术管理机构的安全生产技术保障职能并配备安全技术人员；（五）定期研究安全生产工作</w:t>
            </w:r>
            <w:r>
              <w:rPr>
                <w:rFonts w:hint="eastAsia" w:ascii="仿宋_GB2312" w:hAnsi="宋体" w:eastAsia="仿宋_GB2312" w:cs="仿宋_GB2312"/>
                <w:kern w:val="0"/>
                <w:sz w:val="18"/>
                <w:szCs w:val="18"/>
                <w:lang w:eastAsia="zh-CN" w:bidi="ar"/>
              </w:rPr>
              <w:t>。</w:t>
            </w:r>
          </w:p>
        </w:tc>
        <w:tc>
          <w:tcPr>
            <w:tcW w:w="4082" w:type="dxa"/>
            <w:vMerge w:val="restart"/>
            <w:tcBorders>
              <w:tl2br w:val="nil"/>
              <w:tr2bl w:val="nil"/>
            </w:tcBorders>
            <w:shd w:val="clear" w:color="auto" w:fill="auto"/>
            <w:tcMar>
              <w:top w:w="15" w:type="dxa"/>
              <w:left w:w="15" w:type="dxa"/>
              <w:right w:w="15" w:type="dxa"/>
            </w:tcMar>
            <w:vAlign w:val="center"/>
          </w:tcPr>
          <w:p w14:paraId="68CDAF5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《山东省安全生产条例》第七十二条 生产经营单位的主要负责人违反本条例第十七条第三项、第四项、第五项规定的，责令限期改正，处二万元以上五万元以下的罚款；逾期未改正的，处五万元以上十万元以下的罚款，责令生产经营单位停产停业整顿。</w:t>
            </w:r>
          </w:p>
        </w:tc>
        <w:tc>
          <w:tcPr>
            <w:tcW w:w="459" w:type="dxa"/>
            <w:tcBorders>
              <w:tl2br w:val="nil"/>
              <w:tr2bl w:val="nil"/>
            </w:tcBorders>
            <w:shd w:val="clear" w:color="auto" w:fill="auto"/>
            <w:noWrap/>
            <w:tcMar>
              <w:top w:w="15" w:type="dxa"/>
              <w:left w:w="15" w:type="dxa"/>
              <w:right w:w="15" w:type="dxa"/>
            </w:tcMar>
            <w:vAlign w:val="center"/>
          </w:tcPr>
          <w:p w14:paraId="0427461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55D11B1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CAF61D6">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CDB39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AE2489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EDCE9B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944E87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3CE0A8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EF91E3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06CFAE6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394BC38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C7AC5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10ACAB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D884AD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77B133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AF1DFB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C1BCFF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007656A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F11EF0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41B10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43D46B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C25ABD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E5F85C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98828C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D20D69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721A059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《山东省安全生产条例》第十七条第三项、第四项、第五项规定的主要负责人安全生产管理职责有1项未履行的。</w:t>
            </w:r>
          </w:p>
        </w:tc>
        <w:tc>
          <w:tcPr>
            <w:tcW w:w="2655" w:type="dxa"/>
            <w:tcBorders>
              <w:tl2br w:val="nil"/>
              <w:tr2bl w:val="nil"/>
            </w:tcBorders>
            <w:shd w:val="clear" w:color="auto" w:fill="auto"/>
            <w:tcMar>
              <w:top w:w="15" w:type="dxa"/>
              <w:left w:w="15" w:type="dxa"/>
              <w:right w:w="15" w:type="dxa"/>
            </w:tcMar>
            <w:vAlign w:val="center"/>
          </w:tcPr>
          <w:p w14:paraId="0AA6EC9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处2万元以上3万元以下的罚款。</w:t>
            </w:r>
          </w:p>
        </w:tc>
      </w:tr>
      <w:tr w14:paraId="717A96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268B7B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3D31AF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DA661E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2A283C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81514D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35B817D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《山东省安全生产条例》第十七条第三项、第四项、第五项规定的主要负责人安全生产管理职责有2项未履行的。</w:t>
            </w:r>
          </w:p>
        </w:tc>
        <w:tc>
          <w:tcPr>
            <w:tcW w:w="2655" w:type="dxa"/>
            <w:tcBorders>
              <w:tl2br w:val="nil"/>
              <w:tr2bl w:val="nil"/>
            </w:tcBorders>
            <w:shd w:val="clear" w:color="auto" w:fill="auto"/>
            <w:tcMar>
              <w:top w:w="15" w:type="dxa"/>
              <w:left w:w="15" w:type="dxa"/>
              <w:right w:w="15" w:type="dxa"/>
            </w:tcMar>
            <w:vAlign w:val="center"/>
          </w:tcPr>
          <w:p w14:paraId="724161F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处3万元以上4万元以下的罚款。</w:t>
            </w:r>
          </w:p>
        </w:tc>
      </w:tr>
      <w:tr w14:paraId="0154B6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C0C8D2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DE9A62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DC8BEA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FFD96F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61A916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1B611F2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《山东省安全生产条例》第十七条第三项、第四项、第五项规定的主要负责人安全生产管理职责有3项</w:t>
            </w:r>
            <w:r>
              <w:rPr>
                <w:rFonts w:hint="eastAsia" w:ascii="仿宋_GB2312" w:hAnsi="宋体" w:eastAsia="仿宋_GB2312" w:cs="仿宋_GB2312"/>
                <w:kern w:val="0"/>
                <w:sz w:val="18"/>
                <w:szCs w:val="18"/>
                <w:lang w:val="en-US" w:eastAsia="zh-CN" w:bidi="ar"/>
              </w:rPr>
              <w:t>及</w:t>
            </w:r>
            <w:r>
              <w:rPr>
                <w:rFonts w:hint="eastAsia" w:ascii="仿宋_GB2312" w:hAnsi="宋体" w:eastAsia="仿宋_GB2312" w:cs="仿宋_GB2312"/>
                <w:kern w:val="0"/>
                <w:sz w:val="18"/>
                <w:szCs w:val="18"/>
                <w:lang w:bidi="ar"/>
              </w:rPr>
              <w:t>以上未履行的。</w:t>
            </w:r>
          </w:p>
        </w:tc>
        <w:tc>
          <w:tcPr>
            <w:tcW w:w="2655" w:type="dxa"/>
            <w:tcBorders>
              <w:tl2br w:val="nil"/>
              <w:tr2bl w:val="nil"/>
            </w:tcBorders>
            <w:shd w:val="clear" w:color="auto" w:fill="auto"/>
            <w:tcMar>
              <w:top w:w="15" w:type="dxa"/>
              <w:left w:w="15" w:type="dxa"/>
              <w:right w:w="15" w:type="dxa"/>
            </w:tcMar>
            <w:vAlign w:val="center"/>
          </w:tcPr>
          <w:p w14:paraId="5DCFF06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处4万元以上5万元以下的罚款。</w:t>
            </w:r>
          </w:p>
        </w:tc>
      </w:tr>
      <w:tr w14:paraId="0AD61C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21DB466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1</w:t>
            </w:r>
            <w:del w:id="2776" w:author="LV" w:date="2026-07-14T16:57:12Z">
              <w:r>
                <w:rPr>
                  <w:rFonts w:hint="default" w:ascii="仿宋_GB2312" w:hAnsi="宋体" w:eastAsia="仿宋_GB2312" w:cs="仿宋_GB2312"/>
                  <w:kern w:val="0"/>
                  <w:sz w:val="18"/>
                  <w:szCs w:val="18"/>
                  <w:lang w:val="en-US" w:bidi="ar"/>
                </w:rPr>
                <w:delText>3</w:delText>
              </w:r>
            </w:del>
            <w:del w:id="2777" w:author="LV" w:date="2026-07-14T16:57:12Z">
              <w:r>
                <w:rPr>
                  <w:rFonts w:hint="default" w:ascii="仿宋_GB2312" w:hAnsi="宋体" w:eastAsia="仿宋_GB2312" w:cs="仿宋_GB2312"/>
                  <w:kern w:val="0"/>
                  <w:sz w:val="18"/>
                  <w:szCs w:val="18"/>
                  <w:lang w:val="en-US" w:eastAsia="zh-CN" w:bidi="ar"/>
                </w:rPr>
                <w:delText>8</w:delText>
              </w:r>
            </w:del>
            <w:ins w:id="2778" w:author="LV" w:date="2026-07-14T16:57:12Z">
              <w:r>
                <w:rPr>
                  <w:rFonts w:hint="eastAsia" w:ascii="仿宋_GB2312" w:hAnsi="宋体" w:eastAsia="仿宋_GB2312" w:cs="仿宋_GB2312"/>
                  <w:kern w:val="0"/>
                  <w:sz w:val="18"/>
                  <w:szCs w:val="18"/>
                  <w:lang w:val="en-US" w:eastAsia="zh-CN" w:bidi="ar"/>
                </w:rPr>
                <w:t>45</w:t>
              </w:r>
            </w:ins>
          </w:p>
        </w:tc>
        <w:tc>
          <w:tcPr>
            <w:tcW w:w="1005" w:type="dxa"/>
            <w:vMerge w:val="restart"/>
            <w:tcBorders>
              <w:tl2br w:val="nil"/>
              <w:tr2bl w:val="nil"/>
            </w:tcBorders>
            <w:shd w:val="clear" w:color="auto" w:fill="auto"/>
            <w:tcMar>
              <w:top w:w="15" w:type="dxa"/>
              <w:left w:w="15" w:type="dxa"/>
              <w:right w:w="15" w:type="dxa"/>
            </w:tcMar>
            <w:vAlign w:val="center"/>
          </w:tcPr>
          <w:p w14:paraId="3D6F8C8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生产经营单位的主要负责人（含实际控制人）未依法履行《山东省安全生产条例》安全生产管理职责，逾期未改正的</w:t>
            </w:r>
          </w:p>
        </w:tc>
        <w:tc>
          <w:tcPr>
            <w:tcW w:w="3667" w:type="dxa"/>
            <w:vMerge w:val="restart"/>
            <w:tcBorders>
              <w:tl2br w:val="nil"/>
              <w:tr2bl w:val="nil"/>
            </w:tcBorders>
            <w:shd w:val="clear" w:color="auto" w:fill="auto"/>
            <w:tcMar>
              <w:top w:w="15" w:type="dxa"/>
              <w:left w:w="15" w:type="dxa"/>
              <w:right w:w="15" w:type="dxa"/>
            </w:tcMar>
            <w:vAlign w:val="center"/>
          </w:tcPr>
          <w:p w14:paraId="51B2F6A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lang w:eastAsia="zh-CN"/>
              </w:rPr>
            </w:pPr>
            <w:r>
              <w:rPr>
                <w:rFonts w:hint="eastAsia" w:ascii="仿宋_GB2312" w:hAnsi="宋体" w:eastAsia="仿宋_GB2312" w:cs="仿宋_GB2312"/>
                <w:kern w:val="0"/>
                <w:sz w:val="18"/>
                <w:szCs w:val="18"/>
                <w:lang w:bidi="ar"/>
              </w:rPr>
              <w:t>《山东省安全生产条例》第十七条 生产经营单位的主要负责人是本单位安全生产第一责任人，对安全生产工作全面负责，具体履行下列职责：（一）建立健全本单位全员安全生产责任制，并组织落实和考核奖惩；（二）组织制定并实施本单位安全生产规章制度和操作规程；（三）确定分管安全生产的负责人或者安全总监、主要技术负责人、其他相关负责人的安全管理职责；（四）明确本单位技术管理机构的安全生产技术保障职能并配备安全技术人员；（五）定期研究安全生产工作</w:t>
            </w:r>
            <w:r>
              <w:rPr>
                <w:rFonts w:hint="eastAsia" w:ascii="仿宋_GB2312" w:hAnsi="宋体" w:eastAsia="仿宋_GB2312" w:cs="仿宋_GB2312"/>
                <w:kern w:val="0"/>
                <w:sz w:val="18"/>
                <w:szCs w:val="18"/>
                <w:lang w:eastAsia="zh-CN" w:bidi="ar"/>
              </w:rPr>
              <w:t>。</w:t>
            </w:r>
          </w:p>
        </w:tc>
        <w:tc>
          <w:tcPr>
            <w:tcW w:w="4082" w:type="dxa"/>
            <w:vMerge w:val="restart"/>
            <w:tcBorders>
              <w:tl2br w:val="nil"/>
              <w:tr2bl w:val="nil"/>
            </w:tcBorders>
            <w:shd w:val="clear" w:color="auto" w:fill="auto"/>
            <w:tcMar>
              <w:top w:w="15" w:type="dxa"/>
              <w:left w:w="15" w:type="dxa"/>
              <w:right w:w="15" w:type="dxa"/>
            </w:tcMar>
            <w:vAlign w:val="center"/>
          </w:tcPr>
          <w:p w14:paraId="3C03136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《山东省安全生产条例》第七十二条 生产经营单位的主要负责人违反本条例第十七条第三项、第四项、第五项规定的，责令限期改正，处二万元以上五万元以下的罚款；逾期未改正的，处五万元以上十万元以下的罚款，责令生产经营单位停产停业整顿。</w:t>
            </w:r>
          </w:p>
        </w:tc>
        <w:tc>
          <w:tcPr>
            <w:tcW w:w="459" w:type="dxa"/>
            <w:tcBorders>
              <w:tl2br w:val="nil"/>
              <w:tr2bl w:val="nil"/>
            </w:tcBorders>
            <w:shd w:val="clear" w:color="auto" w:fill="auto"/>
            <w:noWrap/>
            <w:tcMar>
              <w:top w:w="15" w:type="dxa"/>
              <w:left w:w="15" w:type="dxa"/>
              <w:right w:w="15" w:type="dxa"/>
            </w:tcMar>
            <w:vAlign w:val="center"/>
          </w:tcPr>
          <w:p w14:paraId="1F5933A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76AD463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79059E5E">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96306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1F1CAC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D4E86D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120AA2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1A7867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4DF5BF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0951A8E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0CEB321F">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87DC3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472920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18977B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9A661D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5F6C25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17A089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1E755A7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7C331F7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B3202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F03DF0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798597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18EF8E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84F540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5F0F92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14A2A2E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《山东省安全生产条例》第十七条第三项、第四项、第五项规定的主要负责人安全生产管理职责有1项未履行的，逾期未改正的。</w:t>
            </w:r>
          </w:p>
        </w:tc>
        <w:tc>
          <w:tcPr>
            <w:tcW w:w="2655" w:type="dxa"/>
            <w:tcBorders>
              <w:tl2br w:val="nil"/>
              <w:tr2bl w:val="nil"/>
            </w:tcBorders>
            <w:shd w:val="clear" w:color="auto" w:fill="auto"/>
            <w:tcMar>
              <w:top w:w="15" w:type="dxa"/>
              <w:left w:w="15" w:type="dxa"/>
              <w:right w:w="15" w:type="dxa"/>
            </w:tcMar>
            <w:vAlign w:val="center"/>
          </w:tcPr>
          <w:p w14:paraId="741F62E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处5万元以上7万元以下的罚款，责令停产停业整顿。</w:t>
            </w:r>
          </w:p>
        </w:tc>
      </w:tr>
      <w:tr w14:paraId="7F7684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9F43B1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76F779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5C547C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4B8C23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249B57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2DE802E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《山东省安全生产条例》第十七条第三项、第四项、第五项规定的主要负责人安全生产管理职责有2项未履行的，逾期未改正</w:t>
            </w:r>
            <w:r>
              <w:rPr>
                <w:rFonts w:hint="eastAsia" w:ascii="仿宋_GB2312" w:hAnsi="宋体" w:eastAsia="仿宋_GB2312" w:cs="仿宋_GB2312"/>
                <w:kern w:val="0"/>
                <w:sz w:val="18"/>
                <w:szCs w:val="18"/>
                <w:lang w:val="en-US" w:eastAsia="zh-CN" w:bidi="ar"/>
              </w:rPr>
              <w:t>1项以上</w:t>
            </w:r>
            <w:r>
              <w:rPr>
                <w:rFonts w:hint="eastAsia" w:ascii="仿宋_GB2312" w:hAnsi="宋体" w:eastAsia="仿宋_GB2312" w:cs="仿宋_GB2312"/>
                <w:kern w:val="0"/>
                <w:sz w:val="18"/>
                <w:szCs w:val="18"/>
                <w:lang w:bidi="ar"/>
              </w:rPr>
              <w:t>的。</w:t>
            </w:r>
          </w:p>
        </w:tc>
        <w:tc>
          <w:tcPr>
            <w:tcW w:w="2655" w:type="dxa"/>
            <w:tcBorders>
              <w:tl2br w:val="nil"/>
              <w:tr2bl w:val="nil"/>
            </w:tcBorders>
            <w:shd w:val="clear" w:color="auto" w:fill="auto"/>
            <w:tcMar>
              <w:top w:w="15" w:type="dxa"/>
              <w:left w:w="15" w:type="dxa"/>
              <w:right w:w="15" w:type="dxa"/>
            </w:tcMar>
            <w:vAlign w:val="center"/>
          </w:tcPr>
          <w:p w14:paraId="4DA4941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处7万元以上9万元以下的罚款，责令停产停业整顿。</w:t>
            </w:r>
          </w:p>
        </w:tc>
      </w:tr>
      <w:tr w14:paraId="4FC85C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D1CAF4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281DD4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6745CA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3DB6B1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FA337C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253AFFB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《山东省安全生产条例》第十七条第三项、第四项、第五项规定的主要负责人安全生产管理职责有3项</w:t>
            </w:r>
            <w:r>
              <w:rPr>
                <w:rFonts w:hint="eastAsia" w:ascii="仿宋_GB2312" w:hAnsi="宋体" w:eastAsia="仿宋_GB2312" w:cs="仿宋_GB2312"/>
                <w:kern w:val="0"/>
                <w:sz w:val="18"/>
                <w:szCs w:val="18"/>
                <w:lang w:val="en-US" w:eastAsia="zh-CN" w:bidi="ar"/>
              </w:rPr>
              <w:t>及</w:t>
            </w:r>
            <w:r>
              <w:rPr>
                <w:rFonts w:hint="eastAsia" w:ascii="仿宋_GB2312" w:hAnsi="宋体" w:eastAsia="仿宋_GB2312" w:cs="仿宋_GB2312"/>
                <w:kern w:val="0"/>
                <w:sz w:val="18"/>
                <w:szCs w:val="18"/>
                <w:lang w:bidi="ar"/>
              </w:rPr>
              <w:t>以上未履行的，逾期未改正</w:t>
            </w:r>
            <w:r>
              <w:rPr>
                <w:rFonts w:hint="eastAsia" w:ascii="仿宋_GB2312" w:hAnsi="宋体" w:eastAsia="仿宋_GB2312" w:cs="仿宋_GB2312"/>
                <w:kern w:val="0"/>
                <w:sz w:val="18"/>
                <w:szCs w:val="18"/>
                <w:lang w:val="en-US" w:eastAsia="zh-CN" w:bidi="ar"/>
              </w:rPr>
              <w:t>1项以上</w:t>
            </w:r>
            <w:r>
              <w:rPr>
                <w:rFonts w:hint="eastAsia" w:ascii="仿宋_GB2312" w:hAnsi="宋体" w:eastAsia="仿宋_GB2312" w:cs="仿宋_GB2312"/>
                <w:kern w:val="0"/>
                <w:sz w:val="18"/>
                <w:szCs w:val="18"/>
                <w:lang w:bidi="ar"/>
              </w:rPr>
              <w:t>的。</w:t>
            </w:r>
          </w:p>
        </w:tc>
        <w:tc>
          <w:tcPr>
            <w:tcW w:w="2655" w:type="dxa"/>
            <w:tcBorders>
              <w:tl2br w:val="nil"/>
              <w:tr2bl w:val="nil"/>
            </w:tcBorders>
            <w:shd w:val="clear" w:color="auto" w:fill="auto"/>
            <w:tcMar>
              <w:top w:w="15" w:type="dxa"/>
              <w:left w:w="15" w:type="dxa"/>
              <w:right w:w="15" w:type="dxa"/>
            </w:tcMar>
            <w:vAlign w:val="center"/>
          </w:tcPr>
          <w:p w14:paraId="1C9CC34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处9万元以上10万元以下的罚款，责令停产停业整顿。</w:t>
            </w:r>
          </w:p>
        </w:tc>
      </w:tr>
      <w:tr w14:paraId="103537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263D360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1</w:t>
            </w:r>
            <w:del w:id="2779" w:author="LV" w:date="2026-07-14T16:57:19Z">
              <w:r>
                <w:rPr>
                  <w:rFonts w:hint="default" w:ascii="仿宋_GB2312" w:hAnsi="宋体" w:eastAsia="仿宋_GB2312" w:cs="仿宋_GB2312"/>
                  <w:kern w:val="0"/>
                  <w:sz w:val="18"/>
                  <w:szCs w:val="18"/>
                  <w:lang w:val="en-US" w:eastAsia="zh-CN" w:bidi="ar"/>
                </w:rPr>
                <w:delText>39</w:delText>
              </w:r>
            </w:del>
            <w:ins w:id="2780" w:author="LV" w:date="2026-07-14T16:57:19Z">
              <w:r>
                <w:rPr>
                  <w:rFonts w:hint="eastAsia" w:ascii="仿宋_GB2312" w:hAnsi="宋体" w:eastAsia="仿宋_GB2312" w:cs="仿宋_GB2312"/>
                  <w:kern w:val="0"/>
                  <w:sz w:val="18"/>
                  <w:szCs w:val="18"/>
                  <w:lang w:val="en-US" w:eastAsia="zh-CN" w:bidi="ar"/>
                </w:rPr>
                <w:t>46</w:t>
              </w:r>
            </w:ins>
          </w:p>
        </w:tc>
        <w:tc>
          <w:tcPr>
            <w:tcW w:w="1005" w:type="dxa"/>
            <w:vMerge w:val="restart"/>
            <w:tcBorders>
              <w:tl2br w:val="nil"/>
              <w:tr2bl w:val="nil"/>
            </w:tcBorders>
            <w:shd w:val="clear" w:color="auto" w:fill="auto"/>
            <w:tcMar>
              <w:top w:w="15" w:type="dxa"/>
              <w:left w:w="15" w:type="dxa"/>
              <w:right w:w="15" w:type="dxa"/>
            </w:tcMar>
            <w:vAlign w:val="center"/>
          </w:tcPr>
          <w:p w14:paraId="69692AB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生产经营单位的安全总监未履行安全生产管理工作职责的</w:t>
            </w:r>
          </w:p>
        </w:tc>
        <w:tc>
          <w:tcPr>
            <w:tcW w:w="3667" w:type="dxa"/>
            <w:vMerge w:val="restart"/>
            <w:tcBorders>
              <w:tl2br w:val="nil"/>
              <w:tr2bl w:val="nil"/>
            </w:tcBorders>
            <w:shd w:val="clear" w:color="auto" w:fill="auto"/>
            <w:tcMar>
              <w:top w:w="15" w:type="dxa"/>
              <w:left w:w="15" w:type="dxa"/>
              <w:right w:w="15" w:type="dxa"/>
            </w:tcMar>
            <w:vAlign w:val="center"/>
          </w:tcPr>
          <w:p w14:paraId="212737F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《山东省安全生产条例》第十八条</w:t>
            </w:r>
            <w:r>
              <w:rPr>
                <w:rFonts w:hint="eastAsia" w:ascii="仿宋_GB2312" w:hAnsi="宋体" w:eastAsia="仿宋_GB2312" w:cs="仿宋_GB2312"/>
                <w:color w:val="auto"/>
                <w:kern w:val="0"/>
                <w:sz w:val="18"/>
                <w:szCs w:val="18"/>
                <w:lang w:val="en-US" w:eastAsia="zh-CN" w:bidi="ar"/>
              </w:rPr>
              <w:t xml:space="preserve"> </w:t>
            </w:r>
            <w:r>
              <w:rPr>
                <w:rFonts w:hint="eastAsia" w:ascii="仿宋_GB2312" w:hAnsi="宋体" w:eastAsia="仿宋_GB2312" w:cs="仿宋_GB2312"/>
                <w:color w:val="auto"/>
                <w:kern w:val="0"/>
                <w:sz w:val="18"/>
                <w:szCs w:val="18"/>
                <w:lang w:bidi="ar"/>
              </w:rPr>
              <w:t>生产经营单位分管安全生产的负责人或者安全总监协助主要负责人履行安全生产职责，并直接管理本单位的安全生产工作；其他相关负责人在履行各自岗位业务工作职责的同时，履行相关的安全生产工作职责。</w:t>
            </w:r>
          </w:p>
        </w:tc>
        <w:tc>
          <w:tcPr>
            <w:tcW w:w="4082" w:type="dxa"/>
            <w:vMerge w:val="restart"/>
            <w:tcBorders>
              <w:tl2br w:val="nil"/>
              <w:tr2bl w:val="nil"/>
            </w:tcBorders>
            <w:shd w:val="clear" w:color="auto" w:fill="auto"/>
            <w:tcMar>
              <w:top w:w="15" w:type="dxa"/>
              <w:left w:w="15" w:type="dxa"/>
              <w:right w:w="15" w:type="dxa"/>
            </w:tcMar>
            <w:vAlign w:val="center"/>
          </w:tcPr>
          <w:p w14:paraId="42B016D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《山东省安全生产条例》第七十四条 违反本条例规定，生产经营单位的安全总监未履行安全生产管理工作职责的，责令限期改正，处一万元以上三万元以下的罚款。</w:t>
            </w:r>
          </w:p>
        </w:tc>
        <w:tc>
          <w:tcPr>
            <w:tcW w:w="459" w:type="dxa"/>
            <w:tcBorders>
              <w:tl2br w:val="nil"/>
              <w:tr2bl w:val="nil"/>
            </w:tcBorders>
            <w:shd w:val="clear" w:color="auto" w:fill="auto"/>
            <w:noWrap/>
            <w:tcMar>
              <w:top w:w="15" w:type="dxa"/>
              <w:left w:w="15" w:type="dxa"/>
              <w:right w:w="15" w:type="dxa"/>
            </w:tcMar>
            <w:vAlign w:val="center"/>
          </w:tcPr>
          <w:p w14:paraId="38529CD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736A430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96A36A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C25FF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2EA2DE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B07251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85A255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2F746C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CCF032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4962E2F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770431F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EDB54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B4092A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19A5E3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2F4D53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3582F6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FD24B1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40D92DA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1F89F4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573B1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00648F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14F4D7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A69948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4A79EC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37C388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2283489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安全总监未按规定履行安全生产管理工作职责的。</w:t>
            </w:r>
          </w:p>
        </w:tc>
        <w:tc>
          <w:tcPr>
            <w:tcW w:w="2655" w:type="dxa"/>
            <w:tcBorders>
              <w:tl2br w:val="nil"/>
              <w:tr2bl w:val="nil"/>
            </w:tcBorders>
            <w:shd w:val="clear" w:color="auto" w:fill="auto"/>
            <w:tcMar>
              <w:top w:w="15" w:type="dxa"/>
              <w:left w:w="15" w:type="dxa"/>
              <w:right w:w="15" w:type="dxa"/>
            </w:tcMar>
            <w:vAlign w:val="center"/>
          </w:tcPr>
          <w:p w14:paraId="7D16B2B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处1万元以上1.5万元以下的罚款。</w:t>
            </w:r>
          </w:p>
        </w:tc>
      </w:tr>
      <w:tr w14:paraId="11821D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9CA729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FFEE90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B564FD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BFA637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FFEA0A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67B71C4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安全总监未专项分管本单位安全生产管理工作的。</w:t>
            </w:r>
          </w:p>
        </w:tc>
        <w:tc>
          <w:tcPr>
            <w:tcW w:w="2655" w:type="dxa"/>
            <w:tcBorders>
              <w:tl2br w:val="nil"/>
              <w:tr2bl w:val="nil"/>
            </w:tcBorders>
            <w:shd w:val="clear" w:color="auto" w:fill="auto"/>
            <w:tcMar>
              <w:top w:w="15" w:type="dxa"/>
              <w:left w:w="15" w:type="dxa"/>
              <w:right w:w="15" w:type="dxa"/>
            </w:tcMar>
            <w:vAlign w:val="center"/>
          </w:tcPr>
          <w:p w14:paraId="482A701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w:t>
            </w:r>
            <w:r>
              <w:rPr>
                <w:rFonts w:ascii="仿宋_GB2312" w:hAnsi="宋体" w:eastAsia="仿宋_GB2312" w:cs="仿宋_GB2312"/>
                <w:kern w:val="0"/>
                <w:sz w:val="18"/>
                <w:szCs w:val="18"/>
                <w:lang w:val="is-IS" w:bidi="ar"/>
              </w:rPr>
              <w:t>1.5万元以上2.5万元以下</w:t>
            </w:r>
            <w:r>
              <w:rPr>
                <w:rFonts w:hint="eastAsia" w:ascii="仿宋_GB2312" w:hAnsi="宋体" w:eastAsia="仿宋_GB2312" w:cs="仿宋_GB2312"/>
                <w:kern w:val="0"/>
                <w:sz w:val="18"/>
                <w:szCs w:val="18"/>
                <w:lang w:bidi="ar"/>
              </w:rPr>
              <w:t>的罚款。</w:t>
            </w:r>
          </w:p>
        </w:tc>
      </w:tr>
      <w:tr w14:paraId="01C563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D4CADB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2EC171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C4A78D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DF3C6C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C3A5F2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181DB83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安全总监既未专项分管安全生产工作，也未按规定履行安全生产管理工作职责的。</w:t>
            </w:r>
          </w:p>
        </w:tc>
        <w:tc>
          <w:tcPr>
            <w:tcW w:w="2655" w:type="dxa"/>
            <w:tcBorders>
              <w:tl2br w:val="nil"/>
              <w:tr2bl w:val="nil"/>
            </w:tcBorders>
            <w:shd w:val="clear" w:color="auto" w:fill="auto"/>
            <w:tcMar>
              <w:top w:w="15" w:type="dxa"/>
              <w:left w:w="15" w:type="dxa"/>
              <w:right w:w="15" w:type="dxa"/>
            </w:tcMar>
            <w:vAlign w:val="center"/>
          </w:tcPr>
          <w:p w14:paraId="44FB924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处2</w:t>
            </w:r>
            <w:r>
              <w:rPr>
                <w:rFonts w:ascii="仿宋_GB2312" w:hAnsi="宋体" w:eastAsia="仿宋_GB2312" w:cs="仿宋_GB2312"/>
                <w:kern w:val="0"/>
                <w:sz w:val="18"/>
                <w:szCs w:val="18"/>
                <w:lang w:val="is-IS" w:bidi="ar"/>
              </w:rPr>
              <w:t>.5万元以上</w:t>
            </w:r>
            <w:r>
              <w:rPr>
                <w:rFonts w:hint="eastAsia" w:ascii="仿宋_GB2312" w:hAnsi="宋体" w:eastAsia="仿宋_GB2312" w:cs="仿宋_GB2312"/>
                <w:kern w:val="0"/>
                <w:sz w:val="18"/>
                <w:szCs w:val="18"/>
                <w:lang w:bidi="ar"/>
              </w:rPr>
              <w:t>3</w:t>
            </w:r>
            <w:r>
              <w:rPr>
                <w:rFonts w:ascii="仿宋_GB2312" w:hAnsi="宋体" w:eastAsia="仿宋_GB2312" w:cs="仿宋_GB2312"/>
                <w:kern w:val="0"/>
                <w:sz w:val="18"/>
                <w:szCs w:val="18"/>
                <w:lang w:val="is-IS" w:bidi="ar"/>
              </w:rPr>
              <w:t>万元以下</w:t>
            </w:r>
            <w:r>
              <w:rPr>
                <w:rFonts w:hint="eastAsia" w:ascii="仿宋_GB2312" w:hAnsi="宋体" w:eastAsia="仿宋_GB2312" w:cs="仿宋_GB2312"/>
                <w:kern w:val="0"/>
                <w:sz w:val="18"/>
                <w:szCs w:val="18"/>
                <w:lang w:bidi="ar"/>
              </w:rPr>
              <w:t>的罚款。</w:t>
            </w:r>
          </w:p>
        </w:tc>
      </w:tr>
      <w:tr w14:paraId="076BF1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56C1F4C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1</w:t>
            </w:r>
            <w:r>
              <w:rPr>
                <w:rFonts w:hint="eastAsia" w:ascii="仿宋_GB2312" w:hAnsi="宋体" w:eastAsia="仿宋_GB2312" w:cs="仿宋_GB2312"/>
                <w:kern w:val="0"/>
                <w:sz w:val="18"/>
                <w:szCs w:val="18"/>
                <w:lang w:val="en-US" w:eastAsia="zh-CN" w:bidi="ar"/>
              </w:rPr>
              <w:t>4</w:t>
            </w:r>
            <w:del w:id="2781" w:author="LV" w:date="2026-07-14T16:57:25Z">
              <w:r>
                <w:rPr>
                  <w:rFonts w:hint="default" w:ascii="仿宋_GB2312" w:hAnsi="宋体" w:eastAsia="仿宋_GB2312" w:cs="仿宋_GB2312"/>
                  <w:kern w:val="0"/>
                  <w:sz w:val="18"/>
                  <w:szCs w:val="18"/>
                  <w:lang w:val="en-US" w:eastAsia="zh-CN" w:bidi="ar"/>
                </w:rPr>
                <w:delText>0</w:delText>
              </w:r>
            </w:del>
            <w:ins w:id="2782" w:author="LV" w:date="2026-07-14T16:57:25Z">
              <w:r>
                <w:rPr>
                  <w:rFonts w:hint="eastAsia" w:ascii="仿宋_GB2312" w:hAnsi="宋体" w:eastAsia="仿宋_GB2312" w:cs="仿宋_GB2312"/>
                  <w:kern w:val="0"/>
                  <w:sz w:val="18"/>
                  <w:szCs w:val="18"/>
                  <w:lang w:val="en-US" w:eastAsia="zh-CN" w:bidi="ar"/>
                </w:rPr>
                <w:t>7</w:t>
              </w:r>
            </w:ins>
          </w:p>
        </w:tc>
        <w:tc>
          <w:tcPr>
            <w:tcW w:w="1005" w:type="dxa"/>
            <w:vMerge w:val="restart"/>
            <w:tcBorders>
              <w:tl2br w:val="nil"/>
              <w:tr2bl w:val="nil"/>
            </w:tcBorders>
            <w:shd w:val="clear" w:color="auto" w:fill="auto"/>
            <w:tcMar>
              <w:top w:w="15" w:type="dxa"/>
              <w:left w:w="15" w:type="dxa"/>
              <w:right w:w="15" w:type="dxa"/>
            </w:tcMar>
            <w:vAlign w:val="center"/>
          </w:tcPr>
          <w:p w14:paraId="1778AD3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生产经营单位未按照规定开展安全生产管理工作的</w:t>
            </w:r>
          </w:p>
        </w:tc>
        <w:tc>
          <w:tcPr>
            <w:tcW w:w="3667" w:type="dxa"/>
            <w:vMerge w:val="restart"/>
            <w:tcBorders>
              <w:tl2br w:val="nil"/>
              <w:tr2bl w:val="nil"/>
            </w:tcBorders>
            <w:shd w:val="clear" w:color="auto" w:fill="auto"/>
            <w:tcMar>
              <w:top w:w="15" w:type="dxa"/>
              <w:left w:w="15" w:type="dxa"/>
              <w:right w:w="15" w:type="dxa"/>
            </w:tcMar>
            <w:vAlign w:val="center"/>
          </w:tcPr>
          <w:p w14:paraId="16071C4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bidi="ar"/>
              </w:rPr>
              <w:t>《山东省安全生产条例》</w:t>
            </w:r>
          </w:p>
          <w:p w14:paraId="329990EB">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bidi="ar"/>
              </w:rPr>
              <w:t>第二十条</w:t>
            </w:r>
            <w:r>
              <w:rPr>
                <w:rFonts w:hint="eastAsia" w:ascii="仿宋_GB2312" w:hAnsi="宋体" w:eastAsia="仿宋_GB2312" w:cs="仿宋_GB2312"/>
                <w:color w:val="auto"/>
                <w:kern w:val="0"/>
                <w:sz w:val="18"/>
                <w:szCs w:val="18"/>
                <w:lang w:val="en-US" w:eastAsia="zh-CN" w:bidi="ar"/>
              </w:rPr>
              <w:t xml:space="preserve"> </w:t>
            </w:r>
            <w:r>
              <w:rPr>
                <w:rFonts w:hint="eastAsia" w:ascii="仿宋_GB2312" w:hAnsi="宋体" w:eastAsia="仿宋_GB2312" w:cs="仿宋_GB2312"/>
                <w:color w:val="auto"/>
                <w:kern w:val="0"/>
                <w:sz w:val="18"/>
                <w:szCs w:val="18"/>
                <w:lang w:bidi="ar"/>
              </w:rPr>
              <w:t>生产经营单位的安全生产管理机构和安全生产管理人员履行下列职责：（一）组织或者参与拟订本单位安全生产规章制度和操作规程；（二）对本单位涉及安全生产的经营决策提出改进建议，并督促其他机构、人员履行安全生产职责；</w:t>
            </w:r>
            <w:r>
              <w:rPr>
                <w:rFonts w:hint="eastAsia" w:ascii="仿宋_GB2312" w:hAnsi="宋体" w:eastAsia="仿宋_GB2312" w:cs="仿宋_GB2312"/>
                <w:color w:val="auto"/>
                <w:kern w:val="0"/>
                <w:sz w:val="18"/>
                <w:szCs w:val="18"/>
                <w:lang w:eastAsia="zh-CN" w:bidi="ar"/>
              </w:rPr>
              <w:t>（</w:t>
            </w:r>
            <w:r>
              <w:rPr>
                <w:rFonts w:hint="eastAsia" w:ascii="仿宋_GB2312" w:hAnsi="宋体" w:eastAsia="仿宋_GB2312" w:cs="仿宋_GB2312"/>
                <w:color w:val="auto"/>
                <w:kern w:val="0"/>
                <w:sz w:val="18"/>
                <w:szCs w:val="18"/>
                <w:lang w:val="en-US" w:eastAsia="zh-CN" w:bidi="ar"/>
              </w:rPr>
              <w:t>三）</w:t>
            </w:r>
            <w:r>
              <w:rPr>
                <w:rFonts w:hint="eastAsia" w:ascii="仿宋_GB2312" w:hAnsi="宋体" w:eastAsia="仿宋_GB2312" w:cs="仿宋_GB2312"/>
                <w:color w:val="auto"/>
                <w:kern w:val="0"/>
                <w:sz w:val="18"/>
                <w:szCs w:val="18"/>
                <w:lang w:bidi="ar"/>
              </w:rPr>
              <w:t>组织拟定本单位安全生产管理年度工作计划和目标，进行考核并提出奖惩意见；（四）组织或者参与本单位安全生产宣传教育和培训，如实记录安全生产教育培训情况；（五）监督安全生产资金投入和技术措施的落实；（六）监督劳动防护用品的采购、发放、使用和管理；（七）组织开展危险源辨识和评估，督促落实重大危险源的安全管理；（八）组织落实安全风险分级管控措施，检查本单位的安全生产状况，及时排查事故隐患，制止和纠正违章指挥、强令冒险作业、违反操作规程的行为，督促落实安全生产整改措施；（九）对承包、承租单位安全生产资质、条件进行审核，督促检查承包、承租单位履行安全生产职责；（十）组织或者参与本单位生产安全事故应急预案的制定、演练；（十一）法律法规规定的其他职责。</w:t>
            </w:r>
          </w:p>
          <w:p w14:paraId="031CEB54">
            <w:pPr>
              <w:keepNext w:val="0"/>
              <w:keepLines w:val="0"/>
              <w:pageBreakBefore w:val="0"/>
              <w:widowControl w:val="0"/>
              <w:numPr>
                <w:ilvl w:val="0"/>
                <w:numId w:val="0"/>
              </w:numPr>
              <w:kinsoku/>
              <w:wordWrap/>
              <w:overflowPunct w:val="0"/>
              <w:topLinePunct w:val="0"/>
              <w:autoSpaceDE/>
              <w:autoSpaceDN/>
              <w:bidi w:val="0"/>
              <w:adjustRightInd/>
              <w:snapToGrid/>
              <w:spacing w:line="220" w:lineRule="exact"/>
              <w:textAlignment w:val="center"/>
              <w:rPr>
                <w:rFonts w:hint="default" w:ascii="Arial" w:hAnsi="Arial" w:cs="Arial"/>
                <w:i w:val="0"/>
                <w:caps w:val="0"/>
                <w:color w:val="auto"/>
                <w:spacing w:val="0"/>
                <w:sz w:val="18"/>
                <w:szCs w:val="18"/>
              </w:rPr>
            </w:pPr>
            <w:r>
              <w:rPr>
                <w:rFonts w:hint="default" w:ascii="仿宋_GB2312" w:hAnsi="宋体" w:eastAsia="仿宋_GB2312" w:cs="仿宋_GB2312"/>
                <w:color w:val="auto"/>
                <w:kern w:val="0"/>
                <w:sz w:val="18"/>
                <w:szCs w:val="18"/>
                <w:lang w:bidi="ar"/>
              </w:rPr>
              <w:t>第二十一条</w:t>
            </w:r>
            <w:r>
              <w:rPr>
                <w:rFonts w:hint="eastAsia" w:ascii="仿宋_GB2312" w:hAnsi="宋体" w:eastAsia="仿宋_GB2312" w:cs="仿宋_GB2312"/>
                <w:color w:val="auto"/>
                <w:kern w:val="0"/>
                <w:sz w:val="18"/>
                <w:szCs w:val="18"/>
                <w:lang w:val="en-US" w:eastAsia="zh-CN" w:bidi="ar"/>
              </w:rPr>
              <w:t xml:space="preserve"> </w:t>
            </w:r>
            <w:r>
              <w:rPr>
                <w:rFonts w:hint="default" w:ascii="仿宋_GB2312" w:hAnsi="宋体" w:eastAsia="仿宋_GB2312" w:cs="仿宋_GB2312"/>
                <w:color w:val="auto"/>
                <w:kern w:val="0"/>
                <w:sz w:val="18"/>
                <w:szCs w:val="18"/>
                <w:lang w:bidi="ar"/>
              </w:rPr>
              <w:t>从业人员一百人以上的高危生产经营单位和从业人员三百人以上的其他生产经营单位，应当依法设置安全总监。鼓励、支持前款规定以外的生产经营单位，根据生产经营规模、安全风险等情况，设置安全总监。安全总监专项分管本单位安全生产管理工作。生产经营单位的安全生产管理机构和安全生产管理人员，在安全总监的领导下负责本单位的安全生产管理工作。</w:t>
            </w:r>
          </w:p>
          <w:p w14:paraId="24FDBE6C">
            <w:pPr>
              <w:keepNext w:val="0"/>
              <w:keepLines w:val="0"/>
              <w:pageBreakBefore w:val="0"/>
              <w:widowControl w:val="0"/>
              <w:numPr>
                <w:ilvl w:val="0"/>
                <w:numId w:val="0"/>
              </w:numPr>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p>
        </w:tc>
        <w:tc>
          <w:tcPr>
            <w:tcW w:w="4082" w:type="dxa"/>
            <w:vMerge w:val="restart"/>
            <w:tcBorders>
              <w:tl2br w:val="nil"/>
              <w:tr2bl w:val="nil"/>
            </w:tcBorders>
            <w:shd w:val="clear" w:color="auto" w:fill="auto"/>
            <w:tcMar>
              <w:top w:w="15" w:type="dxa"/>
              <w:left w:w="15" w:type="dxa"/>
              <w:right w:w="15" w:type="dxa"/>
            </w:tcMar>
            <w:vAlign w:val="center"/>
          </w:tcPr>
          <w:p w14:paraId="41C32E9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《山东省安全生产条例》第七十五条 违反本条例规定，生产经营单位有下列情形之一的，责令限期改正，处三万元以上十万元以下的罚款；逾期未改正的，责令停产停业整顿，并处十万元以上二十万元以下的罚款，对直接负责的主管人员和其他直接责任人员处二万元以上五万元以下的罚款：（一）未按照规定建立全员安全生产责任制的；（二）未按照规定设置安全总监的；（三）未按照规定建立安全生产委员会的；（四）未按照规定提取和使用安全生产费用的；（五）高危生产经营单位的主要负责人、分管安全生产的负责人或者安全总监、安全生产管理人员未按照规定经考核合格的；（六）未按照规定对从业人员在上岗前进行安全生产教育和培训的；（七）高危生产经营单位未按照规定执行单位负责人现场带班制度的；（八）未按照规定对常驻协作单位进行安全管理的。</w:t>
            </w:r>
          </w:p>
        </w:tc>
        <w:tc>
          <w:tcPr>
            <w:tcW w:w="459" w:type="dxa"/>
            <w:tcBorders>
              <w:tl2br w:val="nil"/>
              <w:tr2bl w:val="nil"/>
            </w:tcBorders>
            <w:shd w:val="clear" w:color="auto" w:fill="auto"/>
            <w:noWrap/>
            <w:tcMar>
              <w:top w:w="15" w:type="dxa"/>
              <w:left w:w="15" w:type="dxa"/>
              <w:right w:w="15" w:type="dxa"/>
            </w:tcMar>
            <w:vAlign w:val="center"/>
          </w:tcPr>
          <w:p w14:paraId="165F0EE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38BB2BC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775779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36F116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EE7F03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52BD3A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614E19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9AC7E7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AC3C54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5D56D8F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678710F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095A70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25C789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A0BBDB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4258F2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970059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586D81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622C71C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849D26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6DA586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6C4606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EAEAFC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54B7A9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654577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828155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024E0FB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1项违法行为的。</w:t>
            </w:r>
          </w:p>
        </w:tc>
        <w:tc>
          <w:tcPr>
            <w:tcW w:w="2655" w:type="dxa"/>
            <w:tcBorders>
              <w:tl2br w:val="nil"/>
              <w:tr2bl w:val="nil"/>
            </w:tcBorders>
            <w:shd w:val="clear" w:color="auto" w:fill="auto"/>
            <w:tcMar>
              <w:top w:w="15" w:type="dxa"/>
              <w:left w:w="15" w:type="dxa"/>
              <w:right w:w="15" w:type="dxa"/>
            </w:tcMar>
            <w:vAlign w:val="center"/>
          </w:tcPr>
          <w:p w14:paraId="754F450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处3万元以上5万元以下的罚款。</w:t>
            </w:r>
          </w:p>
        </w:tc>
      </w:tr>
      <w:tr w14:paraId="18E5EB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50E3D3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ED7F8D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9226F8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682006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4B033E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6425238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2-3项违法行为的。</w:t>
            </w:r>
          </w:p>
        </w:tc>
        <w:tc>
          <w:tcPr>
            <w:tcW w:w="2655" w:type="dxa"/>
            <w:tcBorders>
              <w:tl2br w:val="nil"/>
              <w:tr2bl w:val="nil"/>
            </w:tcBorders>
            <w:shd w:val="clear" w:color="auto" w:fill="auto"/>
            <w:tcMar>
              <w:top w:w="15" w:type="dxa"/>
              <w:left w:w="15" w:type="dxa"/>
              <w:right w:w="15" w:type="dxa"/>
            </w:tcMar>
            <w:vAlign w:val="center"/>
          </w:tcPr>
          <w:p w14:paraId="23EB79D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处5万元以上8万元以下的罚款。</w:t>
            </w:r>
          </w:p>
        </w:tc>
      </w:tr>
      <w:tr w14:paraId="1A7757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F4733D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8E37DD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6CFC76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03EC58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49D856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038396D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4-8项违法行为的。</w:t>
            </w:r>
          </w:p>
        </w:tc>
        <w:tc>
          <w:tcPr>
            <w:tcW w:w="2655" w:type="dxa"/>
            <w:tcBorders>
              <w:tl2br w:val="nil"/>
              <w:tr2bl w:val="nil"/>
            </w:tcBorders>
            <w:shd w:val="clear" w:color="auto" w:fill="auto"/>
            <w:tcMar>
              <w:top w:w="15" w:type="dxa"/>
              <w:left w:w="15" w:type="dxa"/>
              <w:right w:w="15" w:type="dxa"/>
            </w:tcMar>
            <w:vAlign w:val="center"/>
          </w:tcPr>
          <w:p w14:paraId="1C3D2EE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处8万元以上10万元以下的罚款。</w:t>
            </w:r>
          </w:p>
        </w:tc>
      </w:tr>
      <w:tr w14:paraId="26FA4D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00365C1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z w:val="18"/>
                <w:szCs w:val="18"/>
                <w:lang w:eastAsia="zh-CN"/>
              </w:rPr>
            </w:pPr>
            <w:r>
              <w:rPr>
                <w:rFonts w:hint="eastAsia" w:ascii="仿宋_GB2312" w:hAnsi="宋体" w:eastAsia="仿宋_GB2312" w:cs="仿宋_GB2312"/>
                <w:kern w:val="0"/>
                <w:sz w:val="18"/>
                <w:szCs w:val="18"/>
                <w:lang w:bidi="ar"/>
              </w:rPr>
              <w:t>14</w:t>
            </w:r>
            <w:del w:id="2783" w:author="LV" w:date="2026-07-14T16:57:35Z">
              <w:r>
                <w:rPr>
                  <w:rFonts w:hint="default" w:ascii="仿宋_GB2312" w:hAnsi="宋体" w:eastAsia="仿宋_GB2312" w:cs="仿宋_GB2312"/>
                  <w:kern w:val="0"/>
                  <w:sz w:val="18"/>
                  <w:szCs w:val="18"/>
                  <w:lang w:val="en-US" w:eastAsia="zh-CN" w:bidi="ar"/>
                </w:rPr>
                <w:delText>1</w:delText>
              </w:r>
            </w:del>
            <w:ins w:id="2784" w:author="LV" w:date="2026-07-14T16:57:35Z">
              <w:r>
                <w:rPr>
                  <w:rFonts w:hint="eastAsia" w:ascii="仿宋_GB2312" w:hAnsi="宋体" w:eastAsia="仿宋_GB2312" w:cs="仿宋_GB2312"/>
                  <w:kern w:val="0"/>
                  <w:sz w:val="18"/>
                  <w:szCs w:val="18"/>
                  <w:lang w:val="en-US" w:eastAsia="zh-CN" w:bidi="ar"/>
                </w:rPr>
                <w:t>8</w:t>
              </w:r>
            </w:ins>
          </w:p>
        </w:tc>
        <w:tc>
          <w:tcPr>
            <w:tcW w:w="1005" w:type="dxa"/>
            <w:vMerge w:val="restart"/>
            <w:tcBorders>
              <w:tl2br w:val="nil"/>
              <w:tr2bl w:val="nil"/>
            </w:tcBorders>
            <w:shd w:val="clear" w:color="auto" w:fill="auto"/>
            <w:tcMar>
              <w:top w:w="15" w:type="dxa"/>
              <w:left w:w="15" w:type="dxa"/>
              <w:right w:w="15" w:type="dxa"/>
            </w:tcMar>
            <w:vAlign w:val="center"/>
          </w:tcPr>
          <w:p w14:paraId="79C27B9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生产经营单位未按照规定开展安全生产管理工作，逾期未改正的</w:t>
            </w:r>
          </w:p>
        </w:tc>
        <w:tc>
          <w:tcPr>
            <w:tcW w:w="3667" w:type="dxa"/>
            <w:vMerge w:val="restart"/>
            <w:tcBorders>
              <w:tl2br w:val="nil"/>
              <w:tr2bl w:val="nil"/>
            </w:tcBorders>
            <w:shd w:val="clear" w:color="auto" w:fill="auto"/>
            <w:tcMar>
              <w:top w:w="15" w:type="dxa"/>
              <w:left w:w="15" w:type="dxa"/>
              <w:right w:w="15" w:type="dxa"/>
            </w:tcMar>
            <w:vAlign w:val="center"/>
          </w:tcPr>
          <w:p w14:paraId="2170EB32">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bidi="ar"/>
              </w:rPr>
              <w:t>《山东省安全生产条例》</w:t>
            </w:r>
          </w:p>
          <w:p w14:paraId="3821F5A8">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bidi="ar"/>
              </w:rPr>
              <w:t>第二十条</w:t>
            </w:r>
            <w:r>
              <w:rPr>
                <w:rFonts w:hint="eastAsia" w:ascii="仿宋_GB2312" w:hAnsi="宋体" w:eastAsia="仿宋_GB2312" w:cs="仿宋_GB2312"/>
                <w:color w:val="auto"/>
                <w:kern w:val="0"/>
                <w:sz w:val="18"/>
                <w:szCs w:val="18"/>
                <w:lang w:val="en-US" w:eastAsia="zh-CN" w:bidi="ar"/>
              </w:rPr>
              <w:t xml:space="preserve"> </w:t>
            </w:r>
            <w:r>
              <w:rPr>
                <w:rFonts w:hint="eastAsia" w:ascii="仿宋_GB2312" w:hAnsi="宋体" w:eastAsia="仿宋_GB2312" w:cs="仿宋_GB2312"/>
                <w:color w:val="auto"/>
                <w:kern w:val="0"/>
                <w:sz w:val="18"/>
                <w:szCs w:val="18"/>
                <w:lang w:bidi="ar"/>
              </w:rPr>
              <w:t>生产经营单位的安全生产管理机构和安全生产管理人员履行下列职责：（一）组织或者参与拟订本单位安全生产规章制度和操作规程；（二）对本单位涉及安全生产的经营决策提出改进建议，并督促其他机构、人员履行安全生产职责；</w:t>
            </w:r>
            <w:r>
              <w:rPr>
                <w:rFonts w:hint="eastAsia" w:ascii="仿宋_GB2312" w:hAnsi="宋体" w:eastAsia="仿宋_GB2312" w:cs="仿宋_GB2312"/>
                <w:color w:val="auto"/>
                <w:kern w:val="0"/>
                <w:sz w:val="18"/>
                <w:szCs w:val="18"/>
                <w:lang w:eastAsia="zh-CN" w:bidi="ar"/>
              </w:rPr>
              <w:t>（</w:t>
            </w:r>
            <w:r>
              <w:rPr>
                <w:rFonts w:hint="eastAsia" w:ascii="仿宋_GB2312" w:hAnsi="宋体" w:eastAsia="仿宋_GB2312" w:cs="仿宋_GB2312"/>
                <w:color w:val="auto"/>
                <w:kern w:val="0"/>
                <w:sz w:val="18"/>
                <w:szCs w:val="18"/>
                <w:lang w:val="en-US" w:eastAsia="zh-CN" w:bidi="ar"/>
              </w:rPr>
              <w:t>三）</w:t>
            </w:r>
            <w:r>
              <w:rPr>
                <w:rFonts w:hint="eastAsia" w:ascii="仿宋_GB2312" w:hAnsi="宋体" w:eastAsia="仿宋_GB2312" w:cs="仿宋_GB2312"/>
                <w:color w:val="auto"/>
                <w:kern w:val="0"/>
                <w:sz w:val="18"/>
                <w:szCs w:val="18"/>
                <w:lang w:bidi="ar"/>
              </w:rPr>
              <w:t>组织拟定本单位安全生产管理年度工作计划和目标，进行考核并提出奖惩意见；（四）组织或者参与本单位安全生产宣传教育和培训，如实记录安全生产教育培训情况；（五）监督安全生产资金投入和技术措施的落实；（六）监督劳动防护用品的采购、发放、使用和管理；（七）组织开展危险源辨识和评估，督促落实重大危险源的安全管理；（八）组织落实安全风险分级管控措施，检查本单位的安全生产状况，及时排查事故隐患，制止和纠正违章指挥、强令冒险作业、违反操作规程的行为，督促落实安全生产整改措施；（九）对承包、承租单位安全生产资质、条件进行审核，督促检查承包、承租单位履行安全生产职责；（十）组织或者参与本单位生产安全事故应急预案的制定、演练；（十一）法律法规规定的其他职责。</w:t>
            </w:r>
          </w:p>
          <w:p w14:paraId="2C491AE4">
            <w:pPr>
              <w:keepNext w:val="0"/>
              <w:keepLines w:val="0"/>
              <w:pageBreakBefore w:val="0"/>
              <w:widowControl w:val="0"/>
              <w:numPr>
                <w:ilvl w:val="0"/>
                <w:numId w:val="0"/>
              </w:numPr>
              <w:kinsoku/>
              <w:wordWrap/>
              <w:overflowPunct w:val="0"/>
              <w:topLinePunct w:val="0"/>
              <w:autoSpaceDE/>
              <w:autoSpaceDN/>
              <w:bidi w:val="0"/>
              <w:adjustRightInd/>
              <w:snapToGrid/>
              <w:spacing w:line="240" w:lineRule="exact"/>
              <w:textAlignment w:val="center"/>
              <w:rPr>
                <w:rFonts w:ascii="仿宋_GB2312" w:hAnsi="宋体" w:eastAsia="仿宋_GB2312" w:cs="仿宋_GB2312"/>
                <w:color w:val="auto"/>
                <w:sz w:val="18"/>
                <w:szCs w:val="18"/>
              </w:rPr>
            </w:pPr>
            <w:r>
              <w:rPr>
                <w:rFonts w:hint="default" w:ascii="仿宋_GB2312" w:hAnsi="宋体" w:eastAsia="仿宋_GB2312" w:cs="仿宋_GB2312"/>
                <w:color w:val="auto"/>
                <w:kern w:val="0"/>
                <w:sz w:val="18"/>
                <w:szCs w:val="18"/>
                <w:lang w:bidi="ar"/>
              </w:rPr>
              <w:t>第二十一条</w:t>
            </w:r>
            <w:r>
              <w:rPr>
                <w:rFonts w:hint="eastAsia" w:ascii="仿宋_GB2312" w:hAnsi="宋体" w:eastAsia="仿宋_GB2312" w:cs="仿宋_GB2312"/>
                <w:color w:val="auto"/>
                <w:kern w:val="0"/>
                <w:sz w:val="18"/>
                <w:szCs w:val="18"/>
                <w:lang w:val="en-US" w:eastAsia="zh-CN" w:bidi="ar"/>
              </w:rPr>
              <w:t xml:space="preserve"> </w:t>
            </w:r>
            <w:r>
              <w:rPr>
                <w:rFonts w:hint="default" w:ascii="仿宋_GB2312" w:hAnsi="宋体" w:eastAsia="仿宋_GB2312" w:cs="仿宋_GB2312"/>
                <w:color w:val="auto"/>
                <w:kern w:val="0"/>
                <w:sz w:val="18"/>
                <w:szCs w:val="18"/>
                <w:lang w:bidi="ar"/>
              </w:rPr>
              <w:t>从业人员一百人以上的高危生产经营单位和从业人员三百人以上的其他生产经营单位，应当依法设置安全总监。鼓励、支持前款规定以外的生产经营单位，根据生产经营规模、安全风险等情况，设置安全总监。安全总监专项分管本单位安全生产管理工作。生产经营单位的安全生产管理机构和安全生产管理人员，在安全总监的领导下负责本单位的安全生产管理工作。</w:t>
            </w:r>
          </w:p>
        </w:tc>
        <w:tc>
          <w:tcPr>
            <w:tcW w:w="4082" w:type="dxa"/>
            <w:vMerge w:val="restart"/>
            <w:tcBorders>
              <w:tl2br w:val="nil"/>
              <w:tr2bl w:val="nil"/>
            </w:tcBorders>
            <w:shd w:val="clear" w:color="auto" w:fill="auto"/>
            <w:tcMar>
              <w:top w:w="15" w:type="dxa"/>
              <w:left w:w="15" w:type="dxa"/>
              <w:right w:w="15" w:type="dxa"/>
            </w:tcMar>
            <w:vAlign w:val="center"/>
          </w:tcPr>
          <w:p w14:paraId="1C2CE7E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《山东省安全生产条例》第七十五条 违反本条例规定，生产经营单位有下列情形之一的，责令限期改正，处三万元以上十万元以下的罚款；逾期未改正的，责令停产停业整顿，并处十万元以上二十万元以下的罚款，对直接负责的主管人员和其他直接责任人员处二万元以上五万元以下的罚款：（一）未按照规定建立全员安全生产责任制的；（二）未按照规定设置安全总监的；（三）未按照规定建立安全生产委员会的；（四）未按照规定提取和使用安全生产费用的；（五）高危生产经营单位的主要负责人、分管安全生产的负责人或者安全总监、安全生产管理人员未按照规定经考核合格的；（六）未按照规定对从业人员在上岗前进行安全生产教育和培训的；（七）高危生产经营单位未按照规定执行单位负责人现场带班制度的；（八）未按照规定对常驻协作单位进行安全管理的。</w:t>
            </w:r>
          </w:p>
        </w:tc>
        <w:tc>
          <w:tcPr>
            <w:tcW w:w="459" w:type="dxa"/>
            <w:tcBorders>
              <w:tl2br w:val="nil"/>
              <w:tr2bl w:val="nil"/>
            </w:tcBorders>
            <w:shd w:val="clear" w:color="auto" w:fill="auto"/>
            <w:noWrap/>
            <w:tcMar>
              <w:top w:w="15" w:type="dxa"/>
              <w:left w:w="15" w:type="dxa"/>
              <w:right w:w="15" w:type="dxa"/>
            </w:tcMar>
            <w:vAlign w:val="center"/>
          </w:tcPr>
          <w:p w14:paraId="580E577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7E6AFCB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5B72B5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1980AE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D6DDBA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629A3F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2F4B99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CAC929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FAFBE7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689C808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4966BD9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16B7FC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0948DA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2CAD0F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CC4292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C30326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CDBA6B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1523E5B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66A762E">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6C8CC2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7B2059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CCC5F1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9CC67E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512F8A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B00773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3B8EC14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1项违法行为的，逾期未改正的。</w:t>
            </w:r>
          </w:p>
        </w:tc>
        <w:tc>
          <w:tcPr>
            <w:tcW w:w="2655" w:type="dxa"/>
            <w:tcBorders>
              <w:tl2br w:val="nil"/>
              <w:tr2bl w:val="nil"/>
            </w:tcBorders>
            <w:shd w:val="clear" w:color="auto" w:fill="auto"/>
            <w:tcMar>
              <w:top w:w="15" w:type="dxa"/>
              <w:left w:w="15" w:type="dxa"/>
              <w:right w:w="15" w:type="dxa"/>
            </w:tcMar>
            <w:vAlign w:val="center"/>
          </w:tcPr>
          <w:p w14:paraId="1236F8E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sz w:val="18"/>
                <w:szCs w:val="18"/>
                <w:lang w:eastAsia="zh-CN"/>
              </w:rPr>
            </w:pPr>
            <w:r>
              <w:rPr>
                <w:rFonts w:hint="eastAsia" w:ascii="仿宋_GB2312" w:hAnsi="宋体" w:eastAsia="仿宋_GB2312" w:cs="仿宋_GB2312"/>
                <w:color w:val="auto"/>
                <w:kern w:val="0"/>
                <w:sz w:val="18"/>
                <w:szCs w:val="18"/>
                <w:lang w:bidi="ar"/>
              </w:rPr>
              <w:t>责令停产停业整顿，处10万元以上13万元以下的罚款</w:t>
            </w:r>
            <w:r>
              <w:rPr>
                <w:rFonts w:hint="eastAsia" w:ascii="仿宋_GB2312" w:hAnsi="宋体" w:eastAsia="仿宋_GB2312" w:cs="仿宋_GB2312"/>
                <w:color w:val="auto"/>
                <w:kern w:val="0"/>
                <w:sz w:val="18"/>
                <w:szCs w:val="18"/>
                <w:lang w:eastAsia="zh-CN" w:bidi="ar"/>
              </w:rPr>
              <w:t>，</w:t>
            </w:r>
            <w:r>
              <w:rPr>
                <w:rFonts w:hint="eastAsia" w:ascii="仿宋_GB2312" w:hAnsi="宋体" w:eastAsia="仿宋_GB2312" w:cs="仿宋_GB2312"/>
                <w:color w:val="auto"/>
                <w:kern w:val="0"/>
                <w:sz w:val="18"/>
                <w:szCs w:val="18"/>
                <w:lang w:bidi="ar"/>
              </w:rPr>
              <w:t>对直接负责的主管人员和其他直接责任人员处</w:t>
            </w:r>
            <w:r>
              <w:rPr>
                <w:rFonts w:hint="eastAsia" w:ascii="仿宋_GB2312" w:hAnsi="宋体" w:eastAsia="仿宋_GB2312" w:cs="仿宋_GB2312"/>
                <w:color w:val="auto"/>
                <w:kern w:val="0"/>
                <w:sz w:val="18"/>
                <w:szCs w:val="18"/>
                <w:lang w:val="en-US" w:eastAsia="zh-CN" w:bidi="ar"/>
              </w:rPr>
              <w:t>2</w:t>
            </w:r>
            <w:r>
              <w:rPr>
                <w:rFonts w:hint="eastAsia" w:ascii="仿宋_GB2312" w:hAnsi="宋体" w:eastAsia="仿宋_GB2312" w:cs="仿宋_GB2312"/>
                <w:color w:val="auto"/>
                <w:kern w:val="0"/>
                <w:sz w:val="18"/>
                <w:szCs w:val="18"/>
                <w:lang w:bidi="ar"/>
              </w:rPr>
              <w:t>万元以上</w:t>
            </w:r>
            <w:r>
              <w:rPr>
                <w:rFonts w:hint="eastAsia" w:ascii="仿宋_GB2312" w:hAnsi="宋体" w:eastAsia="仿宋_GB2312" w:cs="仿宋_GB2312"/>
                <w:color w:val="auto"/>
                <w:kern w:val="0"/>
                <w:sz w:val="18"/>
                <w:szCs w:val="18"/>
                <w:lang w:val="en-US" w:eastAsia="zh-CN" w:bidi="ar"/>
              </w:rPr>
              <w:t>3</w:t>
            </w:r>
            <w:r>
              <w:rPr>
                <w:rFonts w:hint="eastAsia" w:ascii="仿宋_GB2312" w:hAnsi="宋体" w:eastAsia="仿宋_GB2312" w:cs="仿宋_GB2312"/>
                <w:color w:val="auto"/>
                <w:kern w:val="0"/>
                <w:sz w:val="18"/>
                <w:szCs w:val="18"/>
                <w:lang w:bidi="ar"/>
              </w:rPr>
              <w:t>万元以下的罚款</w:t>
            </w:r>
            <w:r>
              <w:rPr>
                <w:rFonts w:hint="eastAsia" w:ascii="仿宋_GB2312" w:hAnsi="宋体" w:eastAsia="仿宋_GB2312" w:cs="仿宋_GB2312"/>
                <w:color w:val="auto"/>
                <w:kern w:val="0"/>
                <w:sz w:val="18"/>
                <w:szCs w:val="18"/>
                <w:lang w:eastAsia="zh-CN" w:bidi="ar"/>
              </w:rPr>
              <w:t>。</w:t>
            </w:r>
          </w:p>
        </w:tc>
      </w:tr>
      <w:tr w14:paraId="207345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1ECA1A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F91E8B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EFF414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DD2910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977839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715A212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2-3项违法行为的，逾期未改正</w:t>
            </w:r>
            <w:r>
              <w:rPr>
                <w:rFonts w:hint="eastAsia" w:ascii="仿宋_GB2312" w:hAnsi="宋体" w:eastAsia="仿宋_GB2312" w:cs="仿宋_GB2312"/>
                <w:color w:val="auto"/>
                <w:kern w:val="0"/>
                <w:sz w:val="18"/>
                <w:szCs w:val="18"/>
                <w:lang w:val="en-US" w:eastAsia="zh-CN" w:bidi="ar"/>
              </w:rPr>
              <w:t>1项以上</w:t>
            </w:r>
            <w:r>
              <w:rPr>
                <w:rFonts w:hint="eastAsia" w:ascii="仿宋_GB2312" w:hAnsi="宋体" w:eastAsia="仿宋_GB2312" w:cs="仿宋_GB2312"/>
                <w:color w:val="auto"/>
                <w:kern w:val="0"/>
                <w:sz w:val="18"/>
                <w:szCs w:val="18"/>
                <w:lang w:bidi="ar"/>
              </w:rPr>
              <w:t>的。</w:t>
            </w:r>
          </w:p>
        </w:tc>
        <w:tc>
          <w:tcPr>
            <w:tcW w:w="2655" w:type="dxa"/>
            <w:tcBorders>
              <w:tl2br w:val="nil"/>
              <w:tr2bl w:val="nil"/>
            </w:tcBorders>
            <w:shd w:val="clear" w:color="auto" w:fill="auto"/>
            <w:tcMar>
              <w:top w:w="15" w:type="dxa"/>
              <w:left w:w="15" w:type="dxa"/>
              <w:right w:w="15" w:type="dxa"/>
            </w:tcMar>
            <w:vAlign w:val="center"/>
          </w:tcPr>
          <w:p w14:paraId="56DF23C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sz w:val="18"/>
                <w:szCs w:val="18"/>
                <w:lang w:eastAsia="zh-CN"/>
              </w:rPr>
            </w:pPr>
            <w:r>
              <w:rPr>
                <w:rFonts w:hint="eastAsia" w:ascii="仿宋_GB2312" w:hAnsi="宋体" w:eastAsia="仿宋_GB2312" w:cs="仿宋_GB2312"/>
                <w:color w:val="auto"/>
                <w:kern w:val="0"/>
                <w:sz w:val="18"/>
                <w:szCs w:val="18"/>
                <w:lang w:bidi="ar"/>
              </w:rPr>
              <w:t>责令停产停业整顿，处13万元以上17万元以下的罚款</w:t>
            </w:r>
            <w:r>
              <w:rPr>
                <w:rFonts w:hint="eastAsia" w:ascii="仿宋_GB2312" w:hAnsi="宋体" w:eastAsia="仿宋_GB2312" w:cs="仿宋_GB2312"/>
                <w:color w:val="auto"/>
                <w:kern w:val="0"/>
                <w:sz w:val="18"/>
                <w:szCs w:val="18"/>
                <w:lang w:eastAsia="zh-CN" w:bidi="ar"/>
              </w:rPr>
              <w:t>，</w:t>
            </w:r>
            <w:r>
              <w:rPr>
                <w:rFonts w:hint="eastAsia" w:ascii="仿宋_GB2312" w:hAnsi="宋体" w:eastAsia="仿宋_GB2312" w:cs="仿宋_GB2312"/>
                <w:color w:val="auto"/>
                <w:kern w:val="0"/>
                <w:sz w:val="18"/>
                <w:szCs w:val="18"/>
                <w:lang w:bidi="ar"/>
              </w:rPr>
              <w:t>对直接负责的主管人员和其他直接责任人员处</w:t>
            </w:r>
            <w:r>
              <w:rPr>
                <w:rFonts w:hint="eastAsia" w:ascii="仿宋_GB2312" w:hAnsi="宋体" w:eastAsia="仿宋_GB2312" w:cs="仿宋_GB2312"/>
                <w:color w:val="auto"/>
                <w:kern w:val="0"/>
                <w:sz w:val="18"/>
                <w:szCs w:val="18"/>
                <w:lang w:val="en-US" w:eastAsia="zh-CN" w:bidi="ar"/>
              </w:rPr>
              <w:t>3</w:t>
            </w:r>
            <w:r>
              <w:rPr>
                <w:rFonts w:hint="eastAsia" w:ascii="仿宋_GB2312" w:hAnsi="宋体" w:eastAsia="仿宋_GB2312" w:cs="仿宋_GB2312"/>
                <w:color w:val="auto"/>
                <w:kern w:val="0"/>
                <w:sz w:val="18"/>
                <w:szCs w:val="18"/>
                <w:lang w:bidi="ar"/>
              </w:rPr>
              <w:t>万元以上</w:t>
            </w:r>
            <w:r>
              <w:rPr>
                <w:rFonts w:hint="eastAsia" w:ascii="仿宋_GB2312" w:hAnsi="宋体" w:eastAsia="仿宋_GB2312" w:cs="仿宋_GB2312"/>
                <w:color w:val="auto"/>
                <w:kern w:val="0"/>
                <w:sz w:val="18"/>
                <w:szCs w:val="18"/>
                <w:lang w:val="en-US" w:eastAsia="zh-CN" w:bidi="ar"/>
              </w:rPr>
              <w:t>4</w:t>
            </w:r>
            <w:r>
              <w:rPr>
                <w:rFonts w:hint="eastAsia" w:ascii="仿宋_GB2312" w:hAnsi="宋体" w:eastAsia="仿宋_GB2312" w:cs="仿宋_GB2312"/>
                <w:color w:val="auto"/>
                <w:kern w:val="0"/>
                <w:sz w:val="18"/>
                <w:szCs w:val="18"/>
                <w:lang w:bidi="ar"/>
              </w:rPr>
              <w:t>万元以下的罚款</w:t>
            </w:r>
            <w:r>
              <w:rPr>
                <w:rFonts w:hint="eastAsia" w:ascii="仿宋_GB2312" w:hAnsi="宋体" w:eastAsia="仿宋_GB2312" w:cs="仿宋_GB2312"/>
                <w:color w:val="auto"/>
                <w:kern w:val="0"/>
                <w:sz w:val="18"/>
                <w:szCs w:val="18"/>
                <w:lang w:eastAsia="zh-CN" w:bidi="ar"/>
              </w:rPr>
              <w:t>。</w:t>
            </w:r>
          </w:p>
        </w:tc>
      </w:tr>
      <w:tr w14:paraId="115711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174D21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E40356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0E7CB5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EF5650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C67208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39F38F2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4-8项违法行为的，逾期未改正</w:t>
            </w:r>
            <w:r>
              <w:rPr>
                <w:rFonts w:hint="eastAsia" w:ascii="仿宋_GB2312" w:hAnsi="宋体" w:eastAsia="仿宋_GB2312" w:cs="仿宋_GB2312"/>
                <w:color w:val="auto"/>
                <w:kern w:val="0"/>
                <w:sz w:val="18"/>
                <w:szCs w:val="18"/>
                <w:lang w:val="en-US" w:eastAsia="zh-CN" w:bidi="ar"/>
              </w:rPr>
              <w:t>1项以上</w:t>
            </w:r>
            <w:r>
              <w:rPr>
                <w:rFonts w:hint="eastAsia" w:ascii="仿宋_GB2312" w:hAnsi="宋体" w:eastAsia="仿宋_GB2312" w:cs="仿宋_GB2312"/>
                <w:color w:val="auto"/>
                <w:kern w:val="0"/>
                <w:sz w:val="18"/>
                <w:szCs w:val="18"/>
                <w:lang w:bidi="ar"/>
              </w:rPr>
              <w:t>的。</w:t>
            </w:r>
          </w:p>
        </w:tc>
        <w:tc>
          <w:tcPr>
            <w:tcW w:w="2655" w:type="dxa"/>
            <w:tcBorders>
              <w:tl2br w:val="nil"/>
              <w:tr2bl w:val="nil"/>
            </w:tcBorders>
            <w:shd w:val="clear" w:color="auto" w:fill="auto"/>
            <w:tcMar>
              <w:top w:w="15" w:type="dxa"/>
              <w:left w:w="15" w:type="dxa"/>
              <w:right w:w="15" w:type="dxa"/>
            </w:tcMar>
            <w:vAlign w:val="center"/>
          </w:tcPr>
          <w:p w14:paraId="6930DD4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sz w:val="18"/>
                <w:szCs w:val="18"/>
                <w:lang w:eastAsia="zh-CN"/>
              </w:rPr>
            </w:pPr>
            <w:r>
              <w:rPr>
                <w:rFonts w:hint="eastAsia" w:ascii="仿宋_GB2312" w:hAnsi="宋体" w:eastAsia="仿宋_GB2312" w:cs="仿宋_GB2312"/>
                <w:color w:val="auto"/>
                <w:kern w:val="0"/>
                <w:sz w:val="18"/>
                <w:szCs w:val="18"/>
                <w:lang w:bidi="ar"/>
              </w:rPr>
              <w:t>责令停产停业整顿，处17万元以上20万元以下的罚款</w:t>
            </w:r>
            <w:r>
              <w:rPr>
                <w:rFonts w:hint="eastAsia" w:ascii="仿宋_GB2312" w:hAnsi="宋体" w:eastAsia="仿宋_GB2312" w:cs="仿宋_GB2312"/>
                <w:color w:val="auto"/>
                <w:kern w:val="0"/>
                <w:sz w:val="18"/>
                <w:szCs w:val="18"/>
                <w:lang w:eastAsia="zh-CN" w:bidi="ar"/>
              </w:rPr>
              <w:t>，</w:t>
            </w:r>
            <w:r>
              <w:rPr>
                <w:rFonts w:hint="eastAsia" w:ascii="仿宋_GB2312" w:hAnsi="宋体" w:eastAsia="仿宋_GB2312" w:cs="仿宋_GB2312"/>
                <w:color w:val="auto"/>
                <w:kern w:val="0"/>
                <w:sz w:val="18"/>
                <w:szCs w:val="18"/>
                <w:lang w:bidi="ar"/>
              </w:rPr>
              <w:t>对直接负责的主管人员和其他直接责任人员处</w:t>
            </w:r>
            <w:r>
              <w:rPr>
                <w:rFonts w:hint="eastAsia" w:ascii="仿宋_GB2312" w:hAnsi="宋体" w:eastAsia="仿宋_GB2312" w:cs="仿宋_GB2312"/>
                <w:color w:val="auto"/>
                <w:kern w:val="0"/>
                <w:sz w:val="18"/>
                <w:szCs w:val="18"/>
                <w:lang w:val="en-US" w:eastAsia="zh-CN" w:bidi="ar"/>
              </w:rPr>
              <w:t>4</w:t>
            </w:r>
            <w:r>
              <w:rPr>
                <w:rFonts w:hint="eastAsia" w:ascii="仿宋_GB2312" w:hAnsi="宋体" w:eastAsia="仿宋_GB2312" w:cs="仿宋_GB2312"/>
                <w:color w:val="auto"/>
                <w:kern w:val="0"/>
                <w:sz w:val="18"/>
                <w:szCs w:val="18"/>
                <w:lang w:bidi="ar"/>
              </w:rPr>
              <w:t>万元以上</w:t>
            </w:r>
            <w:r>
              <w:rPr>
                <w:rFonts w:hint="eastAsia" w:ascii="仿宋_GB2312" w:hAnsi="宋体" w:eastAsia="仿宋_GB2312" w:cs="仿宋_GB2312"/>
                <w:color w:val="auto"/>
                <w:kern w:val="0"/>
                <w:sz w:val="18"/>
                <w:szCs w:val="18"/>
                <w:lang w:val="en-US" w:eastAsia="zh-CN" w:bidi="ar"/>
              </w:rPr>
              <w:t>5</w:t>
            </w:r>
            <w:r>
              <w:rPr>
                <w:rFonts w:hint="eastAsia" w:ascii="仿宋_GB2312" w:hAnsi="宋体" w:eastAsia="仿宋_GB2312" w:cs="仿宋_GB2312"/>
                <w:color w:val="auto"/>
                <w:kern w:val="0"/>
                <w:sz w:val="18"/>
                <w:szCs w:val="18"/>
                <w:lang w:bidi="ar"/>
              </w:rPr>
              <w:t>万元以下的罚款</w:t>
            </w:r>
            <w:r>
              <w:rPr>
                <w:rFonts w:hint="eastAsia" w:ascii="仿宋_GB2312" w:hAnsi="宋体" w:eastAsia="仿宋_GB2312" w:cs="仿宋_GB2312"/>
                <w:color w:val="auto"/>
                <w:kern w:val="0"/>
                <w:sz w:val="18"/>
                <w:szCs w:val="18"/>
                <w:lang w:eastAsia="zh-CN" w:bidi="ar"/>
              </w:rPr>
              <w:t>。</w:t>
            </w:r>
          </w:p>
        </w:tc>
      </w:tr>
      <w:tr w14:paraId="2790C3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6293DAE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z w:val="18"/>
                <w:szCs w:val="18"/>
                <w:lang w:eastAsia="zh-CN"/>
              </w:rPr>
            </w:pPr>
            <w:r>
              <w:rPr>
                <w:rFonts w:hint="eastAsia" w:ascii="仿宋_GB2312" w:hAnsi="宋体" w:eastAsia="仿宋_GB2312" w:cs="仿宋_GB2312"/>
                <w:kern w:val="0"/>
                <w:sz w:val="18"/>
                <w:szCs w:val="18"/>
                <w:lang w:bidi="ar"/>
              </w:rPr>
              <w:t>14</w:t>
            </w:r>
            <w:del w:id="2785" w:author="LV" w:date="2026-07-14T16:57:41Z">
              <w:r>
                <w:rPr>
                  <w:rFonts w:hint="default" w:ascii="仿宋_GB2312" w:hAnsi="宋体" w:eastAsia="仿宋_GB2312" w:cs="仿宋_GB2312"/>
                  <w:kern w:val="0"/>
                  <w:sz w:val="18"/>
                  <w:szCs w:val="18"/>
                  <w:lang w:val="en-US" w:eastAsia="zh-CN" w:bidi="ar"/>
                </w:rPr>
                <w:delText>2</w:delText>
              </w:r>
            </w:del>
            <w:ins w:id="2786" w:author="LV" w:date="2026-07-14T16:57:41Z">
              <w:r>
                <w:rPr>
                  <w:rFonts w:hint="eastAsia" w:ascii="仿宋_GB2312" w:hAnsi="宋体" w:eastAsia="仿宋_GB2312" w:cs="仿宋_GB2312"/>
                  <w:kern w:val="0"/>
                  <w:sz w:val="18"/>
                  <w:szCs w:val="18"/>
                  <w:lang w:val="en-US" w:eastAsia="zh-CN" w:bidi="ar"/>
                </w:rPr>
                <w:t>9</w:t>
              </w:r>
            </w:ins>
          </w:p>
        </w:tc>
        <w:tc>
          <w:tcPr>
            <w:tcW w:w="1005" w:type="dxa"/>
            <w:vMerge w:val="restart"/>
            <w:tcBorders>
              <w:tl2br w:val="nil"/>
              <w:tr2bl w:val="nil"/>
            </w:tcBorders>
            <w:shd w:val="clear" w:color="auto" w:fill="auto"/>
            <w:tcMar>
              <w:top w:w="15" w:type="dxa"/>
              <w:left w:w="15" w:type="dxa"/>
              <w:right w:w="15" w:type="dxa"/>
            </w:tcMar>
            <w:vAlign w:val="center"/>
          </w:tcPr>
          <w:p w14:paraId="2419911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生产经营单位未依法保障从业人员生命安全的</w:t>
            </w:r>
          </w:p>
        </w:tc>
        <w:tc>
          <w:tcPr>
            <w:tcW w:w="3667" w:type="dxa"/>
            <w:vMerge w:val="restart"/>
            <w:tcBorders>
              <w:tl2br w:val="nil"/>
              <w:tr2bl w:val="nil"/>
            </w:tcBorders>
            <w:shd w:val="clear" w:color="auto" w:fill="auto"/>
            <w:tcMar>
              <w:top w:w="15" w:type="dxa"/>
              <w:left w:w="15" w:type="dxa"/>
              <w:right w:w="15" w:type="dxa"/>
            </w:tcMar>
            <w:vAlign w:val="center"/>
          </w:tcPr>
          <w:p w14:paraId="23FC52F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《山东省安全生产条例》第三十条第一款第三项 生产经营单位应当依法保障从业人员的生命安全，不得有下列行为：（三）违反操作规程、生产工艺、技术标准或者安全管理规定组织作业。</w:t>
            </w:r>
          </w:p>
        </w:tc>
        <w:tc>
          <w:tcPr>
            <w:tcW w:w="4082" w:type="dxa"/>
            <w:vMerge w:val="restart"/>
            <w:tcBorders>
              <w:tl2br w:val="nil"/>
              <w:tr2bl w:val="nil"/>
            </w:tcBorders>
            <w:shd w:val="clear" w:color="auto" w:fill="auto"/>
            <w:tcMar>
              <w:top w:w="15" w:type="dxa"/>
              <w:left w:w="15" w:type="dxa"/>
              <w:right w:w="15" w:type="dxa"/>
            </w:tcMar>
            <w:vAlign w:val="center"/>
          </w:tcPr>
          <w:p w14:paraId="1C2C04E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《山东省安全生产条例》第七十六条 生产经营单位违反本条例第三十条第一款规定的，责令限期改正，处三万元以上十万元以下的罚款；逾期未改正的，责令停产停业整顿，并处十万元以上二十万元以下的罚款，对直接负责的主管人员和其他直接责任人员处二万元以上五万元以下的罚款；构成犯罪的，依法追究刑事责任。</w:t>
            </w:r>
          </w:p>
        </w:tc>
        <w:tc>
          <w:tcPr>
            <w:tcW w:w="459" w:type="dxa"/>
            <w:tcBorders>
              <w:tl2br w:val="nil"/>
              <w:tr2bl w:val="nil"/>
            </w:tcBorders>
            <w:shd w:val="clear" w:color="auto" w:fill="auto"/>
            <w:noWrap/>
            <w:tcMar>
              <w:top w:w="15" w:type="dxa"/>
              <w:left w:w="15" w:type="dxa"/>
              <w:right w:w="15" w:type="dxa"/>
            </w:tcMar>
            <w:vAlign w:val="center"/>
          </w:tcPr>
          <w:p w14:paraId="693256C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400B7DF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23F803F">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55541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50BE54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F23303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83C0FA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8BE922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833D3F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006FCB8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20E1C11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E7FBA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C3FDBB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279988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D057A7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56A9CD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F50D28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4DE7195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B4E713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DCBE6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7AF2FE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26FA55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7DE705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CACFCF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606491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617DACF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1处违反操作规程、生产工艺、技术标准或者安全管理规定违法行为的。</w:t>
            </w:r>
          </w:p>
        </w:tc>
        <w:tc>
          <w:tcPr>
            <w:tcW w:w="2655" w:type="dxa"/>
            <w:tcBorders>
              <w:tl2br w:val="nil"/>
              <w:tr2bl w:val="nil"/>
            </w:tcBorders>
            <w:shd w:val="clear" w:color="auto" w:fill="auto"/>
            <w:tcMar>
              <w:top w:w="15" w:type="dxa"/>
              <w:left w:w="15" w:type="dxa"/>
              <w:right w:w="15" w:type="dxa"/>
            </w:tcMar>
            <w:vAlign w:val="center"/>
          </w:tcPr>
          <w:p w14:paraId="64667B6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处3万元以上5万元以下的罚款。</w:t>
            </w:r>
          </w:p>
        </w:tc>
      </w:tr>
      <w:tr w14:paraId="6B8A65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05974F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A815D9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DDE3EE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2F1949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13D769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13C1960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2处违反操作规程、生产工艺、技术标准或者安全管理规定违法行为的。</w:t>
            </w:r>
          </w:p>
        </w:tc>
        <w:tc>
          <w:tcPr>
            <w:tcW w:w="2655" w:type="dxa"/>
            <w:tcBorders>
              <w:tl2br w:val="nil"/>
              <w:tr2bl w:val="nil"/>
            </w:tcBorders>
            <w:shd w:val="clear" w:color="auto" w:fill="auto"/>
            <w:tcMar>
              <w:top w:w="15" w:type="dxa"/>
              <w:left w:w="15" w:type="dxa"/>
              <w:right w:w="15" w:type="dxa"/>
            </w:tcMar>
            <w:vAlign w:val="center"/>
          </w:tcPr>
          <w:p w14:paraId="7EC37B6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处5万元以上8万元以下的罚款。</w:t>
            </w:r>
          </w:p>
        </w:tc>
      </w:tr>
      <w:tr w14:paraId="0AA9F9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162205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7BCDAC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FD1755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BD5763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FD1E23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6C20E2B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3处及以上违反操作规程、生产工艺、技术标准或者安全管理规定违法行为的。</w:t>
            </w:r>
          </w:p>
        </w:tc>
        <w:tc>
          <w:tcPr>
            <w:tcW w:w="2655" w:type="dxa"/>
            <w:tcBorders>
              <w:tl2br w:val="nil"/>
              <w:tr2bl w:val="nil"/>
            </w:tcBorders>
            <w:shd w:val="clear" w:color="auto" w:fill="auto"/>
            <w:tcMar>
              <w:top w:w="15" w:type="dxa"/>
              <w:left w:w="15" w:type="dxa"/>
              <w:right w:w="15" w:type="dxa"/>
            </w:tcMar>
            <w:vAlign w:val="center"/>
          </w:tcPr>
          <w:p w14:paraId="2AD1D47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处8万元以上10万元以下的罚款。</w:t>
            </w:r>
          </w:p>
        </w:tc>
      </w:tr>
      <w:tr w14:paraId="66A67B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27ED4E9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1</w:t>
            </w:r>
            <w:del w:id="2787" w:author="LV" w:date="2026-07-14T16:57:45Z">
              <w:r>
                <w:rPr>
                  <w:rFonts w:hint="default" w:ascii="仿宋_GB2312" w:hAnsi="宋体" w:eastAsia="仿宋_GB2312" w:cs="仿宋_GB2312"/>
                  <w:kern w:val="0"/>
                  <w:sz w:val="18"/>
                  <w:szCs w:val="18"/>
                  <w:lang w:val="en-US" w:bidi="ar"/>
                </w:rPr>
                <w:delText>4</w:delText>
              </w:r>
            </w:del>
            <w:del w:id="2788" w:author="LV" w:date="2026-07-14T16:57:45Z">
              <w:r>
                <w:rPr>
                  <w:rFonts w:hint="default" w:ascii="仿宋_GB2312" w:hAnsi="宋体" w:eastAsia="仿宋_GB2312" w:cs="仿宋_GB2312"/>
                  <w:kern w:val="0"/>
                  <w:sz w:val="18"/>
                  <w:szCs w:val="18"/>
                  <w:lang w:val="en-US" w:eastAsia="zh-CN" w:bidi="ar"/>
                </w:rPr>
                <w:delText>3</w:delText>
              </w:r>
            </w:del>
            <w:ins w:id="2789" w:author="LV" w:date="2026-07-14T16:57:45Z">
              <w:r>
                <w:rPr>
                  <w:rFonts w:hint="eastAsia" w:ascii="仿宋_GB2312" w:hAnsi="宋体" w:eastAsia="仿宋_GB2312" w:cs="仿宋_GB2312"/>
                  <w:kern w:val="0"/>
                  <w:sz w:val="18"/>
                  <w:szCs w:val="18"/>
                  <w:lang w:val="en-US" w:eastAsia="zh-CN" w:bidi="ar"/>
                </w:rPr>
                <w:t>50</w:t>
              </w:r>
            </w:ins>
          </w:p>
        </w:tc>
        <w:tc>
          <w:tcPr>
            <w:tcW w:w="1005" w:type="dxa"/>
            <w:vMerge w:val="restart"/>
            <w:tcBorders>
              <w:tl2br w:val="nil"/>
              <w:tr2bl w:val="nil"/>
            </w:tcBorders>
            <w:shd w:val="clear" w:color="auto" w:fill="auto"/>
            <w:tcMar>
              <w:top w:w="15" w:type="dxa"/>
              <w:left w:w="15" w:type="dxa"/>
              <w:right w:w="15" w:type="dxa"/>
            </w:tcMar>
            <w:vAlign w:val="center"/>
          </w:tcPr>
          <w:p w14:paraId="6F2F2E4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生产经营单位未依法保障从业人员生命安全，逾期未改正的</w:t>
            </w:r>
          </w:p>
        </w:tc>
        <w:tc>
          <w:tcPr>
            <w:tcW w:w="3667" w:type="dxa"/>
            <w:vMerge w:val="restart"/>
            <w:tcBorders>
              <w:tl2br w:val="nil"/>
              <w:tr2bl w:val="nil"/>
            </w:tcBorders>
            <w:shd w:val="clear" w:color="auto" w:fill="auto"/>
            <w:tcMar>
              <w:top w:w="15" w:type="dxa"/>
              <w:left w:w="15" w:type="dxa"/>
              <w:right w:w="15" w:type="dxa"/>
            </w:tcMar>
            <w:vAlign w:val="center"/>
          </w:tcPr>
          <w:p w14:paraId="696AA02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《山东省安全生产条例》第三十条第一款第三项</w:t>
            </w:r>
            <w:r>
              <w:rPr>
                <w:rFonts w:ascii="仿宋_GB2312" w:hAnsi="宋体" w:eastAsia="仿宋_GB2312" w:cs="仿宋_GB2312"/>
                <w:kern w:val="0"/>
                <w:sz w:val="18"/>
                <w:szCs w:val="18"/>
                <w:lang w:bidi="ar"/>
              </w:rPr>
              <w:t xml:space="preserve"> </w:t>
            </w:r>
            <w:r>
              <w:rPr>
                <w:rFonts w:hint="eastAsia" w:ascii="仿宋_GB2312" w:hAnsi="宋体" w:eastAsia="仿宋_GB2312" w:cs="仿宋_GB2312"/>
                <w:kern w:val="0"/>
                <w:sz w:val="18"/>
                <w:szCs w:val="18"/>
                <w:lang w:bidi="ar"/>
              </w:rPr>
              <w:t>生产经营单位应当依法保障从业人员的生命安全，不得有下列行为：（三）违反操作规程、生产工艺、技术标准或者安全管理规定组织作业。</w:t>
            </w:r>
          </w:p>
        </w:tc>
        <w:tc>
          <w:tcPr>
            <w:tcW w:w="4082" w:type="dxa"/>
            <w:vMerge w:val="restart"/>
            <w:tcBorders>
              <w:tl2br w:val="nil"/>
              <w:tr2bl w:val="nil"/>
            </w:tcBorders>
            <w:shd w:val="clear" w:color="auto" w:fill="auto"/>
            <w:tcMar>
              <w:top w:w="15" w:type="dxa"/>
              <w:left w:w="15" w:type="dxa"/>
              <w:right w:w="15" w:type="dxa"/>
            </w:tcMar>
            <w:vAlign w:val="center"/>
          </w:tcPr>
          <w:p w14:paraId="3CA8BE7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《山东省安全生产条例》第七十六条 生产经营单位违反本条例第三十条第一款规定的，责令限期改正，处三万元以上十万元以下的罚款；逾期未改正的，责令停产停业整顿，并处十万元以上二十万元以下的罚款，对直接负责的主管人员和其他直接责任人员处二万元以上五万元以下的罚款；构成犯罪的，依法追究刑事责任。</w:t>
            </w:r>
          </w:p>
        </w:tc>
        <w:tc>
          <w:tcPr>
            <w:tcW w:w="459" w:type="dxa"/>
            <w:tcBorders>
              <w:tl2br w:val="nil"/>
              <w:tr2bl w:val="nil"/>
            </w:tcBorders>
            <w:shd w:val="clear" w:color="auto" w:fill="auto"/>
            <w:noWrap/>
            <w:tcMar>
              <w:top w:w="15" w:type="dxa"/>
              <w:left w:w="15" w:type="dxa"/>
              <w:right w:w="15" w:type="dxa"/>
            </w:tcMar>
            <w:vAlign w:val="center"/>
          </w:tcPr>
          <w:p w14:paraId="6AE86FA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62532F2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7BD86CD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376CA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30CA5F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4F7C20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ACA424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8844C3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41C885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18B5F8F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24CFA98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4C155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54A8E0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1D5296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549FA8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37365A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EABBD7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4A869D3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737D196">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3F97B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4031FA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2163A9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6164C5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6034E8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1124AD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278B895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1处违反操作规程、生产工艺、技术标准或者安全管理规定违法行为的，逾期未改正的。</w:t>
            </w:r>
          </w:p>
        </w:tc>
        <w:tc>
          <w:tcPr>
            <w:tcW w:w="2655" w:type="dxa"/>
            <w:tcBorders>
              <w:tl2br w:val="nil"/>
              <w:tr2bl w:val="nil"/>
            </w:tcBorders>
            <w:shd w:val="clear" w:color="auto" w:fill="auto"/>
            <w:tcMar>
              <w:top w:w="15" w:type="dxa"/>
              <w:left w:w="15" w:type="dxa"/>
              <w:right w:w="15" w:type="dxa"/>
            </w:tcMar>
            <w:vAlign w:val="center"/>
          </w:tcPr>
          <w:p w14:paraId="35F69F8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pacing w:val="-6"/>
                <w:sz w:val="18"/>
                <w:szCs w:val="18"/>
              </w:rPr>
            </w:pPr>
            <w:r>
              <w:rPr>
                <w:rFonts w:hint="eastAsia" w:ascii="仿宋_GB2312" w:hAnsi="宋体" w:eastAsia="仿宋_GB2312" w:cs="仿宋_GB2312"/>
                <w:spacing w:val="-6"/>
                <w:kern w:val="0"/>
                <w:sz w:val="18"/>
                <w:szCs w:val="18"/>
                <w:lang w:bidi="ar"/>
              </w:rPr>
              <w:t>责令停产停业整顿，并处10万元以上13万元以下的罚款，对直接负责的主管人员和其他直接责任人员处2万元以上3万元以下的罚款。</w:t>
            </w:r>
          </w:p>
        </w:tc>
      </w:tr>
      <w:tr w14:paraId="20CADD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C99F84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623AA4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E4450A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C0BB7D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B354EE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27927E6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2处违反操作规程、生产工艺、技术标准或者安全管理规定违法行为的，逾期未改正</w:t>
            </w:r>
            <w:r>
              <w:rPr>
                <w:rFonts w:hint="eastAsia" w:ascii="仿宋_GB2312" w:hAnsi="宋体" w:eastAsia="仿宋_GB2312" w:cs="仿宋_GB2312"/>
                <w:kern w:val="0"/>
                <w:sz w:val="18"/>
                <w:szCs w:val="18"/>
                <w:lang w:val="en-US" w:eastAsia="zh-CN" w:bidi="ar"/>
              </w:rPr>
              <w:t>1处以上</w:t>
            </w:r>
            <w:r>
              <w:rPr>
                <w:rFonts w:hint="eastAsia" w:ascii="仿宋_GB2312" w:hAnsi="宋体" w:eastAsia="仿宋_GB2312" w:cs="仿宋_GB2312"/>
                <w:kern w:val="0"/>
                <w:sz w:val="18"/>
                <w:szCs w:val="18"/>
                <w:lang w:bidi="ar"/>
              </w:rPr>
              <w:t>的。</w:t>
            </w:r>
          </w:p>
        </w:tc>
        <w:tc>
          <w:tcPr>
            <w:tcW w:w="2655" w:type="dxa"/>
            <w:tcBorders>
              <w:tl2br w:val="nil"/>
              <w:tr2bl w:val="nil"/>
            </w:tcBorders>
            <w:shd w:val="clear" w:color="auto" w:fill="auto"/>
            <w:tcMar>
              <w:top w:w="15" w:type="dxa"/>
              <w:left w:w="15" w:type="dxa"/>
              <w:right w:w="15" w:type="dxa"/>
            </w:tcMar>
            <w:vAlign w:val="center"/>
          </w:tcPr>
          <w:p w14:paraId="76E2558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pacing w:val="-6"/>
                <w:sz w:val="18"/>
                <w:szCs w:val="18"/>
              </w:rPr>
            </w:pPr>
            <w:r>
              <w:rPr>
                <w:rFonts w:hint="eastAsia" w:ascii="仿宋_GB2312" w:hAnsi="宋体" w:eastAsia="仿宋_GB2312" w:cs="仿宋_GB2312"/>
                <w:spacing w:val="-6"/>
                <w:kern w:val="0"/>
                <w:sz w:val="18"/>
                <w:szCs w:val="18"/>
                <w:lang w:bidi="ar"/>
              </w:rPr>
              <w:t>责令停产停业整顿，并处13万元以上17万元以下的罚款，对直接负责的主管人员和其他直接责任人员处3万元以上4万元以下的罚款。</w:t>
            </w:r>
          </w:p>
        </w:tc>
      </w:tr>
      <w:tr w14:paraId="489004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0D65E9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24E571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C3E1DF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CBA512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04059F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7AED439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3处及以上违反操作规程、生产工艺、技术标准或者安全管理规定违法行为的，逾期未改正</w:t>
            </w:r>
            <w:r>
              <w:rPr>
                <w:rFonts w:hint="eastAsia" w:ascii="仿宋_GB2312" w:hAnsi="宋体" w:eastAsia="仿宋_GB2312" w:cs="仿宋_GB2312"/>
                <w:kern w:val="0"/>
                <w:sz w:val="18"/>
                <w:szCs w:val="18"/>
                <w:lang w:val="en-US" w:eastAsia="zh-CN" w:bidi="ar"/>
              </w:rPr>
              <w:t>1处以上</w:t>
            </w:r>
            <w:r>
              <w:rPr>
                <w:rFonts w:hint="eastAsia" w:ascii="仿宋_GB2312" w:hAnsi="宋体" w:eastAsia="仿宋_GB2312" w:cs="仿宋_GB2312"/>
                <w:kern w:val="0"/>
                <w:sz w:val="18"/>
                <w:szCs w:val="18"/>
                <w:lang w:bidi="ar"/>
              </w:rPr>
              <w:t>的。</w:t>
            </w:r>
          </w:p>
        </w:tc>
        <w:tc>
          <w:tcPr>
            <w:tcW w:w="2655" w:type="dxa"/>
            <w:tcBorders>
              <w:tl2br w:val="nil"/>
              <w:tr2bl w:val="nil"/>
            </w:tcBorders>
            <w:shd w:val="clear" w:color="auto" w:fill="auto"/>
            <w:tcMar>
              <w:top w:w="15" w:type="dxa"/>
              <w:left w:w="15" w:type="dxa"/>
              <w:right w:w="15" w:type="dxa"/>
            </w:tcMar>
            <w:vAlign w:val="center"/>
          </w:tcPr>
          <w:p w14:paraId="47775EF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责令停产停业整顿，并处17万元以上20万元以下的罚款，对直接负责的主管人员和其他直接责任人员处</w:t>
            </w:r>
            <w:r>
              <w:rPr>
                <w:rFonts w:hint="eastAsia" w:ascii="仿宋_GB2312" w:hAnsi="宋体" w:eastAsia="仿宋_GB2312" w:cs="仿宋_GB2312"/>
                <w:spacing w:val="-6"/>
                <w:kern w:val="0"/>
                <w:sz w:val="18"/>
                <w:szCs w:val="18"/>
                <w:lang w:bidi="ar"/>
              </w:rPr>
              <w:t>4万元以上5万元以下</w:t>
            </w:r>
            <w:r>
              <w:rPr>
                <w:rFonts w:hint="eastAsia" w:ascii="仿宋_GB2312" w:hAnsi="宋体" w:eastAsia="仿宋_GB2312" w:cs="仿宋_GB2312"/>
                <w:kern w:val="0"/>
                <w:sz w:val="18"/>
                <w:szCs w:val="18"/>
                <w:lang w:bidi="ar"/>
              </w:rPr>
              <w:t>的罚款。</w:t>
            </w:r>
          </w:p>
        </w:tc>
      </w:tr>
      <w:tr w14:paraId="71882D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1E13C15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1</w:t>
            </w:r>
            <w:del w:id="2790" w:author="LV" w:date="2026-07-14T16:57:50Z">
              <w:r>
                <w:rPr>
                  <w:rFonts w:hint="default" w:ascii="仿宋_GB2312" w:hAnsi="宋体" w:eastAsia="仿宋_GB2312" w:cs="仿宋_GB2312"/>
                  <w:kern w:val="0"/>
                  <w:sz w:val="18"/>
                  <w:szCs w:val="18"/>
                  <w:lang w:val="en-US" w:bidi="ar"/>
                </w:rPr>
                <w:delText>4</w:delText>
              </w:r>
            </w:del>
            <w:del w:id="2791" w:author="LV" w:date="2026-07-14T16:57:50Z">
              <w:r>
                <w:rPr>
                  <w:rFonts w:hint="default" w:ascii="仿宋_GB2312" w:hAnsi="宋体" w:eastAsia="仿宋_GB2312" w:cs="仿宋_GB2312"/>
                  <w:kern w:val="0"/>
                  <w:sz w:val="18"/>
                  <w:szCs w:val="18"/>
                  <w:lang w:val="en-US" w:eastAsia="zh-CN" w:bidi="ar"/>
                </w:rPr>
                <w:delText>4</w:delText>
              </w:r>
            </w:del>
            <w:ins w:id="2792" w:author="LV" w:date="2026-07-14T16:57:50Z">
              <w:r>
                <w:rPr>
                  <w:rFonts w:hint="eastAsia" w:ascii="仿宋_GB2312" w:hAnsi="宋体" w:eastAsia="仿宋_GB2312" w:cs="仿宋_GB2312"/>
                  <w:kern w:val="0"/>
                  <w:sz w:val="18"/>
                  <w:szCs w:val="18"/>
                  <w:lang w:val="en-US" w:eastAsia="zh-CN" w:bidi="ar"/>
                </w:rPr>
                <w:t>5</w:t>
              </w:r>
            </w:ins>
            <w:ins w:id="2793" w:author="LV" w:date="2026-07-14T16:57:51Z">
              <w:r>
                <w:rPr>
                  <w:rFonts w:hint="eastAsia" w:ascii="仿宋_GB2312" w:hAnsi="宋体" w:eastAsia="仿宋_GB2312" w:cs="仿宋_GB2312"/>
                  <w:kern w:val="0"/>
                  <w:sz w:val="18"/>
                  <w:szCs w:val="18"/>
                  <w:lang w:val="en-US" w:eastAsia="zh-CN" w:bidi="ar"/>
                </w:rPr>
                <w:t>1</w:t>
              </w:r>
            </w:ins>
          </w:p>
        </w:tc>
        <w:tc>
          <w:tcPr>
            <w:tcW w:w="1005" w:type="dxa"/>
            <w:vMerge w:val="restart"/>
            <w:tcBorders>
              <w:tl2br w:val="nil"/>
              <w:tr2bl w:val="nil"/>
            </w:tcBorders>
            <w:shd w:val="clear" w:color="auto" w:fill="auto"/>
            <w:tcMar>
              <w:top w:w="15" w:type="dxa"/>
              <w:left w:w="15" w:type="dxa"/>
              <w:right w:w="15" w:type="dxa"/>
            </w:tcMar>
            <w:vAlign w:val="center"/>
          </w:tcPr>
          <w:p w14:paraId="2F66C00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生产经营单位未按照《山东省安全生产条例》规定进行危险作业的</w:t>
            </w:r>
          </w:p>
        </w:tc>
        <w:tc>
          <w:tcPr>
            <w:tcW w:w="3667" w:type="dxa"/>
            <w:vMerge w:val="restart"/>
            <w:tcBorders>
              <w:tl2br w:val="nil"/>
              <w:tr2bl w:val="nil"/>
            </w:tcBorders>
            <w:shd w:val="clear" w:color="auto" w:fill="auto"/>
            <w:tcMar>
              <w:top w:w="15" w:type="dxa"/>
              <w:left w:w="15" w:type="dxa"/>
              <w:right w:w="15" w:type="dxa"/>
            </w:tcMar>
            <w:vAlign w:val="center"/>
          </w:tcPr>
          <w:p w14:paraId="2717697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《山东省安全生产条例》第三十五条第一款 生产经营单位进行爆破、吊装、悬挂、挖掘、动火、临时用电、危险装置设备试生产、有限空间、有毒有害、建筑物和构筑物拆除，以及临近油气管道、高压输电线路等危险作业，应当遵守下列规定：（一）对作业现场进行安全风险辨识；（二）制定作业方案和安全防范措施；（三）按照规定开具危险作业票证，并对危险作业票证进行现场查验；（四）确认作业人员的上岗资格、身体状况以及配备的劳动防护用品符合安全作业要求；（五）进行安全技术交底，向作业人员说明危险因素、作业安全要求和应急措施；（六）确定专人进行现场作业的统一指挥；（七）指定安全生产管理人员进行现场安全检查和监督，确认安全防范措施落实情况；（八）按照规定配备安全防护设备、应急救援装备，设置安全警示标志。</w:t>
            </w:r>
          </w:p>
        </w:tc>
        <w:tc>
          <w:tcPr>
            <w:tcW w:w="4082" w:type="dxa"/>
            <w:vMerge w:val="restart"/>
            <w:tcBorders>
              <w:tl2br w:val="nil"/>
              <w:tr2bl w:val="nil"/>
            </w:tcBorders>
            <w:shd w:val="clear" w:color="auto" w:fill="auto"/>
            <w:tcMar>
              <w:top w:w="15" w:type="dxa"/>
              <w:left w:w="15" w:type="dxa"/>
              <w:right w:w="15" w:type="dxa"/>
            </w:tcMar>
            <w:vAlign w:val="center"/>
          </w:tcPr>
          <w:p w14:paraId="3E1B769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《山东省安全生产条例》第七十七条 生产经营单位进行危险作业，违反本条例第三十五条第一款规定的，责令限期改正，处三万元以上十万元以下的罚款；逾期未改正的，责令停产停业整顿，并处十万元以上二十万元以下的罚款，对直接负责的主管人员和其他直接责任人员处二万元以上五万元以下的罚款；构成犯罪的，依法追究刑事责任。</w:t>
            </w:r>
          </w:p>
        </w:tc>
        <w:tc>
          <w:tcPr>
            <w:tcW w:w="459" w:type="dxa"/>
            <w:tcBorders>
              <w:tl2br w:val="nil"/>
              <w:tr2bl w:val="nil"/>
            </w:tcBorders>
            <w:shd w:val="clear" w:color="auto" w:fill="auto"/>
            <w:noWrap/>
            <w:tcMar>
              <w:top w:w="15" w:type="dxa"/>
              <w:left w:w="15" w:type="dxa"/>
              <w:right w:w="15" w:type="dxa"/>
            </w:tcMar>
            <w:vAlign w:val="center"/>
          </w:tcPr>
          <w:p w14:paraId="715C336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2A06524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E6C2C34">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06AC2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7A425F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DF03A7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4FD645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ACE892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C58335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21D21F7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2F4C9A3E">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1C99D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210A77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6004DD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D846FA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0B1957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CE2B5F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02E0A30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14C25EE6">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A9104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4B0443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4C6609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BAFB6A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F85281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971559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0FB231B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1处（次）违反《山东省安全生产条例》第三十五条第一款的规定进行危险作业或未遵守3项以下危险作业规定的。</w:t>
            </w:r>
          </w:p>
        </w:tc>
        <w:tc>
          <w:tcPr>
            <w:tcW w:w="2655" w:type="dxa"/>
            <w:tcBorders>
              <w:tl2br w:val="nil"/>
              <w:tr2bl w:val="nil"/>
            </w:tcBorders>
            <w:shd w:val="clear" w:color="auto" w:fill="auto"/>
            <w:tcMar>
              <w:top w:w="15" w:type="dxa"/>
              <w:left w:w="15" w:type="dxa"/>
              <w:right w:w="15" w:type="dxa"/>
            </w:tcMar>
            <w:vAlign w:val="center"/>
          </w:tcPr>
          <w:p w14:paraId="220E2E9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处3万元以上5万元以下的罚款。</w:t>
            </w:r>
          </w:p>
        </w:tc>
      </w:tr>
      <w:tr w14:paraId="658979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DBC9D9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D56AC3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519FE6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BE4BB2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656371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3D647E0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2处（次）违反《山东省安全生产条例》第三十五条第一款的规定进行危险作业或未遵守3项以上6项以下危险作业规定的。</w:t>
            </w:r>
          </w:p>
        </w:tc>
        <w:tc>
          <w:tcPr>
            <w:tcW w:w="2655" w:type="dxa"/>
            <w:tcBorders>
              <w:tl2br w:val="nil"/>
              <w:tr2bl w:val="nil"/>
            </w:tcBorders>
            <w:shd w:val="clear" w:color="auto" w:fill="auto"/>
            <w:tcMar>
              <w:top w:w="15" w:type="dxa"/>
              <w:left w:w="15" w:type="dxa"/>
              <w:right w:w="15" w:type="dxa"/>
            </w:tcMar>
            <w:vAlign w:val="center"/>
          </w:tcPr>
          <w:p w14:paraId="5194CD1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处5万元以上8万元以下的罚款。</w:t>
            </w:r>
          </w:p>
        </w:tc>
      </w:tr>
      <w:tr w14:paraId="362B72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3139A9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100CCB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156961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582BCF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3B46A4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310659F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3处（次）以上违反《山东省安全生产条例》第三十五条第一款的规定进行危险作业或未遵守6项以上危险作业规定的。</w:t>
            </w:r>
          </w:p>
        </w:tc>
        <w:tc>
          <w:tcPr>
            <w:tcW w:w="2655" w:type="dxa"/>
            <w:tcBorders>
              <w:tl2br w:val="nil"/>
              <w:tr2bl w:val="nil"/>
            </w:tcBorders>
            <w:shd w:val="clear" w:color="auto" w:fill="auto"/>
            <w:tcMar>
              <w:top w:w="15" w:type="dxa"/>
              <w:left w:w="15" w:type="dxa"/>
              <w:right w:w="15" w:type="dxa"/>
            </w:tcMar>
            <w:vAlign w:val="center"/>
          </w:tcPr>
          <w:p w14:paraId="648928B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处8万元以上10万元以下的罚款。</w:t>
            </w:r>
          </w:p>
        </w:tc>
      </w:tr>
      <w:tr w14:paraId="1AF047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6B9E3FF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1</w:t>
            </w:r>
            <w:del w:id="2794" w:author="LV" w:date="2026-07-14T16:58:00Z">
              <w:r>
                <w:rPr>
                  <w:rFonts w:hint="default" w:ascii="仿宋_GB2312" w:hAnsi="宋体" w:eastAsia="仿宋_GB2312" w:cs="仿宋_GB2312"/>
                  <w:kern w:val="0"/>
                  <w:sz w:val="18"/>
                  <w:szCs w:val="18"/>
                  <w:lang w:val="en-US" w:bidi="ar"/>
                </w:rPr>
                <w:delText>4</w:delText>
              </w:r>
            </w:del>
            <w:del w:id="2795" w:author="LV" w:date="2026-07-14T16:58:00Z">
              <w:r>
                <w:rPr>
                  <w:rFonts w:hint="default" w:ascii="仿宋_GB2312" w:hAnsi="宋体" w:eastAsia="仿宋_GB2312" w:cs="仿宋_GB2312"/>
                  <w:kern w:val="0"/>
                  <w:sz w:val="18"/>
                  <w:szCs w:val="18"/>
                  <w:lang w:val="en-US" w:eastAsia="zh-CN" w:bidi="ar"/>
                </w:rPr>
                <w:delText>5</w:delText>
              </w:r>
            </w:del>
            <w:ins w:id="2796" w:author="LV" w:date="2026-07-14T16:58:00Z">
              <w:r>
                <w:rPr>
                  <w:rFonts w:hint="eastAsia" w:ascii="仿宋_GB2312" w:hAnsi="宋体" w:eastAsia="仿宋_GB2312" w:cs="仿宋_GB2312"/>
                  <w:kern w:val="0"/>
                  <w:sz w:val="18"/>
                  <w:szCs w:val="18"/>
                  <w:lang w:val="en-US" w:eastAsia="zh-CN" w:bidi="ar"/>
                </w:rPr>
                <w:t>5</w:t>
              </w:r>
            </w:ins>
            <w:ins w:id="2797" w:author="LV" w:date="2026-07-14T16:58:01Z">
              <w:r>
                <w:rPr>
                  <w:rFonts w:hint="eastAsia" w:ascii="仿宋_GB2312" w:hAnsi="宋体" w:eastAsia="仿宋_GB2312" w:cs="仿宋_GB2312"/>
                  <w:kern w:val="0"/>
                  <w:sz w:val="18"/>
                  <w:szCs w:val="18"/>
                  <w:lang w:val="en-US" w:eastAsia="zh-CN" w:bidi="ar"/>
                </w:rPr>
                <w:t>2</w:t>
              </w:r>
            </w:ins>
          </w:p>
        </w:tc>
        <w:tc>
          <w:tcPr>
            <w:tcW w:w="1005" w:type="dxa"/>
            <w:vMerge w:val="restart"/>
            <w:tcBorders>
              <w:tl2br w:val="nil"/>
              <w:tr2bl w:val="nil"/>
            </w:tcBorders>
            <w:shd w:val="clear" w:color="auto" w:fill="auto"/>
            <w:tcMar>
              <w:top w:w="15" w:type="dxa"/>
              <w:left w:w="15" w:type="dxa"/>
              <w:right w:w="15" w:type="dxa"/>
            </w:tcMar>
            <w:vAlign w:val="center"/>
          </w:tcPr>
          <w:p w14:paraId="7CE7EE5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生产经营单位未按照《山东省安全生产条例》规定进行危险作业，逾期未改正的</w:t>
            </w:r>
          </w:p>
        </w:tc>
        <w:tc>
          <w:tcPr>
            <w:tcW w:w="3667" w:type="dxa"/>
            <w:vMerge w:val="restart"/>
            <w:tcBorders>
              <w:tl2br w:val="nil"/>
              <w:tr2bl w:val="nil"/>
            </w:tcBorders>
            <w:shd w:val="clear" w:color="auto" w:fill="auto"/>
            <w:tcMar>
              <w:top w:w="15" w:type="dxa"/>
              <w:left w:w="15" w:type="dxa"/>
              <w:right w:w="15" w:type="dxa"/>
            </w:tcMar>
            <w:vAlign w:val="center"/>
          </w:tcPr>
          <w:p w14:paraId="0DC254F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《山东省安全生产条例》第三十五条第一款 生产经营单位进行爆破、吊装、悬挂、挖掘、动火、临时用电、危险装置设备试生产、有限空间、有毒有害、建筑物和构筑物拆除，以及临近油气管道、高压输电线路等危险作业，应当遵守下列规定：（一）对作业现场进行安全风险辨识；（二）制定作业方案和安全防范措施；（三）按照规定开具危险作业票证，并对危险作业票证进行现场查验；（四）确认作业人员的上岗资格、身体状况以及配备的劳动防护用品符合安全作业要求；（五）进行安全技术交底，向作业人员说明危险因素、作业安全要求和应急措施；（六）确定专人进行现场作业的统一指挥；（七）指定安全生产管理人员进行现场安全检查和监督，确认安全防范措施落实情况；（八）按照规定配备安全防护设备、应急救援装备，设置安全警示标志。</w:t>
            </w:r>
          </w:p>
        </w:tc>
        <w:tc>
          <w:tcPr>
            <w:tcW w:w="4082" w:type="dxa"/>
            <w:vMerge w:val="restart"/>
            <w:tcBorders>
              <w:tl2br w:val="nil"/>
              <w:tr2bl w:val="nil"/>
            </w:tcBorders>
            <w:shd w:val="clear" w:color="auto" w:fill="auto"/>
            <w:tcMar>
              <w:top w:w="15" w:type="dxa"/>
              <w:left w:w="15" w:type="dxa"/>
              <w:right w:w="15" w:type="dxa"/>
            </w:tcMar>
            <w:vAlign w:val="center"/>
          </w:tcPr>
          <w:p w14:paraId="2D8A0E0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《山东省安全生产条例》第七十七条 生产经营单位进行危险作业，违反本条例第三十五条第一款规定的，责令限期改正，处三万元以上十万元以下的罚款；逾期未改正的，责令停产停业整顿，并处十万元以上二十万元以下的罚款，对直接负责的主管人员和其他直接责任人员处二万元以上五万元以下的罚款；构成犯罪的，依法追究刑事责任。</w:t>
            </w:r>
          </w:p>
        </w:tc>
        <w:tc>
          <w:tcPr>
            <w:tcW w:w="459" w:type="dxa"/>
            <w:tcBorders>
              <w:tl2br w:val="nil"/>
              <w:tr2bl w:val="nil"/>
            </w:tcBorders>
            <w:shd w:val="clear" w:color="auto" w:fill="auto"/>
            <w:noWrap/>
            <w:tcMar>
              <w:top w:w="15" w:type="dxa"/>
              <w:left w:w="15" w:type="dxa"/>
              <w:right w:w="15" w:type="dxa"/>
            </w:tcMar>
            <w:vAlign w:val="center"/>
          </w:tcPr>
          <w:p w14:paraId="7D56BB1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4900CA0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5115E5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D5C81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105B45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412993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A84AC6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2EB07F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694AB9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4066F0F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5B0B13B4">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7A7C0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5B6F10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E5A99F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4A2786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6B0A22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81944C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580A2F3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8658854">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A3671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4303F7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C1235F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2758D8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457C5C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CF48B8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60BD8802">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pacing w:val="-6"/>
                <w:sz w:val="18"/>
                <w:szCs w:val="18"/>
              </w:rPr>
            </w:pPr>
            <w:r>
              <w:rPr>
                <w:rFonts w:hint="eastAsia" w:ascii="仿宋_GB2312" w:hAnsi="宋体" w:eastAsia="仿宋_GB2312" w:cs="仿宋_GB2312"/>
                <w:spacing w:val="-6"/>
                <w:kern w:val="0"/>
                <w:sz w:val="18"/>
                <w:szCs w:val="18"/>
                <w:lang w:bidi="ar"/>
              </w:rPr>
              <w:t>1处（次）违反《山东省安全生产条例》第三十五条第一款的规定进行危险作业，逾期未改正的；或未遵守3项以下危险作业规定的，逾期未改正1项以上的。</w:t>
            </w:r>
          </w:p>
        </w:tc>
        <w:tc>
          <w:tcPr>
            <w:tcW w:w="2655" w:type="dxa"/>
            <w:tcBorders>
              <w:tl2br w:val="nil"/>
              <w:tr2bl w:val="nil"/>
            </w:tcBorders>
            <w:shd w:val="clear" w:color="auto" w:fill="auto"/>
            <w:tcMar>
              <w:top w:w="15" w:type="dxa"/>
              <w:left w:w="15" w:type="dxa"/>
              <w:right w:w="15" w:type="dxa"/>
            </w:tcMar>
            <w:vAlign w:val="center"/>
          </w:tcPr>
          <w:p w14:paraId="73EF3D2C">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责令停产停业整顿，并处10万元以上13万元以下的罚款，对直接负责的主管人员和其他直接责任人员处2万元以上3万元以下的罚款。</w:t>
            </w:r>
          </w:p>
        </w:tc>
      </w:tr>
      <w:tr w14:paraId="528E63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4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E93DAF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ADF430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B66319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48E663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7A8FE2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3E605130">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pacing w:val="-6"/>
                <w:sz w:val="18"/>
                <w:szCs w:val="18"/>
              </w:rPr>
            </w:pPr>
            <w:r>
              <w:rPr>
                <w:rFonts w:hint="eastAsia" w:ascii="仿宋_GB2312" w:hAnsi="宋体" w:eastAsia="仿宋_GB2312" w:cs="仿宋_GB2312"/>
                <w:spacing w:val="-6"/>
                <w:kern w:val="0"/>
                <w:sz w:val="18"/>
                <w:szCs w:val="18"/>
                <w:lang w:bidi="ar"/>
              </w:rPr>
              <w:t>2处（次）违反《山东省安全生产条例》第三十五条第一款的规定进行危险作业，逾期未改正1处（次）以上的；或未遵守3项以上6项以下危险作业规定的，逾期未改正的，逾期未改正1项以上的。</w:t>
            </w:r>
          </w:p>
        </w:tc>
        <w:tc>
          <w:tcPr>
            <w:tcW w:w="2655" w:type="dxa"/>
            <w:tcBorders>
              <w:tl2br w:val="nil"/>
              <w:tr2bl w:val="nil"/>
            </w:tcBorders>
            <w:shd w:val="clear" w:color="auto" w:fill="auto"/>
            <w:tcMar>
              <w:top w:w="15" w:type="dxa"/>
              <w:left w:w="15" w:type="dxa"/>
              <w:right w:w="15" w:type="dxa"/>
            </w:tcMar>
            <w:vAlign w:val="center"/>
          </w:tcPr>
          <w:p w14:paraId="34855054">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责令停产停业整顿，并处13万元以上17万元以下的罚款，对直接负责的主管人员和其他直接责任人员处3万元以上4万元以下的罚款。</w:t>
            </w:r>
          </w:p>
        </w:tc>
      </w:tr>
      <w:tr w14:paraId="332DEE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5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1D301B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4BF36F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3BCEE3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ABC3F0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47E8C8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73D52405">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3处（次）以上违反《山东省安全生产条例》第三十五条第一款的规定进行危险作业，逾期未改正1处（次）以上的；或未遵守6项以上危险作业规定的，逾期未改正1项以上的。</w:t>
            </w:r>
          </w:p>
        </w:tc>
        <w:tc>
          <w:tcPr>
            <w:tcW w:w="2655" w:type="dxa"/>
            <w:tcBorders>
              <w:tl2br w:val="nil"/>
              <w:tr2bl w:val="nil"/>
            </w:tcBorders>
            <w:shd w:val="clear" w:color="auto" w:fill="auto"/>
            <w:tcMar>
              <w:top w:w="15" w:type="dxa"/>
              <w:left w:w="15" w:type="dxa"/>
              <w:right w:w="15" w:type="dxa"/>
            </w:tcMar>
            <w:vAlign w:val="center"/>
          </w:tcPr>
          <w:p w14:paraId="2D3BF5BC">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责令停产停业整顿，并处17万元以上20万元以下的罚款，对直接负责的主管人员和其他直接责任人员处4万元以上5万元以下的罚款。</w:t>
            </w:r>
          </w:p>
        </w:tc>
      </w:tr>
      <w:tr w14:paraId="03A52C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3665E56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highlight w:val="none"/>
                <w:lang w:val="en-US" w:eastAsia="zh-CN"/>
              </w:rPr>
            </w:pPr>
            <w:r>
              <w:rPr>
                <w:rFonts w:hint="eastAsia" w:ascii="仿宋_GB2312" w:hAnsi="宋体" w:eastAsia="仿宋_GB2312" w:cs="仿宋_GB2312"/>
                <w:kern w:val="0"/>
                <w:sz w:val="18"/>
                <w:szCs w:val="18"/>
                <w:highlight w:val="none"/>
                <w:lang w:bidi="ar"/>
              </w:rPr>
              <w:t>1</w:t>
            </w:r>
            <w:del w:id="2798" w:author="LV" w:date="2026-07-14T16:58:07Z">
              <w:r>
                <w:rPr>
                  <w:rFonts w:hint="default" w:ascii="仿宋_GB2312" w:hAnsi="宋体" w:eastAsia="仿宋_GB2312" w:cs="仿宋_GB2312"/>
                  <w:kern w:val="0"/>
                  <w:sz w:val="18"/>
                  <w:szCs w:val="18"/>
                  <w:highlight w:val="none"/>
                  <w:lang w:val="en-US" w:bidi="ar"/>
                </w:rPr>
                <w:delText>4</w:delText>
              </w:r>
            </w:del>
            <w:del w:id="2799" w:author="LV" w:date="2026-07-14T16:58:07Z">
              <w:r>
                <w:rPr>
                  <w:rFonts w:hint="default" w:ascii="仿宋_GB2312" w:hAnsi="宋体" w:eastAsia="仿宋_GB2312" w:cs="仿宋_GB2312"/>
                  <w:kern w:val="0"/>
                  <w:sz w:val="18"/>
                  <w:szCs w:val="18"/>
                  <w:highlight w:val="none"/>
                  <w:lang w:val="en-US" w:eastAsia="zh-CN" w:bidi="ar"/>
                </w:rPr>
                <w:delText>6</w:delText>
              </w:r>
            </w:del>
            <w:ins w:id="2800" w:author="LV" w:date="2026-07-14T16:58:07Z">
              <w:r>
                <w:rPr>
                  <w:rFonts w:hint="eastAsia" w:ascii="仿宋_GB2312" w:hAnsi="宋体" w:eastAsia="仿宋_GB2312" w:cs="仿宋_GB2312"/>
                  <w:kern w:val="0"/>
                  <w:sz w:val="18"/>
                  <w:szCs w:val="18"/>
                  <w:highlight w:val="none"/>
                  <w:lang w:val="en-US" w:eastAsia="zh-CN" w:bidi="ar"/>
                </w:rPr>
                <w:t>53</w:t>
              </w:r>
            </w:ins>
          </w:p>
        </w:tc>
        <w:tc>
          <w:tcPr>
            <w:tcW w:w="1005" w:type="dxa"/>
            <w:vMerge w:val="restart"/>
            <w:tcBorders>
              <w:tl2br w:val="nil"/>
              <w:tr2bl w:val="nil"/>
            </w:tcBorders>
            <w:shd w:val="clear" w:color="auto" w:fill="auto"/>
            <w:tcMar>
              <w:top w:w="15" w:type="dxa"/>
              <w:left w:w="15" w:type="dxa"/>
              <w:right w:w="15" w:type="dxa"/>
            </w:tcMar>
            <w:vAlign w:val="center"/>
          </w:tcPr>
          <w:p w14:paraId="2A69024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highlight w:val="none"/>
                <w:lang w:val="en-US" w:eastAsia="zh-CN"/>
              </w:rPr>
            </w:pPr>
            <w:r>
              <w:rPr>
                <w:rFonts w:hint="eastAsia" w:ascii="仿宋_GB2312" w:hAnsi="宋体" w:eastAsia="仿宋_GB2312" w:cs="仿宋_GB2312"/>
                <w:kern w:val="0"/>
                <w:sz w:val="18"/>
                <w:szCs w:val="18"/>
                <w:highlight w:val="none"/>
                <w:lang w:bidi="ar"/>
              </w:rPr>
              <w:t>煤矿安全培训机构未开展安全培训并考试合格即颁发有关培训合格证明</w:t>
            </w:r>
            <w:r>
              <w:rPr>
                <w:rFonts w:hint="eastAsia" w:ascii="仿宋_GB2312" w:hAnsi="宋体" w:eastAsia="仿宋_GB2312" w:cs="仿宋_GB2312"/>
                <w:kern w:val="0"/>
                <w:sz w:val="18"/>
                <w:szCs w:val="18"/>
                <w:highlight w:val="none"/>
                <w:lang w:val="en-US" w:eastAsia="zh-CN" w:bidi="ar"/>
              </w:rPr>
              <w:t>的</w:t>
            </w:r>
          </w:p>
        </w:tc>
        <w:tc>
          <w:tcPr>
            <w:tcW w:w="3667" w:type="dxa"/>
            <w:vMerge w:val="restart"/>
            <w:tcBorders>
              <w:tl2br w:val="nil"/>
              <w:tr2bl w:val="nil"/>
            </w:tcBorders>
            <w:shd w:val="clear" w:color="auto" w:fill="auto"/>
            <w:tcMar>
              <w:top w:w="15" w:type="dxa"/>
              <w:left w:w="15" w:type="dxa"/>
              <w:right w:w="15" w:type="dxa"/>
            </w:tcMar>
            <w:vAlign w:val="center"/>
          </w:tcPr>
          <w:p w14:paraId="2128047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《煤矿安全培训规定》第三十五条第三款 煤矿企业或者具备安全培训条件的机构对其他从业人员安全培训合格后，应当颁发安全培训合格证明；未经培训并取得培训合格证明的，不得上岗作业。</w:t>
            </w:r>
          </w:p>
        </w:tc>
        <w:tc>
          <w:tcPr>
            <w:tcW w:w="4082" w:type="dxa"/>
            <w:vMerge w:val="restart"/>
            <w:tcBorders>
              <w:tl2br w:val="nil"/>
              <w:tr2bl w:val="nil"/>
            </w:tcBorders>
            <w:shd w:val="clear" w:color="auto" w:fill="auto"/>
            <w:tcMar>
              <w:top w:w="15" w:type="dxa"/>
              <w:left w:w="15" w:type="dxa"/>
              <w:right w:w="15" w:type="dxa"/>
            </w:tcMar>
            <w:vAlign w:val="center"/>
          </w:tcPr>
          <w:p w14:paraId="33812E4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《煤矿安全培训规定》第四十八条 煤矿安全培训主管部门或者煤矿安全监察机构发现煤矿企业有下列行为之一的，责令其限期改正，可以处一万元以上三万元以下的罚款：具备安全培训条件的机构未按照规定的培训大纲进行安全培训，或者未经安全培训并考试合格颁发有关培训合格证明的，依照前款规定给予行政处罚。</w:t>
            </w:r>
          </w:p>
        </w:tc>
        <w:tc>
          <w:tcPr>
            <w:tcW w:w="459" w:type="dxa"/>
            <w:tcBorders>
              <w:tl2br w:val="nil"/>
              <w:tr2bl w:val="nil"/>
            </w:tcBorders>
            <w:shd w:val="clear" w:color="auto" w:fill="auto"/>
            <w:noWrap/>
            <w:tcMar>
              <w:top w:w="15" w:type="dxa"/>
              <w:left w:w="15" w:type="dxa"/>
              <w:right w:w="15" w:type="dxa"/>
            </w:tcMar>
            <w:vAlign w:val="center"/>
          </w:tcPr>
          <w:p w14:paraId="5D96305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06D387E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C58D984">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72ABA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7C776C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33C7DF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45A97D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BD6A7A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89EB07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0A36D99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75CB0EA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63DA6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E2A0AC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4FFF5B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354B1C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9A4461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F0C0ED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3D3D3DF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D167B3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BF85B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5F8212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84C172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92EA85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FEFADE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DB2DD5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37E2F8A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未开展安全培训并考试合格即颁发有关培训合格证明的，涉及的人数3人次以下的。</w:t>
            </w:r>
          </w:p>
        </w:tc>
        <w:tc>
          <w:tcPr>
            <w:tcW w:w="2655" w:type="dxa"/>
            <w:tcBorders>
              <w:tl2br w:val="nil"/>
              <w:tr2bl w:val="nil"/>
            </w:tcBorders>
            <w:shd w:val="clear" w:color="auto" w:fill="auto"/>
            <w:tcMar>
              <w:top w:w="15" w:type="dxa"/>
              <w:left w:w="15" w:type="dxa"/>
              <w:right w:w="15" w:type="dxa"/>
            </w:tcMar>
            <w:vAlign w:val="center"/>
          </w:tcPr>
          <w:p w14:paraId="4F3DDFD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可以处1万元以上1.5万元以下的罚款。</w:t>
            </w:r>
          </w:p>
        </w:tc>
      </w:tr>
      <w:tr w14:paraId="3B716C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12764E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CEFFA4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90767B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079759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04EDD5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70C8DFA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未开展安全培训并考试合格即颁发有关培训合格证明的，涉及的人数3人次以上5人次以下的。</w:t>
            </w:r>
          </w:p>
        </w:tc>
        <w:tc>
          <w:tcPr>
            <w:tcW w:w="2655" w:type="dxa"/>
            <w:tcBorders>
              <w:tl2br w:val="nil"/>
              <w:tr2bl w:val="nil"/>
            </w:tcBorders>
            <w:shd w:val="clear" w:color="auto" w:fill="auto"/>
            <w:tcMar>
              <w:top w:w="15" w:type="dxa"/>
              <w:left w:w="15" w:type="dxa"/>
              <w:right w:w="15" w:type="dxa"/>
            </w:tcMar>
            <w:vAlign w:val="center"/>
          </w:tcPr>
          <w:p w14:paraId="28C4A56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可以处1.5万元以上</w:t>
            </w:r>
            <w:r>
              <w:rPr>
                <w:rFonts w:ascii="仿宋_GB2312" w:hAnsi="宋体" w:eastAsia="仿宋_GB2312" w:cs="仿宋_GB2312"/>
                <w:kern w:val="0"/>
                <w:sz w:val="18"/>
                <w:szCs w:val="18"/>
                <w:lang w:bidi="ar"/>
              </w:rPr>
              <w:t>2.5</w:t>
            </w:r>
            <w:r>
              <w:rPr>
                <w:rFonts w:hint="eastAsia" w:ascii="仿宋_GB2312" w:hAnsi="宋体" w:eastAsia="仿宋_GB2312" w:cs="仿宋_GB2312"/>
                <w:kern w:val="0"/>
                <w:sz w:val="18"/>
                <w:szCs w:val="18"/>
                <w:lang w:bidi="ar"/>
              </w:rPr>
              <w:t>万元以下的罚款。</w:t>
            </w:r>
          </w:p>
        </w:tc>
      </w:tr>
      <w:tr w14:paraId="188E7A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A37E9B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B67B64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9C0E21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7EB849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9B1C29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51EF167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未开展安全培训并考试合格即颁发有关培训合格证明的，涉及的人数5人次</w:t>
            </w:r>
            <w:r>
              <w:rPr>
                <w:rFonts w:hint="eastAsia" w:ascii="仿宋_GB2312" w:hAnsi="宋体" w:eastAsia="仿宋_GB2312" w:cs="仿宋_GB2312"/>
                <w:kern w:val="0"/>
                <w:sz w:val="18"/>
                <w:szCs w:val="18"/>
                <w:lang w:val="en-US" w:eastAsia="zh-CN" w:bidi="ar"/>
              </w:rPr>
              <w:t>及以</w:t>
            </w:r>
            <w:r>
              <w:rPr>
                <w:rFonts w:hint="eastAsia" w:ascii="仿宋_GB2312" w:hAnsi="宋体" w:eastAsia="仿宋_GB2312" w:cs="仿宋_GB2312"/>
                <w:kern w:val="0"/>
                <w:sz w:val="18"/>
                <w:szCs w:val="18"/>
                <w:lang w:bidi="ar"/>
              </w:rPr>
              <w:t>上的。</w:t>
            </w:r>
          </w:p>
        </w:tc>
        <w:tc>
          <w:tcPr>
            <w:tcW w:w="2655" w:type="dxa"/>
            <w:tcBorders>
              <w:tl2br w:val="nil"/>
              <w:tr2bl w:val="nil"/>
            </w:tcBorders>
            <w:shd w:val="clear" w:color="auto" w:fill="auto"/>
            <w:tcMar>
              <w:top w:w="15" w:type="dxa"/>
              <w:left w:w="15" w:type="dxa"/>
              <w:right w:w="15" w:type="dxa"/>
            </w:tcMar>
            <w:vAlign w:val="center"/>
          </w:tcPr>
          <w:p w14:paraId="60A0E57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w:t>
            </w:r>
            <w:r>
              <w:rPr>
                <w:rFonts w:ascii="仿宋_GB2312" w:hAnsi="宋体" w:eastAsia="仿宋_GB2312" w:cs="仿宋_GB2312"/>
                <w:kern w:val="0"/>
                <w:sz w:val="18"/>
                <w:szCs w:val="18"/>
                <w:lang w:bidi="ar"/>
              </w:rPr>
              <w:t>2.5</w:t>
            </w:r>
            <w:r>
              <w:rPr>
                <w:rFonts w:hint="eastAsia" w:ascii="仿宋_GB2312" w:hAnsi="宋体" w:eastAsia="仿宋_GB2312" w:cs="仿宋_GB2312"/>
                <w:kern w:val="0"/>
                <w:sz w:val="18"/>
                <w:szCs w:val="18"/>
                <w:lang w:bidi="ar"/>
              </w:rPr>
              <w:t>万元以上3万元以下的罚款。</w:t>
            </w:r>
          </w:p>
        </w:tc>
      </w:tr>
      <w:tr w14:paraId="3CB4C3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041F690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highlight w:val="none"/>
                <w:lang w:val="en-US" w:eastAsia="zh-CN"/>
              </w:rPr>
            </w:pPr>
            <w:r>
              <w:rPr>
                <w:rFonts w:hint="eastAsia" w:ascii="仿宋_GB2312" w:hAnsi="宋体" w:eastAsia="仿宋_GB2312" w:cs="仿宋_GB2312"/>
                <w:kern w:val="0"/>
                <w:sz w:val="18"/>
                <w:szCs w:val="18"/>
                <w:highlight w:val="none"/>
                <w:lang w:bidi="ar"/>
              </w:rPr>
              <w:t>1</w:t>
            </w:r>
            <w:del w:id="2801" w:author="LV" w:date="2026-07-14T16:58:11Z">
              <w:r>
                <w:rPr>
                  <w:rFonts w:hint="default" w:ascii="仿宋_GB2312" w:hAnsi="宋体" w:eastAsia="仿宋_GB2312" w:cs="仿宋_GB2312"/>
                  <w:kern w:val="0"/>
                  <w:sz w:val="18"/>
                  <w:szCs w:val="18"/>
                  <w:highlight w:val="none"/>
                  <w:lang w:val="en-US" w:bidi="ar"/>
                </w:rPr>
                <w:delText>4</w:delText>
              </w:r>
            </w:del>
            <w:del w:id="2802" w:author="LV" w:date="2026-07-14T16:58:11Z">
              <w:r>
                <w:rPr>
                  <w:rFonts w:hint="default" w:ascii="仿宋_GB2312" w:hAnsi="宋体" w:eastAsia="仿宋_GB2312" w:cs="仿宋_GB2312"/>
                  <w:kern w:val="0"/>
                  <w:sz w:val="18"/>
                  <w:szCs w:val="18"/>
                  <w:highlight w:val="none"/>
                  <w:lang w:val="en-US" w:eastAsia="zh-CN" w:bidi="ar"/>
                </w:rPr>
                <w:delText>7</w:delText>
              </w:r>
            </w:del>
            <w:ins w:id="2803" w:author="LV" w:date="2026-07-14T16:58:11Z">
              <w:r>
                <w:rPr>
                  <w:rFonts w:hint="eastAsia" w:ascii="仿宋_GB2312" w:hAnsi="宋体" w:eastAsia="仿宋_GB2312" w:cs="仿宋_GB2312"/>
                  <w:kern w:val="0"/>
                  <w:sz w:val="18"/>
                  <w:szCs w:val="18"/>
                  <w:highlight w:val="none"/>
                  <w:lang w:val="en-US" w:eastAsia="zh-CN" w:bidi="ar"/>
                </w:rPr>
                <w:t>54</w:t>
              </w:r>
            </w:ins>
          </w:p>
        </w:tc>
        <w:tc>
          <w:tcPr>
            <w:tcW w:w="1005" w:type="dxa"/>
            <w:vMerge w:val="restart"/>
            <w:tcBorders>
              <w:tl2br w:val="nil"/>
              <w:tr2bl w:val="nil"/>
            </w:tcBorders>
            <w:shd w:val="clear" w:color="auto" w:fill="auto"/>
            <w:tcMar>
              <w:top w:w="15" w:type="dxa"/>
              <w:left w:w="15" w:type="dxa"/>
              <w:right w:w="15" w:type="dxa"/>
            </w:tcMar>
            <w:vAlign w:val="center"/>
          </w:tcPr>
          <w:p w14:paraId="4ECC109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highlight w:val="none"/>
                <w:lang w:val="en-US" w:eastAsia="zh-CN"/>
              </w:rPr>
            </w:pPr>
            <w:r>
              <w:rPr>
                <w:rFonts w:hint="eastAsia" w:ascii="仿宋_GB2312" w:hAnsi="宋体" w:eastAsia="仿宋_GB2312" w:cs="仿宋_GB2312"/>
                <w:kern w:val="0"/>
                <w:sz w:val="18"/>
                <w:szCs w:val="18"/>
                <w:highlight w:val="none"/>
                <w:lang w:bidi="ar"/>
              </w:rPr>
              <w:t>安全培训机构不具备安全培训条件</w:t>
            </w:r>
            <w:r>
              <w:rPr>
                <w:rFonts w:hint="eastAsia" w:ascii="仿宋_GB2312" w:hAnsi="宋体" w:eastAsia="仿宋_GB2312" w:cs="仿宋_GB2312"/>
                <w:kern w:val="0"/>
                <w:sz w:val="18"/>
                <w:szCs w:val="18"/>
                <w:highlight w:val="none"/>
                <w:lang w:val="en-US" w:eastAsia="zh-CN" w:bidi="ar"/>
              </w:rPr>
              <w:t>的</w:t>
            </w:r>
          </w:p>
        </w:tc>
        <w:tc>
          <w:tcPr>
            <w:tcW w:w="3667" w:type="dxa"/>
            <w:vMerge w:val="restart"/>
            <w:tcBorders>
              <w:tl2br w:val="nil"/>
              <w:tr2bl w:val="nil"/>
            </w:tcBorders>
            <w:shd w:val="clear" w:color="auto" w:fill="auto"/>
            <w:tcMar>
              <w:top w:w="15" w:type="dxa"/>
              <w:left w:w="15" w:type="dxa"/>
              <w:right w:w="15" w:type="dxa"/>
            </w:tcMar>
            <w:vAlign w:val="center"/>
          </w:tcPr>
          <w:p w14:paraId="0436AED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《安全生产培训管理办法》第五条 安全培训的机构应当具备从事安全培训工作所需要的条件。从事危险物品的生产、经营、储存单位以及矿山、金属冶炼单位的主要负责人和安全生产管理人员，特种作业人员以及注册安全工程师等相关人员培训的安全培训机构，应当将教师、教学和实习实训设施等情况书面报告所在地安全生产监督管理部门、煤矿安全培训监管机构。</w:t>
            </w:r>
          </w:p>
        </w:tc>
        <w:tc>
          <w:tcPr>
            <w:tcW w:w="4082" w:type="dxa"/>
            <w:vMerge w:val="restart"/>
            <w:tcBorders>
              <w:tl2br w:val="nil"/>
              <w:tr2bl w:val="nil"/>
            </w:tcBorders>
            <w:shd w:val="clear" w:color="auto" w:fill="auto"/>
            <w:tcMar>
              <w:top w:w="15" w:type="dxa"/>
              <w:left w:w="15" w:type="dxa"/>
              <w:right w:w="15" w:type="dxa"/>
            </w:tcMar>
            <w:vAlign w:val="center"/>
          </w:tcPr>
          <w:p w14:paraId="5298975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《安全生产培训管理办法》第三十四条 安全培训机构有下列情形之一的，责令限期改正，处1万元以下的罚款；逾期未改正的，给予警告，处1万元以上3万元以下的罚款：（一）不具备安全培训条件的</w:t>
            </w:r>
            <w:r>
              <w:rPr>
                <w:rFonts w:hint="eastAsia" w:ascii="仿宋_GB2312" w:hAnsi="宋体" w:eastAsia="仿宋_GB2312" w:cs="仿宋_GB2312"/>
                <w:kern w:val="0"/>
                <w:sz w:val="18"/>
                <w:szCs w:val="18"/>
                <w:highlight w:val="none"/>
                <w:lang w:eastAsia="zh-CN" w:bidi="ar"/>
              </w:rPr>
              <w:t>。</w:t>
            </w:r>
          </w:p>
        </w:tc>
        <w:tc>
          <w:tcPr>
            <w:tcW w:w="459" w:type="dxa"/>
            <w:tcBorders>
              <w:tl2br w:val="nil"/>
              <w:tr2bl w:val="nil"/>
            </w:tcBorders>
            <w:shd w:val="clear" w:color="auto" w:fill="auto"/>
            <w:noWrap/>
            <w:tcMar>
              <w:top w:w="15" w:type="dxa"/>
              <w:left w:w="15" w:type="dxa"/>
              <w:right w:w="15" w:type="dxa"/>
            </w:tcMar>
            <w:vAlign w:val="center"/>
          </w:tcPr>
          <w:p w14:paraId="2AD6517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不予处罚</w:t>
            </w:r>
          </w:p>
        </w:tc>
        <w:tc>
          <w:tcPr>
            <w:tcW w:w="1829" w:type="dxa"/>
            <w:tcBorders>
              <w:tl2br w:val="nil"/>
              <w:tr2bl w:val="nil"/>
            </w:tcBorders>
            <w:shd w:val="clear" w:color="auto" w:fill="auto"/>
            <w:tcMar>
              <w:top w:w="15" w:type="dxa"/>
              <w:left w:w="15" w:type="dxa"/>
              <w:right w:w="15" w:type="dxa"/>
            </w:tcMar>
            <w:vAlign w:val="center"/>
          </w:tcPr>
          <w:p w14:paraId="3593249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2ABFBA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无</w:t>
            </w:r>
          </w:p>
        </w:tc>
      </w:tr>
      <w:tr w14:paraId="25D760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643D3A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DF08C0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1CACD1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41668A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393FC3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3E985BE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1F604BBF">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0AC3F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CD632E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25B1FC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97302E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CEA3CC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57D31B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7162F96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1187B64D">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744DA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B90C8C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D7A228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E41117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646F94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FFEFBC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776C0FD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不具备安全培训条件1项的。</w:t>
            </w:r>
          </w:p>
        </w:tc>
        <w:tc>
          <w:tcPr>
            <w:tcW w:w="2655" w:type="dxa"/>
            <w:tcBorders>
              <w:tl2br w:val="nil"/>
              <w:tr2bl w:val="nil"/>
            </w:tcBorders>
            <w:shd w:val="clear" w:color="auto" w:fill="auto"/>
            <w:tcMar>
              <w:top w:w="15" w:type="dxa"/>
              <w:left w:w="15" w:type="dxa"/>
              <w:right w:w="15" w:type="dxa"/>
            </w:tcMar>
            <w:vAlign w:val="center"/>
          </w:tcPr>
          <w:p w14:paraId="6ADBD42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val="en-US" w:eastAsia="zh-CN" w:bidi="ar"/>
              </w:rPr>
              <w:t>处</w:t>
            </w:r>
            <w:r>
              <w:rPr>
                <w:rFonts w:hint="eastAsia" w:ascii="仿宋_GB2312" w:hAnsi="宋体" w:eastAsia="仿宋_GB2312" w:cs="仿宋_GB2312"/>
                <w:kern w:val="0"/>
                <w:sz w:val="18"/>
                <w:szCs w:val="18"/>
                <w:lang w:bidi="ar"/>
              </w:rPr>
              <w:t>3000元以下的罚款。</w:t>
            </w:r>
          </w:p>
        </w:tc>
      </w:tr>
      <w:tr w14:paraId="3A2B18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0AE0E4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E43367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87B360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5E74E7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CCE9B8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0CEEAB0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不具备安全培训条件2项的。</w:t>
            </w:r>
          </w:p>
        </w:tc>
        <w:tc>
          <w:tcPr>
            <w:tcW w:w="2655" w:type="dxa"/>
            <w:tcBorders>
              <w:tl2br w:val="nil"/>
              <w:tr2bl w:val="nil"/>
            </w:tcBorders>
            <w:shd w:val="clear" w:color="auto" w:fill="auto"/>
            <w:tcMar>
              <w:top w:w="15" w:type="dxa"/>
              <w:left w:w="15" w:type="dxa"/>
              <w:right w:w="15" w:type="dxa"/>
            </w:tcMar>
            <w:vAlign w:val="center"/>
          </w:tcPr>
          <w:p w14:paraId="7CE282F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处3000元以上7000元以下的罚款。</w:t>
            </w:r>
          </w:p>
        </w:tc>
      </w:tr>
      <w:tr w14:paraId="2B8496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B36991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831A92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1FDCB2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DA1A1D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9A29B9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79BBC07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不具备安全培训条件3项</w:t>
            </w:r>
            <w:r>
              <w:rPr>
                <w:rFonts w:hint="eastAsia" w:ascii="仿宋_GB2312" w:hAnsi="宋体" w:eastAsia="仿宋_GB2312" w:cs="仿宋_GB2312"/>
                <w:kern w:val="0"/>
                <w:sz w:val="18"/>
                <w:szCs w:val="18"/>
                <w:lang w:val="en-US" w:eastAsia="zh-CN" w:bidi="ar"/>
              </w:rPr>
              <w:t>及</w:t>
            </w:r>
            <w:r>
              <w:rPr>
                <w:rFonts w:hint="eastAsia" w:ascii="仿宋_GB2312" w:hAnsi="宋体" w:eastAsia="仿宋_GB2312" w:cs="仿宋_GB2312"/>
                <w:kern w:val="0"/>
                <w:sz w:val="18"/>
                <w:szCs w:val="18"/>
                <w:lang w:bidi="ar"/>
              </w:rPr>
              <w:t>以上的。</w:t>
            </w:r>
          </w:p>
        </w:tc>
        <w:tc>
          <w:tcPr>
            <w:tcW w:w="2655" w:type="dxa"/>
            <w:tcBorders>
              <w:tl2br w:val="nil"/>
              <w:tr2bl w:val="nil"/>
            </w:tcBorders>
            <w:shd w:val="clear" w:color="auto" w:fill="auto"/>
            <w:tcMar>
              <w:top w:w="15" w:type="dxa"/>
              <w:left w:w="15" w:type="dxa"/>
              <w:right w:w="15" w:type="dxa"/>
            </w:tcMar>
            <w:vAlign w:val="center"/>
          </w:tcPr>
          <w:p w14:paraId="1E4AD4C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处7000元</w:t>
            </w:r>
            <w:r>
              <w:rPr>
                <w:rFonts w:hint="eastAsia" w:ascii="仿宋_GB2312" w:hAnsi="宋体" w:eastAsia="仿宋_GB2312" w:cs="仿宋_GB2312"/>
                <w:kern w:val="0"/>
                <w:sz w:val="18"/>
                <w:szCs w:val="18"/>
                <w:lang w:val="en-US" w:eastAsia="zh-CN" w:bidi="ar"/>
              </w:rPr>
              <w:t>以上</w:t>
            </w:r>
            <w:r>
              <w:rPr>
                <w:rFonts w:hint="eastAsia" w:ascii="仿宋_GB2312" w:hAnsi="宋体" w:eastAsia="仿宋_GB2312" w:cs="仿宋_GB2312"/>
                <w:kern w:val="0"/>
                <w:sz w:val="18"/>
                <w:szCs w:val="18"/>
                <w:lang w:bidi="ar"/>
              </w:rPr>
              <w:t>1万元以下的罚款。</w:t>
            </w:r>
          </w:p>
        </w:tc>
      </w:tr>
      <w:tr w14:paraId="7DE5C3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18A988D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highlight w:val="none"/>
                <w:lang w:val="en-US" w:eastAsia="zh-CN"/>
              </w:rPr>
            </w:pPr>
            <w:r>
              <w:rPr>
                <w:rFonts w:ascii="仿宋_GB2312" w:hAnsi="宋体" w:eastAsia="仿宋_GB2312" w:cs="仿宋_GB2312"/>
                <w:kern w:val="0"/>
                <w:sz w:val="18"/>
                <w:szCs w:val="18"/>
                <w:highlight w:val="none"/>
                <w:lang w:bidi="ar"/>
              </w:rPr>
              <w:t>1</w:t>
            </w:r>
            <w:del w:id="2804" w:author="LV" w:date="2026-07-14T16:58:16Z">
              <w:r>
                <w:rPr>
                  <w:rFonts w:hint="default" w:ascii="仿宋_GB2312" w:hAnsi="宋体" w:eastAsia="仿宋_GB2312" w:cs="仿宋_GB2312"/>
                  <w:kern w:val="0"/>
                  <w:sz w:val="18"/>
                  <w:szCs w:val="18"/>
                  <w:highlight w:val="none"/>
                  <w:lang w:val="en-US" w:bidi="ar"/>
                </w:rPr>
                <w:delText>4</w:delText>
              </w:r>
            </w:del>
            <w:del w:id="2805" w:author="LV" w:date="2026-07-14T16:58:16Z">
              <w:r>
                <w:rPr>
                  <w:rFonts w:hint="default" w:ascii="仿宋_GB2312" w:hAnsi="宋体" w:eastAsia="仿宋_GB2312" w:cs="仿宋_GB2312"/>
                  <w:kern w:val="0"/>
                  <w:sz w:val="18"/>
                  <w:szCs w:val="18"/>
                  <w:highlight w:val="none"/>
                  <w:lang w:val="en-US" w:eastAsia="zh-CN" w:bidi="ar"/>
                </w:rPr>
                <w:delText>8</w:delText>
              </w:r>
            </w:del>
            <w:ins w:id="2806" w:author="LV" w:date="2026-07-14T16:58:16Z">
              <w:r>
                <w:rPr>
                  <w:rFonts w:hint="eastAsia" w:ascii="仿宋_GB2312" w:hAnsi="宋体" w:eastAsia="仿宋_GB2312" w:cs="仿宋_GB2312"/>
                  <w:kern w:val="0"/>
                  <w:sz w:val="18"/>
                  <w:szCs w:val="18"/>
                  <w:highlight w:val="none"/>
                  <w:lang w:val="en-US" w:eastAsia="zh-CN" w:bidi="ar"/>
                </w:rPr>
                <w:t>55</w:t>
              </w:r>
            </w:ins>
          </w:p>
        </w:tc>
        <w:tc>
          <w:tcPr>
            <w:tcW w:w="1005" w:type="dxa"/>
            <w:vMerge w:val="restart"/>
            <w:tcBorders>
              <w:tl2br w:val="nil"/>
              <w:tr2bl w:val="nil"/>
            </w:tcBorders>
            <w:shd w:val="clear" w:color="auto" w:fill="auto"/>
            <w:tcMar>
              <w:top w:w="15" w:type="dxa"/>
              <w:left w:w="15" w:type="dxa"/>
              <w:right w:w="15" w:type="dxa"/>
            </w:tcMar>
            <w:vAlign w:val="center"/>
          </w:tcPr>
          <w:p w14:paraId="4D42D5E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highlight w:val="none"/>
                <w:lang w:val="en-US" w:eastAsia="zh-CN"/>
              </w:rPr>
            </w:pPr>
            <w:r>
              <w:rPr>
                <w:rFonts w:hint="eastAsia" w:ascii="仿宋_GB2312" w:hAnsi="宋体" w:eastAsia="仿宋_GB2312" w:cs="仿宋_GB2312"/>
                <w:kern w:val="0"/>
                <w:sz w:val="18"/>
                <w:szCs w:val="18"/>
                <w:highlight w:val="none"/>
                <w:lang w:bidi="ar"/>
              </w:rPr>
              <w:t>安全培训机构不具备安全培训条件，逾期未改正</w:t>
            </w:r>
            <w:r>
              <w:rPr>
                <w:rFonts w:hint="eastAsia" w:ascii="仿宋_GB2312" w:hAnsi="宋体" w:eastAsia="仿宋_GB2312" w:cs="仿宋_GB2312"/>
                <w:kern w:val="0"/>
                <w:sz w:val="18"/>
                <w:szCs w:val="18"/>
                <w:highlight w:val="none"/>
                <w:lang w:val="en-US" w:eastAsia="zh-CN" w:bidi="ar"/>
              </w:rPr>
              <w:t>的</w:t>
            </w:r>
          </w:p>
        </w:tc>
        <w:tc>
          <w:tcPr>
            <w:tcW w:w="3667" w:type="dxa"/>
            <w:vMerge w:val="restart"/>
            <w:tcBorders>
              <w:tl2br w:val="nil"/>
              <w:tr2bl w:val="nil"/>
            </w:tcBorders>
            <w:shd w:val="clear" w:color="auto" w:fill="auto"/>
            <w:tcMar>
              <w:top w:w="15" w:type="dxa"/>
              <w:left w:w="15" w:type="dxa"/>
              <w:right w:w="15" w:type="dxa"/>
            </w:tcMar>
            <w:vAlign w:val="center"/>
          </w:tcPr>
          <w:p w14:paraId="330C08D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《安全生产培训管理办法》第五条 安全培训的机构应当具备从事安全培训工作所需要的条件。从事危险物品的生产、经营、储存单位以及矿山、金属冶炼单位的主要负责人和安全生产管理人员，特种作业人员以及注册安全工程师等相关人员培训的安全培训机构，应当将教师、教学和实习实训设施等情况书面报告所在地安全生产监督管理部门、煤矿安全培训监管机构。</w:t>
            </w:r>
          </w:p>
        </w:tc>
        <w:tc>
          <w:tcPr>
            <w:tcW w:w="4082" w:type="dxa"/>
            <w:vMerge w:val="restart"/>
            <w:tcBorders>
              <w:tl2br w:val="nil"/>
              <w:tr2bl w:val="nil"/>
            </w:tcBorders>
            <w:shd w:val="clear" w:color="auto" w:fill="auto"/>
            <w:tcMar>
              <w:top w:w="15" w:type="dxa"/>
              <w:left w:w="15" w:type="dxa"/>
              <w:right w:w="15" w:type="dxa"/>
            </w:tcMar>
            <w:vAlign w:val="center"/>
          </w:tcPr>
          <w:p w14:paraId="79B2A7B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highlight w:val="none"/>
                <w:lang w:eastAsia="zh-CN"/>
              </w:rPr>
            </w:pPr>
            <w:r>
              <w:rPr>
                <w:rFonts w:hint="eastAsia" w:ascii="仿宋_GB2312" w:hAnsi="宋体" w:eastAsia="仿宋_GB2312" w:cs="仿宋_GB2312"/>
                <w:kern w:val="0"/>
                <w:sz w:val="18"/>
                <w:szCs w:val="18"/>
                <w:highlight w:val="none"/>
                <w:lang w:bidi="ar"/>
              </w:rPr>
              <w:t>《安全生产培训管理办法》第三十四条 安全培训机构有下列情形之一的，责令限期改正，处1万元以下的罚款；逾期未改正的，给予警告，处1万元以上3万元以下的罚款：（一）不具备安全培训条件的</w:t>
            </w:r>
            <w:r>
              <w:rPr>
                <w:rFonts w:hint="eastAsia" w:ascii="仿宋_GB2312" w:hAnsi="宋体" w:eastAsia="仿宋_GB2312" w:cs="仿宋_GB2312"/>
                <w:kern w:val="0"/>
                <w:sz w:val="18"/>
                <w:szCs w:val="18"/>
                <w:highlight w:val="none"/>
                <w:lang w:eastAsia="zh-CN" w:bidi="ar"/>
              </w:rPr>
              <w:t>。</w:t>
            </w:r>
          </w:p>
        </w:tc>
        <w:tc>
          <w:tcPr>
            <w:tcW w:w="459" w:type="dxa"/>
            <w:tcBorders>
              <w:tl2br w:val="nil"/>
              <w:tr2bl w:val="nil"/>
            </w:tcBorders>
            <w:shd w:val="clear" w:color="auto" w:fill="auto"/>
            <w:noWrap/>
            <w:tcMar>
              <w:top w:w="15" w:type="dxa"/>
              <w:left w:w="15" w:type="dxa"/>
              <w:right w:w="15" w:type="dxa"/>
            </w:tcMar>
            <w:vAlign w:val="center"/>
          </w:tcPr>
          <w:p w14:paraId="3AF4324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不予处罚</w:t>
            </w:r>
          </w:p>
        </w:tc>
        <w:tc>
          <w:tcPr>
            <w:tcW w:w="1829" w:type="dxa"/>
            <w:tcBorders>
              <w:tl2br w:val="nil"/>
              <w:tr2bl w:val="nil"/>
            </w:tcBorders>
            <w:shd w:val="clear" w:color="auto" w:fill="auto"/>
            <w:tcMar>
              <w:top w:w="15" w:type="dxa"/>
              <w:left w:w="15" w:type="dxa"/>
              <w:right w:w="15" w:type="dxa"/>
            </w:tcMar>
            <w:vAlign w:val="center"/>
          </w:tcPr>
          <w:p w14:paraId="5A8C1B9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F20E0F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无</w:t>
            </w:r>
          </w:p>
        </w:tc>
      </w:tr>
      <w:tr w14:paraId="13B96E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E2C4CD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829254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2C665C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15C21C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393DD6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2E62C14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73F12186">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7670A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5F2F61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77EE92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FB9B4A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373B17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E67127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4ABBE39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EF1706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EBEEC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8EFD98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BE21E9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3667" w:type="dxa"/>
            <w:vMerge w:val="continue"/>
            <w:tcBorders>
              <w:tl2br w:val="nil"/>
              <w:tr2bl w:val="nil"/>
            </w:tcBorders>
            <w:shd w:val="clear" w:color="auto" w:fill="auto"/>
            <w:tcMar>
              <w:top w:w="15" w:type="dxa"/>
              <w:left w:w="15" w:type="dxa"/>
              <w:right w:w="15" w:type="dxa"/>
            </w:tcMar>
            <w:vAlign w:val="center"/>
          </w:tcPr>
          <w:p w14:paraId="3AD1177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082" w:type="dxa"/>
            <w:vMerge w:val="continue"/>
            <w:tcBorders>
              <w:tl2br w:val="nil"/>
              <w:tr2bl w:val="nil"/>
            </w:tcBorders>
            <w:shd w:val="clear" w:color="auto" w:fill="auto"/>
            <w:tcMar>
              <w:top w:w="15" w:type="dxa"/>
              <w:left w:w="15" w:type="dxa"/>
              <w:right w:w="15" w:type="dxa"/>
            </w:tcMar>
            <w:vAlign w:val="center"/>
          </w:tcPr>
          <w:p w14:paraId="3AFBDD6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59" w:type="dxa"/>
            <w:tcBorders>
              <w:tl2br w:val="nil"/>
              <w:tr2bl w:val="nil"/>
            </w:tcBorders>
            <w:shd w:val="clear" w:color="auto" w:fill="auto"/>
            <w:noWrap/>
            <w:tcMar>
              <w:top w:w="15" w:type="dxa"/>
              <w:left w:w="15" w:type="dxa"/>
              <w:right w:w="15" w:type="dxa"/>
            </w:tcMar>
            <w:vAlign w:val="center"/>
          </w:tcPr>
          <w:p w14:paraId="67F5A37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从轻处罚</w:t>
            </w:r>
          </w:p>
        </w:tc>
        <w:tc>
          <w:tcPr>
            <w:tcW w:w="1829" w:type="dxa"/>
            <w:tcBorders>
              <w:tl2br w:val="nil"/>
              <w:tr2bl w:val="nil"/>
            </w:tcBorders>
            <w:shd w:val="clear" w:color="auto" w:fill="auto"/>
            <w:tcMar>
              <w:top w:w="15" w:type="dxa"/>
              <w:left w:w="15" w:type="dxa"/>
              <w:right w:w="15" w:type="dxa"/>
            </w:tcMar>
            <w:vAlign w:val="center"/>
          </w:tcPr>
          <w:p w14:paraId="32231D8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不具备安全培训条件</w:t>
            </w:r>
            <w:r>
              <w:rPr>
                <w:rFonts w:hint="eastAsia" w:ascii="仿宋_GB2312" w:hAnsi="宋体" w:eastAsia="仿宋_GB2312" w:cs="仿宋_GB2312"/>
                <w:kern w:val="0"/>
                <w:sz w:val="18"/>
                <w:szCs w:val="18"/>
                <w:highlight w:val="none"/>
                <w:lang w:val="en-US" w:eastAsia="zh-CN" w:bidi="ar"/>
              </w:rPr>
              <w:t>1项</w:t>
            </w:r>
            <w:r>
              <w:rPr>
                <w:rFonts w:hint="eastAsia" w:ascii="仿宋_GB2312" w:hAnsi="宋体" w:eastAsia="仿宋_GB2312" w:cs="仿宋_GB2312"/>
                <w:kern w:val="0"/>
                <w:sz w:val="18"/>
                <w:szCs w:val="18"/>
                <w:highlight w:val="none"/>
                <w:lang w:bidi="ar"/>
              </w:rPr>
              <w:t>，逾期未改正的。</w:t>
            </w:r>
          </w:p>
        </w:tc>
        <w:tc>
          <w:tcPr>
            <w:tcW w:w="2655" w:type="dxa"/>
            <w:tcBorders>
              <w:tl2br w:val="nil"/>
              <w:tr2bl w:val="nil"/>
            </w:tcBorders>
            <w:shd w:val="clear" w:color="auto" w:fill="auto"/>
            <w:tcMar>
              <w:top w:w="15" w:type="dxa"/>
              <w:left w:w="15" w:type="dxa"/>
              <w:right w:w="15" w:type="dxa"/>
            </w:tcMar>
            <w:vAlign w:val="center"/>
          </w:tcPr>
          <w:p w14:paraId="13A030C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给予警告，处1万元以上1.5万元以下的罚款。</w:t>
            </w:r>
          </w:p>
        </w:tc>
      </w:tr>
      <w:tr w14:paraId="5224EF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4039D7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C48CFD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3667" w:type="dxa"/>
            <w:vMerge w:val="continue"/>
            <w:tcBorders>
              <w:tl2br w:val="nil"/>
              <w:tr2bl w:val="nil"/>
            </w:tcBorders>
            <w:shd w:val="clear" w:color="auto" w:fill="auto"/>
            <w:tcMar>
              <w:top w:w="15" w:type="dxa"/>
              <w:left w:w="15" w:type="dxa"/>
              <w:right w:w="15" w:type="dxa"/>
            </w:tcMar>
            <w:vAlign w:val="center"/>
          </w:tcPr>
          <w:p w14:paraId="178C38F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082" w:type="dxa"/>
            <w:vMerge w:val="continue"/>
            <w:tcBorders>
              <w:tl2br w:val="nil"/>
              <w:tr2bl w:val="nil"/>
            </w:tcBorders>
            <w:shd w:val="clear" w:color="auto" w:fill="auto"/>
            <w:tcMar>
              <w:top w:w="15" w:type="dxa"/>
              <w:left w:w="15" w:type="dxa"/>
              <w:right w:w="15" w:type="dxa"/>
            </w:tcMar>
            <w:vAlign w:val="center"/>
          </w:tcPr>
          <w:p w14:paraId="5E38C48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59" w:type="dxa"/>
            <w:tcBorders>
              <w:tl2br w:val="nil"/>
              <w:tr2bl w:val="nil"/>
            </w:tcBorders>
            <w:shd w:val="clear" w:color="auto" w:fill="auto"/>
            <w:noWrap/>
            <w:tcMar>
              <w:top w:w="15" w:type="dxa"/>
              <w:left w:w="15" w:type="dxa"/>
              <w:right w:w="15" w:type="dxa"/>
            </w:tcMar>
            <w:vAlign w:val="center"/>
          </w:tcPr>
          <w:p w14:paraId="1680011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一般处罚</w:t>
            </w:r>
          </w:p>
        </w:tc>
        <w:tc>
          <w:tcPr>
            <w:tcW w:w="1829" w:type="dxa"/>
            <w:tcBorders>
              <w:tl2br w:val="nil"/>
              <w:tr2bl w:val="nil"/>
            </w:tcBorders>
            <w:shd w:val="clear" w:color="auto" w:fill="auto"/>
            <w:tcMar>
              <w:top w:w="15" w:type="dxa"/>
              <w:left w:w="15" w:type="dxa"/>
              <w:right w:w="15" w:type="dxa"/>
            </w:tcMar>
            <w:vAlign w:val="center"/>
          </w:tcPr>
          <w:p w14:paraId="1304323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不具备安全培训条件</w:t>
            </w:r>
            <w:r>
              <w:rPr>
                <w:rFonts w:hint="eastAsia" w:ascii="仿宋_GB2312" w:hAnsi="宋体" w:eastAsia="仿宋_GB2312" w:cs="仿宋_GB2312"/>
                <w:kern w:val="0"/>
                <w:sz w:val="18"/>
                <w:szCs w:val="18"/>
                <w:highlight w:val="none"/>
                <w:lang w:val="en-US" w:eastAsia="zh-CN" w:bidi="ar"/>
              </w:rPr>
              <w:t>2项</w:t>
            </w:r>
            <w:r>
              <w:rPr>
                <w:rFonts w:hint="eastAsia" w:ascii="仿宋_GB2312" w:hAnsi="宋体" w:eastAsia="仿宋_GB2312" w:cs="仿宋_GB2312"/>
                <w:kern w:val="0"/>
                <w:sz w:val="18"/>
                <w:szCs w:val="18"/>
                <w:highlight w:val="none"/>
                <w:lang w:bidi="ar"/>
              </w:rPr>
              <w:t>，逾期未改正</w:t>
            </w:r>
            <w:r>
              <w:rPr>
                <w:rFonts w:hint="eastAsia" w:ascii="仿宋_GB2312" w:hAnsi="宋体" w:eastAsia="仿宋_GB2312" w:cs="仿宋_GB2312"/>
                <w:kern w:val="0"/>
                <w:sz w:val="18"/>
                <w:szCs w:val="18"/>
                <w:highlight w:val="none"/>
                <w:lang w:val="en-US" w:eastAsia="zh-CN" w:bidi="ar"/>
              </w:rPr>
              <w:t>涉及1项以上的</w:t>
            </w:r>
            <w:r>
              <w:rPr>
                <w:rFonts w:hint="eastAsia" w:ascii="仿宋_GB2312" w:hAnsi="宋体" w:eastAsia="仿宋_GB2312" w:cs="仿宋_GB2312"/>
                <w:kern w:val="0"/>
                <w:sz w:val="18"/>
                <w:szCs w:val="18"/>
                <w:highlight w:val="none"/>
                <w:lang w:bidi="ar"/>
              </w:rPr>
              <w:t>。</w:t>
            </w:r>
          </w:p>
        </w:tc>
        <w:tc>
          <w:tcPr>
            <w:tcW w:w="2655" w:type="dxa"/>
            <w:tcBorders>
              <w:tl2br w:val="nil"/>
              <w:tr2bl w:val="nil"/>
            </w:tcBorders>
            <w:shd w:val="clear" w:color="auto" w:fill="auto"/>
            <w:tcMar>
              <w:top w:w="15" w:type="dxa"/>
              <w:left w:w="15" w:type="dxa"/>
              <w:right w:w="15" w:type="dxa"/>
            </w:tcMar>
            <w:vAlign w:val="center"/>
          </w:tcPr>
          <w:p w14:paraId="1827E89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给予警告，处1.5万元以上</w:t>
            </w:r>
            <w:r>
              <w:rPr>
                <w:rFonts w:ascii="仿宋_GB2312" w:hAnsi="宋体" w:eastAsia="仿宋_GB2312" w:cs="仿宋_GB2312"/>
                <w:kern w:val="0"/>
                <w:sz w:val="18"/>
                <w:szCs w:val="18"/>
                <w:highlight w:val="none"/>
                <w:lang w:bidi="ar"/>
              </w:rPr>
              <w:t>2.5</w:t>
            </w:r>
            <w:r>
              <w:rPr>
                <w:rFonts w:hint="eastAsia" w:ascii="仿宋_GB2312" w:hAnsi="宋体" w:eastAsia="仿宋_GB2312" w:cs="仿宋_GB2312"/>
                <w:kern w:val="0"/>
                <w:sz w:val="18"/>
                <w:szCs w:val="18"/>
                <w:highlight w:val="none"/>
                <w:lang w:bidi="ar"/>
              </w:rPr>
              <w:t>万元以下的罚款。</w:t>
            </w:r>
          </w:p>
        </w:tc>
      </w:tr>
      <w:tr w14:paraId="63E94D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A1A934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EA0C0A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3667" w:type="dxa"/>
            <w:vMerge w:val="continue"/>
            <w:tcBorders>
              <w:tl2br w:val="nil"/>
              <w:tr2bl w:val="nil"/>
            </w:tcBorders>
            <w:shd w:val="clear" w:color="auto" w:fill="auto"/>
            <w:tcMar>
              <w:top w:w="15" w:type="dxa"/>
              <w:left w:w="15" w:type="dxa"/>
              <w:right w:w="15" w:type="dxa"/>
            </w:tcMar>
            <w:vAlign w:val="center"/>
          </w:tcPr>
          <w:p w14:paraId="2699A79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082" w:type="dxa"/>
            <w:vMerge w:val="continue"/>
            <w:tcBorders>
              <w:tl2br w:val="nil"/>
              <w:tr2bl w:val="nil"/>
            </w:tcBorders>
            <w:shd w:val="clear" w:color="auto" w:fill="auto"/>
            <w:tcMar>
              <w:top w:w="15" w:type="dxa"/>
              <w:left w:w="15" w:type="dxa"/>
              <w:right w:w="15" w:type="dxa"/>
            </w:tcMar>
            <w:vAlign w:val="center"/>
          </w:tcPr>
          <w:p w14:paraId="7EDE309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59" w:type="dxa"/>
            <w:tcBorders>
              <w:tl2br w:val="nil"/>
              <w:tr2bl w:val="nil"/>
            </w:tcBorders>
            <w:shd w:val="clear" w:color="auto" w:fill="auto"/>
            <w:noWrap/>
            <w:tcMar>
              <w:top w:w="15" w:type="dxa"/>
              <w:left w:w="15" w:type="dxa"/>
              <w:right w:w="15" w:type="dxa"/>
            </w:tcMar>
            <w:vAlign w:val="center"/>
          </w:tcPr>
          <w:p w14:paraId="181887E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从重处罚</w:t>
            </w:r>
          </w:p>
        </w:tc>
        <w:tc>
          <w:tcPr>
            <w:tcW w:w="1829" w:type="dxa"/>
            <w:tcBorders>
              <w:tl2br w:val="nil"/>
              <w:tr2bl w:val="nil"/>
            </w:tcBorders>
            <w:shd w:val="clear" w:color="auto" w:fill="auto"/>
            <w:tcMar>
              <w:top w:w="15" w:type="dxa"/>
              <w:left w:w="15" w:type="dxa"/>
              <w:right w:w="15" w:type="dxa"/>
            </w:tcMar>
            <w:vAlign w:val="center"/>
          </w:tcPr>
          <w:p w14:paraId="112CE6D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不具备安全培训条件</w:t>
            </w:r>
            <w:r>
              <w:rPr>
                <w:rFonts w:hint="eastAsia" w:ascii="仿宋_GB2312" w:hAnsi="宋体" w:eastAsia="仿宋_GB2312" w:cs="仿宋_GB2312"/>
                <w:kern w:val="0"/>
                <w:sz w:val="18"/>
                <w:szCs w:val="18"/>
                <w:highlight w:val="none"/>
                <w:lang w:val="en-US" w:eastAsia="zh-CN" w:bidi="ar"/>
              </w:rPr>
              <w:t>3项</w:t>
            </w:r>
            <w:r>
              <w:rPr>
                <w:rFonts w:hint="eastAsia" w:ascii="仿宋_GB2312" w:hAnsi="宋体" w:eastAsia="仿宋_GB2312" w:cs="仿宋_GB2312"/>
                <w:kern w:val="0"/>
                <w:sz w:val="18"/>
                <w:szCs w:val="18"/>
                <w:highlight w:val="none"/>
                <w:lang w:bidi="ar"/>
              </w:rPr>
              <w:t>，逾期未改正</w:t>
            </w:r>
            <w:r>
              <w:rPr>
                <w:rFonts w:hint="eastAsia" w:ascii="仿宋_GB2312" w:hAnsi="宋体" w:eastAsia="仿宋_GB2312" w:cs="仿宋_GB2312"/>
                <w:kern w:val="0"/>
                <w:sz w:val="18"/>
                <w:szCs w:val="18"/>
                <w:highlight w:val="none"/>
                <w:lang w:val="en-US" w:eastAsia="zh-CN" w:bidi="ar"/>
              </w:rPr>
              <w:t>涉及1项以上的</w:t>
            </w:r>
            <w:r>
              <w:rPr>
                <w:rFonts w:hint="eastAsia" w:ascii="仿宋_GB2312" w:hAnsi="宋体" w:eastAsia="仿宋_GB2312" w:cs="仿宋_GB2312"/>
                <w:kern w:val="0"/>
                <w:sz w:val="18"/>
                <w:szCs w:val="18"/>
                <w:highlight w:val="none"/>
                <w:lang w:bidi="ar"/>
              </w:rPr>
              <w:t>。</w:t>
            </w:r>
          </w:p>
        </w:tc>
        <w:tc>
          <w:tcPr>
            <w:tcW w:w="2655" w:type="dxa"/>
            <w:tcBorders>
              <w:tl2br w:val="nil"/>
              <w:tr2bl w:val="nil"/>
            </w:tcBorders>
            <w:shd w:val="clear" w:color="auto" w:fill="auto"/>
            <w:tcMar>
              <w:top w:w="15" w:type="dxa"/>
              <w:left w:w="15" w:type="dxa"/>
              <w:right w:w="15" w:type="dxa"/>
            </w:tcMar>
            <w:vAlign w:val="center"/>
          </w:tcPr>
          <w:p w14:paraId="2CE5F5E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给予警告，处</w:t>
            </w:r>
            <w:r>
              <w:rPr>
                <w:rFonts w:ascii="仿宋_GB2312" w:hAnsi="宋体" w:eastAsia="仿宋_GB2312" w:cs="仿宋_GB2312"/>
                <w:kern w:val="0"/>
                <w:sz w:val="18"/>
                <w:szCs w:val="18"/>
                <w:highlight w:val="none"/>
                <w:lang w:bidi="ar"/>
              </w:rPr>
              <w:t>2.5</w:t>
            </w:r>
            <w:r>
              <w:rPr>
                <w:rFonts w:hint="eastAsia" w:ascii="仿宋_GB2312" w:hAnsi="宋体" w:eastAsia="仿宋_GB2312" w:cs="仿宋_GB2312"/>
                <w:kern w:val="0"/>
                <w:sz w:val="18"/>
                <w:szCs w:val="18"/>
                <w:highlight w:val="none"/>
                <w:lang w:bidi="ar"/>
              </w:rPr>
              <w:t>万元以上3万元以下的罚款。</w:t>
            </w:r>
          </w:p>
        </w:tc>
      </w:tr>
      <w:tr w14:paraId="0ED422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3D5CE0A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1</w:t>
            </w:r>
            <w:del w:id="2807" w:author="LV" w:date="2026-07-14T16:58:20Z">
              <w:r>
                <w:rPr>
                  <w:rFonts w:hint="default" w:ascii="仿宋_GB2312" w:hAnsi="宋体" w:eastAsia="仿宋_GB2312" w:cs="仿宋_GB2312"/>
                  <w:kern w:val="0"/>
                  <w:sz w:val="18"/>
                  <w:szCs w:val="18"/>
                  <w:lang w:val="en-US" w:bidi="ar"/>
                </w:rPr>
                <w:delText>4</w:delText>
              </w:r>
            </w:del>
            <w:del w:id="2808" w:author="LV" w:date="2026-07-14T16:58:20Z">
              <w:r>
                <w:rPr>
                  <w:rFonts w:hint="default" w:ascii="仿宋_GB2312" w:hAnsi="宋体" w:eastAsia="仿宋_GB2312" w:cs="仿宋_GB2312"/>
                  <w:kern w:val="0"/>
                  <w:sz w:val="18"/>
                  <w:szCs w:val="18"/>
                  <w:lang w:val="en-US" w:eastAsia="zh-CN" w:bidi="ar"/>
                </w:rPr>
                <w:delText>9</w:delText>
              </w:r>
            </w:del>
            <w:ins w:id="2809" w:author="LV" w:date="2026-07-14T16:58:20Z">
              <w:r>
                <w:rPr>
                  <w:rFonts w:hint="eastAsia" w:ascii="仿宋_GB2312" w:hAnsi="宋体" w:eastAsia="仿宋_GB2312" w:cs="仿宋_GB2312"/>
                  <w:kern w:val="0"/>
                  <w:sz w:val="18"/>
                  <w:szCs w:val="18"/>
                  <w:lang w:val="en-US" w:eastAsia="zh-CN" w:bidi="ar"/>
                </w:rPr>
                <w:t>5</w:t>
              </w:r>
            </w:ins>
            <w:ins w:id="2810" w:author="LV" w:date="2026-07-14T16:58:21Z">
              <w:r>
                <w:rPr>
                  <w:rFonts w:hint="eastAsia" w:ascii="仿宋_GB2312" w:hAnsi="宋体" w:eastAsia="仿宋_GB2312" w:cs="仿宋_GB2312"/>
                  <w:kern w:val="0"/>
                  <w:sz w:val="18"/>
                  <w:szCs w:val="18"/>
                  <w:lang w:val="en-US" w:eastAsia="zh-CN" w:bidi="ar"/>
                </w:rPr>
                <w:t>6</w:t>
              </w:r>
            </w:ins>
          </w:p>
        </w:tc>
        <w:tc>
          <w:tcPr>
            <w:tcW w:w="1005" w:type="dxa"/>
            <w:vMerge w:val="restart"/>
            <w:tcBorders>
              <w:tl2br w:val="nil"/>
              <w:tr2bl w:val="nil"/>
            </w:tcBorders>
            <w:shd w:val="clear" w:color="auto" w:fill="auto"/>
            <w:tcMar>
              <w:top w:w="15" w:type="dxa"/>
              <w:left w:w="15" w:type="dxa"/>
              <w:right w:w="15" w:type="dxa"/>
            </w:tcMar>
            <w:vAlign w:val="center"/>
          </w:tcPr>
          <w:p w14:paraId="340DD2B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highlight w:val="none"/>
                <w:lang w:val="en-US" w:eastAsia="zh-CN"/>
              </w:rPr>
            </w:pPr>
            <w:r>
              <w:rPr>
                <w:rFonts w:hint="eastAsia" w:ascii="仿宋_GB2312" w:hAnsi="宋体" w:eastAsia="仿宋_GB2312" w:cs="仿宋_GB2312"/>
                <w:sz w:val="18"/>
                <w:szCs w:val="18"/>
                <w:highlight w:val="none"/>
                <w:lang w:val="en-US" w:eastAsia="zh-CN"/>
              </w:rPr>
              <w:t>煤矿安全培训机构未按照统一的培训大纲组织教学培训的</w:t>
            </w:r>
          </w:p>
        </w:tc>
        <w:tc>
          <w:tcPr>
            <w:tcW w:w="3667" w:type="dxa"/>
            <w:vMerge w:val="restart"/>
            <w:tcBorders>
              <w:tl2br w:val="nil"/>
              <w:tr2bl w:val="nil"/>
            </w:tcBorders>
            <w:shd w:val="clear" w:color="auto" w:fill="auto"/>
            <w:tcMar>
              <w:top w:w="15" w:type="dxa"/>
              <w:left w:w="15" w:type="dxa"/>
              <w:right w:w="15" w:type="dxa"/>
            </w:tcMar>
            <w:vAlign w:val="center"/>
          </w:tcPr>
          <w:p w14:paraId="2CB7A75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highlight w:val="none"/>
                <w:lang w:bidi="ar"/>
              </w:rPr>
            </w:pPr>
            <w:r>
              <w:rPr>
                <w:rFonts w:hint="eastAsia" w:ascii="仿宋_GB2312" w:hAnsi="宋体" w:eastAsia="仿宋_GB2312" w:cs="仿宋_GB2312"/>
                <w:kern w:val="0"/>
                <w:sz w:val="18"/>
                <w:szCs w:val="18"/>
                <w:highlight w:val="none"/>
                <w:lang w:bidi="ar"/>
              </w:rPr>
              <w:t>《安全生产培训管理办法》第六条第一款 安全培训应当按照规定的安全培训大纲进行。</w:t>
            </w:r>
            <w:r>
              <w:rPr>
                <w:rFonts w:hint="eastAsia" w:ascii="仿宋_GB2312" w:hAnsi="宋体" w:eastAsia="仿宋_GB2312" w:cs="仿宋_GB2312"/>
                <w:kern w:val="0"/>
                <w:sz w:val="18"/>
                <w:szCs w:val="18"/>
                <w:highlight w:val="none"/>
                <w:lang w:bidi="ar"/>
              </w:rPr>
              <w:br w:type="textWrapping"/>
            </w:r>
            <w:r>
              <w:rPr>
                <w:rFonts w:hint="eastAsia" w:ascii="仿宋_GB2312" w:hAnsi="宋体" w:eastAsia="仿宋_GB2312" w:cs="仿宋_GB2312"/>
                <w:kern w:val="0"/>
                <w:sz w:val="18"/>
                <w:szCs w:val="18"/>
                <w:highlight w:val="none"/>
                <w:lang w:bidi="ar"/>
              </w:rPr>
              <w:t>第六条第三款</w:t>
            </w:r>
            <w:r>
              <w:rPr>
                <w:rFonts w:hint="eastAsia" w:ascii="仿宋_GB2312" w:hAnsi="宋体" w:eastAsia="仿宋_GB2312" w:cs="仿宋_GB2312"/>
                <w:kern w:val="0"/>
                <w:sz w:val="18"/>
                <w:szCs w:val="18"/>
                <w:highlight w:val="none"/>
                <w:lang w:val="en-US" w:eastAsia="zh-CN" w:bidi="ar"/>
              </w:rPr>
              <w:t xml:space="preserve"> </w:t>
            </w:r>
            <w:r>
              <w:rPr>
                <w:rFonts w:hint="eastAsia" w:ascii="仿宋_GB2312" w:hAnsi="宋体" w:eastAsia="仿宋_GB2312" w:cs="仿宋_GB2312"/>
                <w:kern w:val="0"/>
                <w:sz w:val="18"/>
                <w:szCs w:val="18"/>
                <w:highlight w:val="none"/>
                <w:lang w:bidi="ar"/>
              </w:rPr>
              <w:t>煤矿企业的主要负责人和安全生产管理人员、特种作业人员的培训大纲由国家煤矿安监局组织制定。</w:t>
            </w:r>
            <w:r>
              <w:rPr>
                <w:rFonts w:hint="eastAsia" w:ascii="仿宋_GB2312" w:hAnsi="宋体" w:eastAsia="仿宋_GB2312" w:cs="仿宋_GB2312"/>
                <w:kern w:val="0"/>
                <w:sz w:val="18"/>
                <w:szCs w:val="18"/>
                <w:highlight w:val="none"/>
                <w:lang w:bidi="ar"/>
              </w:rPr>
              <w:br w:type="textWrapping"/>
            </w:r>
            <w:r>
              <w:rPr>
                <w:rFonts w:hint="eastAsia" w:ascii="仿宋_GB2312" w:hAnsi="宋体" w:eastAsia="仿宋_GB2312" w:cs="仿宋_GB2312"/>
                <w:kern w:val="0"/>
                <w:sz w:val="18"/>
                <w:szCs w:val="18"/>
                <w:highlight w:val="none"/>
                <w:lang w:bidi="ar"/>
              </w:rPr>
              <w:t>《煤矿安全培训规定》第二十三条第一款 国家煤矿安全监察局组织制定煤矿特种作业人员培训大纲和考核标准，建立统一的考试题库。</w:t>
            </w:r>
          </w:p>
          <w:p w14:paraId="79DE7D9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highlight w:val="none"/>
                <w:lang w:bidi="ar"/>
              </w:rPr>
            </w:pPr>
            <w:r>
              <w:rPr>
                <w:rFonts w:hint="eastAsia" w:ascii="仿宋_GB2312" w:hAnsi="宋体" w:eastAsia="仿宋_GB2312" w:cs="仿宋_GB2312"/>
                <w:kern w:val="0"/>
                <w:sz w:val="18"/>
                <w:szCs w:val="18"/>
                <w:highlight w:val="none"/>
                <w:lang w:bidi="ar"/>
              </w:rPr>
              <w:t>第二十五条 煤矿特种作业人员在参加资格考试前应当按照规定的培训大纲进行安全生产 知识和实际操作能力的专门培训。其中，初次培训的时间不得少于九十学时。</w:t>
            </w:r>
            <w:r>
              <w:rPr>
                <w:rFonts w:hint="eastAsia" w:ascii="仿宋_GB2312" w:hAnsi="宋体" w:eastAsia="仿宋_GB2312" w:cs="仿宋_GB2312"/>
                <w:kern w:val="0"/>
                <w:sz w:val="18"/>
                <w:szCs w:val="18"/>
                <w:highlight w:val="none"/>
                <w:lang w:bidi="ar"/>
              </w:rPr>
              <w:br w:type="textWrapping"/>
            </w:r>
            <w:r>
              <w:rPr>
                <w:rFonts w:hint="eastAsia" w:ascii="仿宋_GB2312" w:hAnsi="宋体" w:eastAsia="仿宋_GB2312" w:cs="仿宋_GB2312"/>
                <w:kern w:val="0"/>
                <w:sz w:val="18"/>
                <w:szCs w:val="18"/>
                <w:highlight w:val="none"/>
                <w:lang w:bidi="ar"/>
              </w:rPr>
              <w:t>第三十四条 省级煤矿安全培训主管部门负责制定煤矿企业其他从业人员安全培训大纲和考核标准。</w:t>
            </w:r>
          </w:p>
          <w:p w14:paraId="348E653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第三十五条 煤矿企业或者具备安全培训条件的机构应当按照培训大纲对其他从业人员进行安全培训。其中，对从事采煤、掘进、机电、运输、通风、治水等工作的班组长的安全培训，应当由其所在煤矿的上一级煤矿企业组织实施；没有上一级煤矿企业的，由本单位组织实施。</w:t>
            </w:r>
          </w:p>
        </w:tc>
        <w:tc>
          <w:tcPr>
            <w:tcW w:w="4082" w:type="dxa"/>
            <w:vMerge w:val="restart"/>
            <w:tcBorders>
              <w:tl2br w:val="nil"/>
              <w:tr2bl w:val="nil"/>
            </w:tcBorders>
            <w:shd w:val="clear" w:color="auto" w:fill="auto"/>
            <w:tcMar>
              <w:top w:w="15" w:type="dxa"/>
              <w:left w:w="15" w:type="dxa"/>
              <w:right w:w="15" w:type="dxa"/>
            </w:tcMar>
            <w:vAlign w:val="center"/>
          </w:tcPr>
          <w:p w14:paraId="42EEBB0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highlight w:val="none"/>
                <w:lang w:bidi="ar"/>
              </w:rPr>
            </w:pPr>
            <w:r>
              <w:rPr>
                <w:rFonts w:hint="eastAsia" w:ascii="仿宋_GB2312" w:hAnsi="宋体" w:eastAsia="仿宋_GB2312" w:cs="仿宋_GB2312"/>
                <w:kern w:val="0"/>
                <w:sz w:val="18"/>
                <w:szCs w:val="18"/>
                <w:highlight w:val="none"/>
                <w:lang w:bidi="ar"/>
              </w:rPr>
              <w:t>《安全生产培训管理办法》第三十四条 安全培训机构有下列情形之一的，责令限期改正，处1万元以下的罚款；逾期未改正的，给予警告，处1万元以上3万元以下的罚款：（二）未按照统一的培训大纲组织教学培训的</w:t>
            </w:r>
            <w:r>
              <w:rPr>
                <w:rFonts w:hint="eastAsia" w:ascii="仿宋_GB2312" w:hAnsi="宋体" w:eastAsia="仿宋_GB2312" w:cs="仿宋_GB2312"/>
                <w:kern w:val="0"/>
                <w:sz w:val="18"/>
                <w:szCs w:val="18"/>
                <w:highlight w:val="none"/>
                <w:lang w:eastAsia="zh-CN" w:bidi="ar"/>
              </w:rPr>
              <w:t>。</w:t>
            </w:r>
          </w:p>
          <w:p w14:paraId="014BC36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sz w:val="18"/>
                <w:szCs w:val="18"/>
                <w:highlight w:val="none"/>
              </w:rPr>
              <w:t>《煤矿安全培训规定》第四十八条  煤矿安全培训主管部门或者煤矿安全监察机构发现煤矿企业有下列行为之一的，责令其限期改正，可以处一万元以上三万元以下的罚款：（四）未按照统一的培训大纲组织培训的。</w:t>
            </w:r>
          </w:p>
        </w:tc>
        <w:tc>
          <w:tcPr>
            <w:tcW w:w="459" w:type="dxa"/>
            <w:tcBorders>
              <w:tl2br w:val="nil"/>
              <w:tr2bl w:val="nil"/>
            </w:tcBorders>
            <w:shd w:val="clear" w:color="auto" w:fill="auto"/>
            <w:noWrap/>
            <w:tcMar>
              <w:top w:w="15" w:type="dxa"/>
              <w:left w:w="15" w:type="dxa"/>
              <w:right w:w="15" w:type="dxa"/>
            </w:tcMar>
            <w:vAlign w:val="center"/>
          </w:tcPr>
          <w:p w14:paraId="2C15870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不予处罚</w:t>
            </w:r>
          </w:p>
        </w:tc>
        <w:tc>
          <w:tcPr>
            <w:tcW w:w="1829" w:type="dxa"/>
            <w:tcBorders>
              <w:tl2br w:val="nil"/>
              <w:tr2bl w:val="nil"/>
            </w:tcBorders>
            <w:shd w:val="clear" w:color="auto" w:fill="auto"/>
            <w:tcMar>
              <w:top w:w="15" w:type="dxa"/>
              <w:left w:w="15" w:type="dxa"/>
              <w:right w:w="15" w:type="dxa"/>
            </w:tcMar>
            <w:vAlign w:val="center"/>
          </w:tcPr>
          <w:p w14:paraId="43EC783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47E841E">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无</w:t>
            </w:r>
          </w:p>
        </w:tc>
      </w:tr>
      <w:tr w14:paraId="086632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13C994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BD2801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9C47E1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1273BB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2F20A4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5C27F15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5B30A46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D4774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F9B99C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E597CB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054E2E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74EDB3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3D924A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14F7034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6FB8F3C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A7A66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804362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928DB8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3667" w:type="dxa"/>
            <w:vMerge w:val="continue"/>
            <w:tcBorders>
              <w:tl2br w:val="nil"/>
              <w:tr2bl w:val="nil"/>
            </w:tcBorders>
            <w:shd w:val="clear" w:color="auto" w:fill="auto"/>
            <w:tcMar>
              <w:top w:w="15" w:type="dxa"/>
              <w:left w:w="15" w:type="dxa"/>
              <w:right w:w="15" w:type="dxa"/>
            </w:tcMar>
            <w:vAlign w:val="center"/>
          </w:tcPr>
          <w:p w14:paraId="2BFFD25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082" w:type="dxa"/>
            <w:vMerge w:val="continue"/>
            <w:tcBorders>
              <w:tl2br w:val="nil"/>
              <w:tr2bl w:val="nil"/>
            </w:tcBorders>
            <w:shd w:val="clear" w:color="auto" w:fill="auto"/>
            <w:tcMar>
              <w:top w:w="15" w:type="dxa"/>
              <w:left w:w="15" w:type="dxa"/>
              <w:right w:w="15" w:type="dxa"/>
            </w:tcMar>
            <w:vAlign w:val="center"/>
          </w:tcPr>
          <w:p w14:paraId="637C155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59" w:type="dxa"/>
            <w:tcBorders>
              <w:tl2br w:val="nil"/>
              <w:tr2bl w:val="nil"/>
            </w:tcBorders>
            <w:shd w:val="clear" w:color="auto" w:fill="auto"/>
            <w:noWrap/>
            <w:tcMar>
              <w:top w:w="15" w:type="dxa"/>
              <w:left w:w="15" w:type="dxa"/>
              <w:right w:w="15" w:type="dxa"/>
            </w:tcMar>
            <w:vAlign w:val="center"/>
          </w:tcPr>
          <w:p w14:paraId="5ECAA5B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从轻处罚</w:t>
            </w:r>
          </w:p>
        </w:tc>
        <w:tc>
          <w:tcPr>
            <w:tcW w:w="1829" w:type="dxa"/>
            <w:tcBorders>
              <w:tl2br w:val="nil"/>
              <w:tr2bl w:val="nil"/>
            </w:tcBorders>
            <w:shd w:val="clear" w:color="auto" w:fill="auto"/>
            <w:tcMar>
              <w:top w:w="15" w:type="dxa"/>
              <w:left w:w="15" w:type="dxa"/>
              <w:right w:w="15" w:type="dxa"/>
            </w:tcMar>
            <w:vAlign w:val="center"/>
          </w:tcPr>
          <w:p w14:paraId="14D056F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1门课程未按照统一的培训大纲组织教学培训</w:t>
            </w:r>
            <w:r>
              <w:rPr>
                <w:rFonts w:hint="eastAsia" w:ascii="仿宋_GB2312" w:hAnsi="宋体" w:eastAsia="仿宋_GB2312" w:cs="仿宋_GB2312"/>
                <w:kern w:val="0"/>
                <w:sz w:val="18"/>
                <w:szCs w:val="18"/>
                <w:highlight w:val="none"/>
                <w:lang w:val="en-US" w:eastAsia="zh-CN" w:bidi="ar"/>
              </w:rPr>
              <w:t>的</w:t>
            </w:r>
            <w:r>
              <w:rPr>
                <w:rFonts w:hint="eastAsia" w:ascii="仿宋_GB2312" w:hAnsi="宋体" w:eastAsia="仿宋_GB2312" w:cs="仿宋_GB2312"/>
                <w:kern w:val="0"/>
                <w:sz w:val="18"/>
                <w:szCs w:val="18"/>
                <w:highlight w:val="none"/>
                <w:lang w:bidi="ar"/>
              </w:rPr>
              <w:t>。</w:t>
            </w:r>
          </w:p>
        </w:tc>
        <w:tc>
          <w:tcPr>
            <w:tcW w:w="2655" w:type="dxa"/>
            <w:tcBorders>
              <w:tl2br w:val="nil"/>
              <w:tr2bl w:val="nil"/>
            </w:tcBorders>
            <w:shd w:val="clear" w:color="auto" w:fill="auto"/>
            <w:tcMar>
              <w:top w:w="15" w:type="dxa"/>
              <w:left w:w="15" w:type="dxa"/>
              <w:right w:w="15" w:type="dxa"/>
            </w:tcMar>
            <w:vAlign w:val="center"/>
          </w:tcPr>
          <w:p w14:paraId="19EFB42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sz w:val="18"/>
                <w:szCs w:val="18"/>
                <w:highlight w:val="none"/>
              </w:rPr>
              <w:t>可以处1万元以上1.5万元以下的罚款</w:t>
            </w:r>
          </w:p>
        </w:tc>
      </w:tr>
      <w:tr w14:paraId="2607CF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ABABA5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46523E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3667" w:type="dxa"/>
            <w:vMerge w:val="continue"/>
            <w:tcBorders>
              <w:tl2br w:val="nil"/>
              <w:tr2bl w:val="nil"/>
            </w:tcBorders>
            <w:shd w:val="clear" w:color="auto" w:fill="auto"/>
            <w:tcMar>
              <w:top w:w="15" w:type="dxa"/>
              <w:left w:w="15" w:type="dxa"/>
              <w:right w:w="15" w:type="dxa"/>
            </w:tcMar>
            <w:vAlign w:val="center"/>
          </w:tcPr>
          <w:p w14:paraId="3298D3C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082" w:type="dxa"/>
            <w:vMerge w:val="continue"/>
            <w:tcBorders>
              <w:tl2br w:val="nil"/>
              <w:tr2bl w:val="nil"/>
            </w:tcBorders>
            <w:shd w:val="clear" w:color="auto" w:fill="auto"/>
            <w:tcMar>
              <w:top w:w="15" w:type="dxa"/>
              <w:left w:w="15" w:type="dxa"/>
              <w:right w:w="15" w:type="dxa"/>
            </w:tcMar>
            <w:vAlign w:val="center"/>
          </w:tcPr>
          <w:p w14:paraId="09BEC5B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59" w:type="dxa"/>
            <w:tcBorders>
              <w:tl2br w:val="nil"/>
              <w:tr2bl w:val="nil"/>
            </w:tcBorders>
            <w:shd w:val="clear" w:color="auto" w:fill="auto"/>
            <w:noWrap/>
            <w:tcMar>
              <w:top w:w="15" w:type="dxa"/>
              <w:left w:w="15" w:type="dxa"/>
              <w:right w:w="15" w:type="dxa"/>
            </w:tcMar>
            <w:vAlign w:val="center"/>
          </w:tcPr>
          <w:p w14:paraId="2838FE9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一般处罚</w:t>
            </w:r>
          </w:p>
        </w:tc>
        <w:tc>
          <w:tcPr>
            <w:tcW w:w="1829" w:type="dxa"/>
            <w:tcBorders>
              <w:tl2br w:val="nil"/>
              <w:tr2bl w:val="nil"/>
            </w:tcBorders>
            <w:shd w:val="clear" w:color="auto" w:fill="auto"/>
            <w:tcMar>
              <w:top w:w="15" w:type="dxa"/>
              <w:left w:w="15" w:type="dxa"/>
              <w:right w:w="15" w:type="dxa"/>
            </w:tcMar>
            <w:vAlign w:val="center"/>
          </w:tcPr>
          <w:p w14:paraId="2E56305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ascii="仿宋_GB2312" w:hAnsi="宋体" w:eastAsia="仿宋_GB2312" w:cs="仿宋_GB2312"/>
                <w:kern w:val="0"/>
                <w:sz w:val="18"/>
                <w:szCs w:val="18"/>
                <w:highlight w:val="none"/>
                <w:lang w:bidi="ar"/>
              </w:rPr>
              <w:t>2</w:t>
            </w:r>
            <w:r>
              <w:rPr>
                <w:rFonts w:hint="eastAsia" w:ascii="仿宋_GB2312" w:hAnsi="宋体" w:eastAsia="仿宋_GB2312" w:cs="仿宋_GB2312"/>
                <w:kern w:val="0"/>
                <w:sz w:val="18"/>
                <w:szCs w:val="18"/>
                <w:highlight w:val="none"/>
                <w:lang w:bidi="ar"/>
              </w:rPr>
              <w:t>门课程未按照统一的培训大纲组织教学培训</w:t>
            </w:r>
            <w:r>
              <w:rPr>
                <w:rFonts w:hint="eastAsia" w:ascii="仿宋_GB2312" w:hAnsi="宋体" w:eastAsia="仿宋_GB2312" w:cs="仿宋_GB2312"/>
                <w:kern w:val="0"/>
                <w:sz w:val="18"/>
                <w:szCs w:val="18"/>
                <w:highlight w:val="none"/>
                <w:lang w:val="en-US" w:eastAsia="zh-CN" w:bidi="ar"/>
              </w:rPr>
              <w:t>的</w:t>
            </w:r>
            <w:r>
              <w:rPr>
                <w:rFonts w:hint="eastAsia" w:ascii="仿宋_GB2312" w:hAnsi="宋体" w:eastAsia="仿宋_GB2312" w:cs="仿宋_GB2312"/>
                <w:kern w:val="0"/>
                <w:sz w:val="18"/>
                <w:szCs w:val="18"/>
                <w:highlight w:val="none"/>
                <w:lang w:bidi="ar"/>
              </w:rPr>
              <w:t>。</w:t>
            </w:r>
          </w:p>
        </w:tc>
        <w:tc>
          <w:tcPr>
            <w:tcW w:w="2655" w:type="dxa"/>
            <w:tcBorders>
              <w:tl2br w:val="nil"/>
              <w:tr2bl w:val="nil"/>
            </w:tcBorders>
            <w:shd w:val="clear" w:color="auto" w:fill="auto"/>
            <w:tcMar>
              <w:top w:w="15" w:type="dxa"/>
              <w:left w:w="15" w:type="dxa"/>
              <w:right w:w="15" w:type="dxa"/>
            </w:tcMar>
            <w:vAlign w:val="center"/>
          </w:tcPr>
          <w:p w14:paraId="24B5378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sz w:val="18"/>
                <w:szCs w:val="18"/>
                <w:highlight w:val="none"/>
              </w:rPr>
              <w:t>可以处1.5万元以上2.5万元以下的罚款</w:t>
            </w:r>
          </w:p>
        </w:tc>
      </w:tr>
      <w:tr w14:paraId="610DD0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04B200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3BFF47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3667" w:type="dxa"/>
            <w:vMerge w:val="continue"/>
            <w:tcBorders>
              <w:tl2br w:val="nil"/>
              <w:tr2bl w:val="nil"/>
            </w:tcBorders>
            <w:shd w:val="clear" w:color="auto" w:fill="auto"/>
            <w:tcMar>
              <w:top w:w="15" w:type="dxa"/>
              <w:left w:w="15" w:type="dxa"/>
              <w:right w:w="15" w:type="dxa"/>
            </w:tcMar>
            <w:vAlign w:val="center"/>
          </w:tcPr>
          <w:p w14:paraId="061F0BC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082" w:type="dxa"/>
            <w:vMerge w:val="continue"/>
            <w:tcBorders>
              <w:tl2br w:val="nil"/>
              <w:tr2bl w:val="nil"/>
            </w:tcBorders>
            <w:shd w:val="clear" w:color="auto" w:fill="auto"/>
            <w:tcMar>
              <w:top w:w="15" w:type="dxa"/>
              <w:left w:w="15" w:type="dxa"/>
              <w:right w:w="15" w:type="dxa"/>
            </w:tcMar>
            <w:vAlign w:val="center"/>
          </w:tcPr>
          <w:p w14:paraId="32131E2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59" w:type="dxa"/>
            <w:tcBorders>
              <w:tl2br w:val="nil"/>
              <w:tr2bl w:val="nil"/>
            </w:tcBorders>
            <w:shd w:val="clear" w:color="auto" w:fill="auto"/>
            <w:noWrap/>
            <w:tcMar>
              <w:top w:w="15" w:type="dxa"/>
              <w:left w:w="15" w:type="dxa"/>
              <w:right w:w="15" w:type="dxa"/>
            </w:tcMar>
            <w:vAlign w:val="center"/>
          </w:tcPr>
          <w:p w14:paraId="011EAC2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从重处罚</w:t>
            </w:r>
          </w:p>
        </w:tc>
        <w:tc>
          <w:tcPr>
            <w:tcW w:w="1829" w:type="dxa"/>
            <w:tcBorders>
              <w:tl2br w:val="nil"/>
              <w:tr2bl w:val="nil"/>
            </w:tcBorders>
            <w:shd w:val="clear" w:color="auto" w:fill="auto"/>
            <w:tcMar>
              <w:top w:w="15" w:type="dxa"/>
              <w:left w:w="15" w:type="dxa"/>
              <w:right w:w="15" w:type="dxa"/>
            </w:tcMar>
            <w:vAlign w:val="center"/>
          </w:tcPr>
          <w:p w14:paraId="019E553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ascii="仿宋_GB2312" w:hAnsi="宋体" w:eastAsia="仿宋_GB2312" w:cs="仿宋_GB2312"/>
                <w:kern w:val="0"/>
                <w:sz w:val="18"/>
                <w:szCs w:val="18"/>
                <w:highlight w:val="none"/>
                <w:lang w:bidi="ar"/>
              </w:rPr>
              <w:t>3</w:t>
            </w:r>
            <w:r>
              <w:rPr>
                <w:rFonts w:hint="eastAsia" w:ascii="仿宋_GB2312" w:hAnsi="宋体" w:eastAsia="仿宋_GB2312" w:cs="仿宋_GB2312"/>
                <w:kern w:val="0"/>
                <w:sz w:val="18"/>
                <w:szCs w:val="18"/>
                <w:highlight w:val="none"/>
                <w:lang w:bidi="ar"/>
              </w:rPr>
              <w:t>门</w:t>
            </w:r>
            <w:r>
              <w:rPr>
                <w:rFonts w:hint="eastAsia" w:ascii="仿宋_GB2312" w:hAnsi="宋体" w:eastAsia="仿宋_GB2312" w:cs="仿宋_GB2312"/>
                <w:kern w:val="0"/>
                <w:sz w:val="18"/>
                <w:szCs w:val="18"/>
                <w:highlight w:val="none"/>
                <w:lang w:val="en-US" w:eastAsia="zh-CN" w:bidi="ar"/>
              </w:rPr>
              <w:t>及</w:t>
            </w:r>
            <w:r>
              <w:rPr>
                <w:rFonts w:hint="eastAsia" w:ascii="仿宋_GB2312" w:hAnsi="宋体" w:eastAsia="仿宋_GB2312" w:cs="仿宋_GB2312"/>
                <w:kern w:val="0"/>
                <w:sz w:val="18"/>
                <w:szCs w:val="18"/>
                <w:highlight w:val="none"/>
                <w:lang w:bidi="ar"/>
              </w:rPr>
              <w:t>以上课程未按照统一的培训大纲组织教学培训</w:t>
            </w:r>
            <w:r>
              <w:rPr>
                <w:rFonts w:hint="eastAsia" w:ascii="仿宋_GB2312" w:hAnsi="宋体" w:eastAsia="仿宋_GB2312" w:cs="仿宋_GB2312"/>
                <w:kern w:val="0"/>
                <w:sz w:val="18"/>
                <w:szCs w:val="18"/>
                <w:highlight w:val="none"/>
                <w:lang w:val="en-US" w:eastAsia="zh-CN" w:bidi="ar"/>
              </w:rPr>
              <w:t>的</w:t>
            </w:r>
            <w:r>
              <w:rPr>
                <w:rFonts w:hint="eastAsia" w:ascii="仿宋_GB2312" w:hAnsi="宋体" w:eastAsia="仿宋_GB2312" w:cs="仿宋_GB2312"/>
                <w:kern w:val="0"/>
                <w:sz w:val="18"/>
                <w:szCs w:val="18"/>
                <w:highlight w:val="none"/>
                <w:lang w:eastAsia="zh-CN" w:bidi="ar"/>
              </w:rPr>
              <w:t>。</w:t>
            </w:r>
          </w:p>
        </w:tc>
        <w:tc>
          <w:tcPr>
            <w:tcW w:w="2655" w:type="dxa"/>
            <w:tcBorders>
              <w:tl2br w:val="nil"/>
              <w:tr2bl w:val="nil"/>
            </w:tcBorders>
            <w:shd w:val="clear" w:color="auto" w:fill="auto"/>
            <w:tcMar>
              <w:top w:w="15" w:type="dxa"/>
              <w:left w:w="15" w:type="dxa"/>
              <w:right w:w="15" w:type="dxa"/>
            </w:tcMar>
            <w:vAlign w:val="center"/>
          </w:tcPr>
          <w:p w14:paraId="7B6D079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sz w:val="18"/>
                <w:szCs w:val="18"/>
                <w:highlight w:val="none"/>
              </w:rPr>
              <w:t>可以处2.5万元以上3万元以下的罚款</w:t>
            </w:r>
          </w:p>
        </w:tc>
      </w:tr>
      <w:tr w14:paraId="1222AE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292168D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val="en-US" w:eastAsia="zh-CN" w:bidi="ar"/>
              </w:rPr>
              <w:t>15</w:t>
            </w:r>
            <w:del w:id="2811" w:author="LV" w:date="2026-07-14T16:58:27Z">
              <w:r>
                <w:rPr>
                  <w:rFonts w:hint="default" w:ascii="仿宋_GB2312" w:hAnsi="宋体" w:eastAsia="仿宋_GB2312" w:cs="仿宋_GB2312"/>
                  <w:kern w:val="0"/>
                  <w:sz w:val="18"/>
                  <w:szCs w:val="18"/>
                  <w:lang w:val="en-US" w:eastAsia="zh-CN" w:bidi="ar"/>
                </w:rPr>
                <w:delText>0</w:delText>
              </w:r>
            </w:del>
            <w:ins w:id="2812" w:author="LV" w:date="2026-07-14T16:58:27Z">
              <w:r>
                <w:rPr>
                  <w:rFonts w:hint="eastAsia" w:ascii="仿宋_GB2312" w:hAnsi="宋体" w:eastAsia="仿宋_GB2312" w:cs="仿宋_GB2312"/>
                  <w:kern w:val="0"/>
                  <w:sz w:val="18"/>
                  <w:szCs w:val="18"/>
                  <w:lang w:val="en-US" w:eastAsia="zh-CN" w:bidi="ar"/>
                </w:rPr>
                <w:t>7</w:t>
              </w:r>
            </w:ins>
          </w:p>
        </w:tc>
        <w:tc>
          <w:tcPr>
            <w:tcW w:w="1005" w:type="dxa"/>
            <w:vMerge w:val="restart"/>
            <w:tcBorders>
              <w:tl2br w:val="nil"/>
              <w:tr2bl w:val="nil"/>
            </w:tcBorders>
            <w:shd w:val="clear" w:color="auto" w:fill="auto"/>
            <w:tcMar>
              <w:top w:w="15" w:type="dxa"/>
              <w:left w:w="15" w:type="dxa"/>
              <w:right w:w="15" w:type="dxa"/>
            </w:tcMar>
            <w:vAlign w:val="center"/>
          </w:tcPr>
          <w:p w14:paraId="267DDE6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highlight w:val="none"/>
                <w:lang w:val="en-US" w:eastAsia="zh-CN"/>
              </w:rPr>
            </w:pPr>
            <w:r>
              <w:rPr>
                <w:sz w:val="18"/>
                <w:szCs w:val="18"/>
                <w:highlight w:val="none"/>
              </w:rPr>
              <w:fldChar w:fldCharType="begin"/>
            </w:r>
            <w:r>
              <w:rPr>
                <w:sz w:val="18"/>
                <w:szCs w:val="18"/>
                <w:highlight w:val="none"/>
              </w:rPr>
              <w:instrText xml:space="preserve"> HYPERLINK "https://baike.baidu.com/item/%E6%A1%A3%E6%A1%88%E7%AE%A1%E7%90%86/11003773?fromModule=lemma_inlink" \o "https://baike.baidu.com/item/%E6%A1%A3%E6%A1%88%E7%AE%A1%E7%90%86/11003773?fromModule=lemma_inlink" </w:instrText>
            </w:r>
            <w:r>
              <w:rPr>
                <w:sz w:val="18"/>
                <w:szCs w:val="18"/>
                <w:highlight w:val="none"/>
              </w:rPr>
              <w:fldChar w:fldCharType="separate"/>
            </w:r>
            <w:r>
              <w:rPr>
                <w:rStyle w:val="19"/>
                <w:rFonts w:hint="eastAsia" w:ascii="仿宋_GB2312" w:hAnsi="宋体" w:eastAsia="仿宋_GB2312" w:cs="仿宋_GB2312"/>
                <w:color w:val="auto"/>
                <w:sz w:val="18"/>
                <w:szCs w:val="18"/>
                <w:highlight w:val="none"/>
                <w:u w:val="none"/>
              </w:rPr>
              <w:t>安全培训机构未建立培训档案或者培训档案管理不规范</w:t>
            </w:r>
            <w:r>
              <w:rPr>
                <w:rStyle w:val="19"/>
                <w:rFonts w:hint="eastAsia" w:ascii="仿宋_GB2312" w:hAnsi="宋体" w:eastAsia="仿宋_GB2312" w:cs="仿宋_GB2312"/>
                <w:color w:val="auto"/>
                <w:sz w:val="18"/>
                <w:szCs w:val="18"/>
                <w:highlight w:val="none"/>
                <w:u w:val="none"/>
              </w:rPr>
              <w:fldChar w:fldCharType="end"/>
            </w:r>
            <w:r>
              <w:rPr>
                <w:rStyle w:val="19"/>
                <w:rFonts w:hint="eastAsia" w:ascii="仿宋_GB2312" w:hAnsi="宋体" w:eastAsia="仿宋_GB2312" w:cs="仿宋_GB2312"/>
                <w:color w:val="auto"/>
                <w:sz w:val="18"/>
                <w:szCs w:val="18"/>
                <w:highlight w:val="none"/>
                <w:u w:val="none"/>
                <w:lang w:val="en-US" w:eastAsia="zh-CN"/>
              </w:rPr>
              <w:t>的</w:t>
            </w:r>
          </w:p>
        </w:tc>
        <w:tc>
          <w:tcPr>
            <w:tcW w:w="3667" w:type="dxa"/>
            <w:vMerge w:val="restart"/>
            <w:tcBorders>
              <w:tl2br w:val="nil"/>
              <w:tr2bl w:val="nil"/>
            </w:tcBorders>
            <w:shd w:val="clear" w:color="auto" w:fill="auto"/>
            <w:tcMar>
              <w:top w:w="15" w:type="dxa"/>
              <w:left w:w="15" w:type="dxa"/>
              <w:right w:w="15" w:type="dxa"/>
            </w:tcMar>
            <w:vAlign w:val="center"/>
          </w:tcPr>
          <w:p w14:paraId="01E3D71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highlight w:val="none"/>
                <w:lang w:bidi="ar"/>
              </w:rPr>
            </w:pPr>
            <w:r>
              <w:rPr>
                <w:rFonts w:hint="eastAsia" w:ascii="仿宋_GB2312" w:hAnsi="宋体" w:eastAsia="仿宋_GB2312" w:cs="仿宋_GB2312"/>
                <w:kern w:val="0"/>
                <w:sz w:val="18"/>
                <w:szCs w:val="18"/>
                <w:highlight w:val="none"/>
                <w:lang w:bidi="ar"/>
              </w:rPr>
              <w:t>《安全生产培训管理办法》第六条第一款 安全培训应当按照规定的安全培训大纲进行。</w:t>
            </w:r>
          </w:p>
          <w:p w14:paraId="13037DA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第十五条 安全培训机构应当建立安全培训工作制度和人员培训档案。安全培训相关情况，应当如实记录并建档备查。</w:t>
            </w:r>
          </w:p>
        </w:tc>
        <w:tc>
          <w:tcPr>
            <w:tcW w:w="4082" w:type="dxa"/>
            <w:vMerge w:val="restart"/>
            <w:tcBorders>
              <w:tl2br w:val="nil"/>
              <w:tr2bl w:val="nil"/>
            </w:tcBorders>
            <w:shd w:val="clear" w:color="auto" w:fill="auto"/>
            <w:tcMar>
              <w:top w:w="15" w:type="dxa"/>
              <w:left w:w="15" w:type="dxa"/>
              <w:right w:w="15" w:type="dxa"/>
            </w:tcMar>
            <w:vAlign w:val="center"/>
          </w:tcPr>
          <w:p w14:paraId="41E79D3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《安全生产培训管理办法》第三十四条 安全培训机构有下列情形之一的，责令限期改正，处1万元以下的罚款；逾期未改正的，给予警告，处1万元以上3万元以下的罚款：（三）未建立培训档案或者培训档案管理不规范的</w:t>
            </w:r>
            <w:r>
              <w:rPr>
                <w:rFonts w:ascii="仿宋_GB2312" w:hAnsi="宋体" w:eastAsia="仿宋_GB2312" w:cs="仿宋_GB2312"/>
                <w:kern w:val="0"/>
                <w:sz w:val="18"/>
                <w:szCs w:val="18"/>
                <w:highlight w:val="none"/>
                <w:lang w:bidi="ar"/>
              </w:rPr>
              <w:t>。</w:t>
            </w:r>
          </w:p>
        </w:tc>
        <w:tc>
          <w:tcPr>
            <w:tcW w:w="459" w:type="dxa"/>
            <w:tcBorders>
              <w:tl2br w:val="nil"/>
              <w:tr2bl w:val="nil"/>
            </w:tcBorders>
            <w:shd w:val="clear" w:color="auto" w:fill="auto"/>
            <w:noWrap/>
            <w:tcMar>
              <w:top w:w="15" w:type="dxa"/>
              <w:left w:w="15" w:type="dxa"/>
              <w:right w:w="15" w:type="dxa"/>
            </w:tcMar>
            <w:vAlign w:val="center"/>
          </w:tcPr>
          <w:p w14:paraId="0A2AD6F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不予处罚</w:t>
            </w:r>
          </w:p>
        </w:tc>
        <w:tc>
          <w:tcPr>
            <w:tcW w:w="1829" w:type="dxa"/>
            <w:tcBorders>
              <w:tl2br w:val="nil"/>
              <w:tr2bl w:val="nil"/>
            </w:tcBorders>
            <w:shd w:val="clear" w:color="auto" w:fill="auto"/>
            <w:tcMar>
              <w:top w:w="15" w:type="dxa"/>
              <w:left w:w="15" w:type="dxa"/>
              <w:right w:w="15" w:type="dxa"/>
            </w:tcMar>
            <w:vAlign w:val="center"/>
          </w:tcPr>
          <w:p w14:paraId="3E1DED4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55E6F0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无</w:t>
            </w:r>
          </w:p>
        </w:tc>
      </w:tr>
      <w:tr w14:paraId="049359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96EE77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951BB4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03C238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38FF1B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639AA3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7BC94D6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5517151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C0F04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35C7E4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1B7F27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F0ADAA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D8CBCC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0B5568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3C876C5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DC1E44F">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7C740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596374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DDF7CE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3667" w:type="dxa"/>
            <w:vMerge w:val="continue"/>
            <w:tcBorders>
              <w:tl2br w:val="nil"/>
              <w:tr2bl w:val="nil"/>
            </w:tcBorders>
            <w:shd w:val="clear" w:color="auto" w:fill="auto"/>
            <w:tcMar>
              <w:top w:w="15" w:type="dxa"/>
              <w:left w:w="15" w:type="dxa"/>
              <w:right w:w="15" w:type="dxa"/>
            </w:tcMar>
            <w:vAlign w:val="center"/>
          </w:tcPr>
          <w:p w14:paraId="685704B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082" w:type="dxa"/>
            <w:vMerge w:val="continue"/>
            <w:tcBorders>
              <w:tl2br w:val="nil"/>
              <w:tr2bl w:val="nil"/>
            </w:tcBorders>
            <w:shd w:val="clear" w:color="auto" w:fill="auto"/>
            <w:tcMar>
              <w:top w:w="15" w:type="dxa"/>
              <w:left w:w="15" w:type="dxa"/>
              <w:right w:w="15" w:type="dxa"/>
            </w:tcMar>
            <w:vAlign w:val="center"/>
          </w:tcPr>
          <w:p w14:paraId="2BC8331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59" w:type="dxa"/>
            <w:tcBorders>
              <w:tl2br w:val="nil"/>
              <w:tr2bl w:val="nil"/>
            </w:tcBorders>
            <w:shd w:val="clear" w:color="auto" w:fill="auto"/>
            <w:noWrap/>
            <w:tcMar>
              <w:top w:w="15" w:type="dxa"/>
              <w:left w:w="15" w:type="dxa"/>
              <w:right w:w="15" w:type="dxa"/>
            </w:tcMar>
            <w:vAlign w:val="center"/>
          </w:tcPr>
          <w:p w14:paraId="4118307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从轻处罚</w:t>
            </w:r>
          </w:p>
        </w:tc>
        <w:tc>
          <w:tcPr>
            <w:tcW w:w="1829" w:type="dxa"/>
            <w:tcBorders>
              <w:tl2br w:val="nil"/>
              <w:tr2bl w:val="nil"/>
            </w:tcBorders>
            <w:shd w:val="clear" w:color="auto" w:fill="auto"/>
            <w:tcMar>
              <w:top w:w="15" w:type="dxa"/>
              <w:left w:w="15" w:type="dxa"/>
              <w:right w:w="15" w:type="dxa"/>
            </w:tcMar>
            <w:vAlign w:val="center"/>
          </w:tcPr>
          <w:p w14:paraId="35F4450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val="en-US" w:eastAsia="zh-CN" w:bidi="ar"/>
              </w:rPr>
              <w:t>1项</w:t>
            </w:r>
            <w:r>
              <w:rPr>
                <w:rFonts w:hint="eastAsia" w:ascii="仿宋_GB2312" w:hAnsi="宋体" w:eastAsia="仿宋_GB2312" w:cs="仿宋_GB2312"/>
                <w:kern w:val="0"/>
                <w:sz w:val="18"/>
                <w:szCs w:val="18"/>
                <w:highlight w:val="none"/>
                <w:lang w:bidi="ar"/>
              </w:rPr>
              <w:t>培训档案管理不规范的。</w:t>
            </w:r>
          </w:p>
        </w:tc>
        <w:tc>
          <w:tcPr>
            <w:tcW w:w="2655" w:type="dxa"/>
            <w:tcBorders>
              <w:tl2br w:val="nil"/>
              <w:tr2bl w:val="nil"/>
            </w:tcBorders>
            <w:shd w:val="clear" w:color="auto" w:fill="auto"/>
            <w:tcMar>
              <w:top w:w="15" w:type="dxa"/>
              <w:left w:w="15" w:type="dxa"/>
              <w:right w:w="15" w:type="dxa"/>
            </w:tcMar>
            <w:vAlign w:val="center"/>
          </w:tcPr>
          <w:p w14:paraId="6139272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val="en-US" w:eastAsia="zh-CN" w:bidi="ar"/>
              </w:rPr>
              <w:t>处</w:t>
            </w:r>
            <w:r>
              <w:rPr>
                <w:rFonts w:hint="eastAsia" w:ascii="仿宋_GB2312" w:hAnsi="宋体" w:eastAsia="仿宋_GB2312" w:cs="仿宋_GB2312"/>
                <w:kern w:val="0"/>
                <w:sz w:val="18"/>
                <w:szCs w:val="18"/>
                <w:highlight w:val="none"/>
                <w:lang w:bidi="ar"/>
              </w:rPr>
              <w:t>3000元以下的罚款。</w:t>
            </w:r>
          </w:p>
        </w:tc>
      </w:tr>
      <w:tr w14:paraId="57A023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23A8AA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6DD22E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3667" w:type="dxa"/>
            <w:vMerge w:val="continue"/>
            <w:tcBorders>
              <w:tl2br w:val="nil"/>
              <w:tr2bl w:val="nil"/>
            </w:tcBorders>
            <w:shd w:val="clear" w:color="auto" w:fill="auto"/>
            <w:tcMar>
              <w:top w:w="15" w:type="dxa"/>
              <w:left w:w="15" w:type="dxa"/>
              <w:right w:w="15" w:type="dxa"/>
            </w:tcMar>
            <w:vAlign w:val="center"/>
          </w:tcPr>
          <w:p w14:paraId="7BA7127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082" w:type="dxa"/>
            <w:vMerge w:val="continue"/>
            <w:tcBorders>
              <w:tl2br w:val="nil"/>
              <w:tr2bl w:val="nil"/>
            </w:tcBorders>
            <w:shd w:val="clear" w:color="auto" w:fill="auto"/>
            <w:tcMar>
              <w:top w:w="15" w:type="dxa"/>
              <w:left w:w="15" w:type="dxa"/>
              <w:right w:w="15" w:type="dxa"/>
            </w:tcMar>
            <w:vAlign w:val="center"/>
          </w:tcPr>
          <w:p w14:paraId="0E2C9B2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59" w:type="dxa"/>
            <w:tcBorders>
              <w:tl2br w:val="nil"/>
              <w:tr2bl w:val="nil"/>
            </w:tcBorders>
            <w:shd w:val="clear" w:color="auto" w:fill="auto"/>
            <w:noWrap/>
            <w:tcMar>
              <w:top w:w="15" w:type="dxa"/>
              <w:left w:w="15" w:type="dxa"/>
              <w:right w:w="15" w:type="dxa"/>
            </w:tcMar>
            <w:vAlign w:val="center"/>
          </w:tcPr>
          <w:p w14:paraId="31E465B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一般处罚</w:t>
            </w:r>
          </w:p>
        </w:tc>
        <w:tc>
          <w:tcPr>
            <w:tcW w:w="1829" w:type="dxa"/>
            <w:tcBorders>
              <w:tl2br w:val="nil"/>
              <w:tr2bl w:val="nil"/>
            </w:tcBorders>
            <w:shd w:val="clear" w:color="auto" w:fill="auto"/>
            <w:tcMar>
              <w:top w:w="15" w:type="dxa"/>
              <w:left w:w="15" w:type="dxa"/>
              <w:right w:w="15" w:type="dxa"/>
            </w:tcMar>
            <w:vAlign w:val="center"/>
          </w:tcPr>
          <w:p w14:paraId="0AE2CDA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val="en-US" w:eastAsia="zh-CN" w:bidi="ar"/>
              </w:rPr>
              <w:t>2项</w:t>
            </w:r>
            <w:r>
              <w:rPr>
                <w:rFonts w:hint="eastAsia" w:ascii="仿宋_GB2312" w:hAnsi="宋体" w:eastAsia="仿宋_GB2312" w:cs="仿宋_GB2312"/>
                <w:kern w:val="0"/>
                <w:sz w:val="18"/>
                <w:szCs w:val="18"/>
                <w:highlight w:val="none"/>
                <w:lang w:bidi="ar"/>
              </w:rPr>
              <w:t>培训档案管理不规范的。</w:t>
            </w:r>
          </w:p>
        </w:tc>
        <w:tc>
          <w:tcPr>
            <w:tcW w:w="2655" w:type="dxa"/>
            <w:tcBorders>
              <w:tl2br w:val="nil"/>
              <w:tr2bl w:val="nil"/>
            </w:tcBorders>
            <w:shd w:val="clear" w:color="auto" w:fill="auto"/>
            <w:tcMar>
              <w:top w:w="15" w:type="dxa"/>
              <w:left w:w="15" w:type="dxa"/>
              <w:right w:w="15" w:type="dxa"/>
            </w:tcMar>
            <w:vAlign w:val="center"/>
          </w:tcPr>
          <w:p w14:paraId="26D56B5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处3000元以上7000元以下的罚款。</w:t>
            </w:r>
          </w:p>
        </w:tc>
      </w:tr>
      <w:tr w14:paraId="09E402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E18F4E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D2FE5C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3667" w:type="dxa"/>
            <w:vMerge w:val="continue"/>
            <w:tcBorders>
              <w:tl2br w:val="nil"/>
              <w:tr2bl w:val="nil"/>
            </w:tcBorders>
            <w:shd w:val="clear" w:color="auto" w:fill="auto"/>
            <w:tcMar>
              <w:top w:w="15" w:type="dxa"/>
              <w:left w:w="15" w:type="dxa"/>
              <w:right w:w="15" w:type="dxa"/>
            </w:tcMar>
            <w:vAlign w:val="center"/>
          </w:tcPr>
          <w:p w14:paraId="66B4BF5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082" w:type="dxa"/>
            <w:vMerge w:val="continue"/>
            <w:tcBorders>
              <w:tl2br w:val="nil"/>
              <w:tr2bl w:val="nil"/>
            </w:tcBorders>
            <w:shd w:val="clear" w:color="auto" w:fill="auto"/>
            <w:tcMar>
              <w:top w:w="15" w:type="dxa"/>
              <w:left w:w="15" w:type="dxa"/>
              <w:right w:w="15" w:type="dxa"/>
            </w:tcMar>
            <w:vAlign w:val="center"/>
          </w:tcPr>
          <w:p w14:paraId="6E2AE25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59" w:type="dxa"/>
            <w:tcBorders>
              <w:tl2br w:val="nil"/>
              <w:tr2bl w:val="nil"/>
            </w:tcBorders>
            <w:shd w:val="clear" w:color="auto" w:fill="auto"/>
            <w:noWrap/>
            <w:tcMar>
              <w:top w:w="15" w:type="dxa"/>
              <w:left w:w="15" w:type="dxa"/>
              <w:right w:w="15" w:type="dxa"/>
            </w:tcMar>
            <w:vAlign w:val="center"/>
          </w:tcPr>
          <w:p w14:paraId="60249B3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从重处罚</w:t>
            </w:r>
          </w:p>
        </w:tc>
        <w:tc>
          <w:tcPr>
            <w:tcW w:w="1829" w:type="dxa"/>
            <w:tcBorders>
              <w:tl2br w:val="nil"/>
              <w:tr2bl w:val="nil"/>
            </w:tcBorders>
            <w:shd w:val="clear" w:color="auto" w:fill="auto"/>
            <w:tcMar>
              <w:top w:w="15" w:type="dxa"/>
              <w:left w:w="15" w:type="dxa"/>
              <w:right w:w="15" w:type="dxa"/>
            </w:tcMar>
            <w:vAlign w:val="center"/>
          </w:tcPr>
          <w:p w14:paraId="1AC1846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未建立培训档案或者3项及以上培训档案管理不规范的。</w:t>
            </w:r>
          </w:p>
        </w:tc>
        <w:tc>
          <w:tcPr>
            <w:tcW w:w="2655" w:type="dxa"/>
            <w:tcBorders>
              <w:tl2br w:val="nil"/>
              <w:tr2bl w:val="nil"/>
            </w:tcBorders>
            <w:shd w:val="clear" w:color="auto" w:fill="auto"/>
            <w:tcMar>
              <w:top w:w="15" w:type="dxa"/>
              <w:left w:w="15" w:type="dxa"/>
              <w:right w:w="15" w:type="dxa"/>
            </w:tcMar>
            <w:vAlign w:val="center"/>
          </w:tcPr>
          <w:p w14:paraId="204E85A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处7000元以上1万元以下的罚款。</w:t>
            </w:r>
          </w:p>
        </w:tc>
      </w:tr>
      <w:tr w14:paraId="1B0125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72CE962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z w:val="18"/>
                <w:szCs w:val="18"/>
                <w:highlight w:val="none"/>
                <w:lang w:eastAsia="zh-CN"/>
              </w:rPr>
            </w:pPr>
            <w:r>
              <w:rPr>
                <w:rFonts w:hint="eastAsia" w:ascii="仿宋_GB2312" w:hAnsi="宋体" w:eastAsia="仿宋_GB2312" w:cs="仿宋_GB2312"/>
                <w:kern w:val="0"/>
                <w:sz w:val="18"/>
                <w:szCs w:val="18"/>
                <w:highlight w:val="none"/>
                <w:lang w:bidi="ar"/>
              </w:rPr>
              <w:t>15</w:t>
            </w:r>
            <w:del w:id="2813" w:author="LV" w:date="2026-07-14T16:58:30Z">
              <w:r>
                <w:rPr>
                  <w:rFonts w:hint="default" w:ascii="仿宋_GB2312" w:hAnsi="宋体" w:eastAsia="仿宋_GB2312" w:cs="仿宋_GB2312"/>
                  <w:kern w:val="0"/>
                  <w:sz w:val="18"/>
                  <w:szCs w:val="18"/>
                  <w:highlight w:val="none"/>
                  <w:lang w:val="en-US" w:eastAsia="zh-CN" w:bidi="ar"/>
                </w:rPr>
                <w:delText>1</w:delText>
              </w:r>
            </w:del>
            <w:ins w:id="2814" w:author="LV" w:date="2026-07-14T16:58:30Z">
              <w:r>
                <w:rPr>
                  <w:rFonts w:hint="eastAsia" w:ascii="仿宋_GB2312" w:hAnsi="宋体" w:eastAsia="仿宋_GB2312" w:cs="仿宋_GB2312"/>
                  <w:kern w:val="0"/>
                  <w:sz w:val="18"/>
                  <w:szCs w:val="18"/>
                  <w:highlight w:val="none"/>
                  <w:lang w:val="en-US" w:eastAsia="zh-CN" w:bidi="ar"/>
                </w:rPr>
                <w:t>8</w:t>
              </w:r>
            </w:ins>
          </w:p>
        </w:tc>
        <w:tc>
          <w:tcPr>
            <w:tcW w:w="1005" w:type="dxa"/>
            <w:vMerge w:val="restart"/>
            <w:tcBorders>
              <w:tl2br w:val="nil"/>
              <w:tr2bl w:val="nil"/>
            </w:tcBorders>
            <w:shd w:val="clear" w:color="auto" w:fill="auto"/>
            <w:tcMar>
              <w:top w:w="15" w:type="dxa"/>
              <w:left w:w="15" w:type="dxa"/>
              <w:right w:w="15" w:type="dxa"/>
            </w:tcMar>
            <w:vAlign w:val="center"/>
          </w:tcPr>
          <w:p w14:paraId="207FCC2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highlight w:val="none"/>
                <w:lang w:val="en-US" w:eastAsia="zh-CN"/>
              </w:rPr>
            </w:pPr>
            <w:r>
              <w:rPr>
                <w:sz w:val="18"/>
                <w:szCs w:val="18"/>
                <w:highlight w:val="none"/>
              </w:rPr>
              <w:fldChar w:fldCharType="begin"/>
            </w:r>
            <w:r>
              <w:rPr>
                <w:sz w:val="18"/>
                <w:szCs w:val="18"/>
                <w:highlight w:val="none"/>
              </w:rPr>
              <w:instrText xml:space="preserve"> HYPERLINK "https://baike.baidu.com/item/%E6%A1%A3%E6%A1%88%E7%AE%A1%E7%90%86/11003773?fromModule=lemma_inlink" \o "https://baike.baidu.com/item/%E6%A1%A3%E6%A1%88%E7%AE%A1%E7%90%86/11003773?fromModule=lemma_inlink" </w:instrText>
            </w:r>
            <w:r>
              <w:rPr>
                <w:sz w:val="18"/>
                <w:szCs w:val="18"/>
                <w:highlight w:val="none"/>
              </w:rPr>
              <w:fldChar w:fldCharType="separate"/>
            </w:r>
            <w:r>
              <w:rPr>
                <w:rStyle w:val="19"/>
                <w:rFonts w:hint="eastAsia" w:ascii="仿宋_GB2312" w:hAnsi="宋体" w:eastAsia="仿宋_GB2312" w:cs="仿宋_GB2312"/>
                <w:color w:val="auto"/>
                <w:sz w:val="18"/>
                <w:szCs w:val="18"/>
                <w:highlight w:val="none"/>
                <w:u w:val="none"/>
              </w:rPr>
              <w:t>安全培训机构未建立培训档案或者培训档案管理不规范，逾期未改正</w:t>
            </w:r>
            <w:r>
              <w:rPr>
                <w:rStyle w:val="19"/>
                <w:rFonts w:hint="eastAsia" w:ascii="仿宋_GB2312" w:hAnsi="宋体" w:eastAsia="仿宋_GB2312" w:cs="仿宋_GB2312"/>
                <w:color w:val="auto"/>
                <w:sz w:val="18"/>
                <w:szCs w:val="18"/>
                <w:highlight w:val="none"/>
                <w:u w:val="none"/>
              </w:rPr>
              <w:fldChar w:fldCharType="end"/>
            </w:r>
            <w:r>
              <w:rPr>
                <w:rStyle w:val="19"/>
                <w:rFonts w:hint="eastAsia" w:ascii="仿宋_GB2312" w:hAnsi="宋体" w:eastAsia="仿宋_GB2312" w:cs="仿宋_GB2312"/>
                <w:color w:val="auto"/>
                <w:sz w:val="18"/>
                <w:szCs w:val="18"/>
                <w:highlight w:val="none"/>
                <w:u w:val="none"/>
                <w:lang w:val="en-US" w:eastAsia="zh-CN"/>
              </w:rPr>
              <w:t>的</w:t>
            </w:r>
          </w:p>
        </w:tc>
        <w:tc>
          <w:tcPr>
            <w:tcW w:w="3667" w:type="dxa"/>
            <w:vMerge w:val="restart"/>
            <w:tcBorders>
              <w:tl2br w:val="nil"/>
              <w:tr2bl w:val="nil"/>
            </w:tcBorders>
            <w:shd w:val="clear" w:color="auto" w:fill="auto"/>
            <w:tcMar>
              <w:top w:w="15" w:type="dxa"/>
              <w:left w:w="15" w:type="dxa"/>
              <w:right w:w="15" w:type="dxa"/>
            </w:tcMar>
            <w:vAlign w:val="center"/>
          </w:tcPr>
          <w:p w14:paraId="763E79F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highlight w:val="none"/>
                <w:lang w:bidi="ar"/>
              </w:rPr>
            </w:pPr>
            <w:r>
              <w:rPr>
                <w:rFonts w:hint="eastAsia" w:ascii="仿宋_GB2312" w:hAnsi="宋体" w:eastAsia="仿宋_GB2312" w:cs="仿宋_GB2312"/>
                <w:kern w:val="0"/>
                <w:sz w:val="18"/>
                <w:szCs w:val="18"/>
                <w:highlight w:val="none"/>
                <w:lang w:bidi="ar"/>
              </w:rPr>
              <w:t>《安全生产培训管理办法》第六条第一款</w:t>
            </w:r>
            <w:r>
              <w:rPr>
                <w:rFonts w:ascii="仿宋_GB2312" w:hAnsi="宋体" w:eastAsia="仿宋_GB2312" w:cs="仿宋_GB2312"/>
                <w:kern w:val="0"/>
                <w:sz w:val="18"/>
                <w:szCs w:val="18"/>
                <w:highlight w:val="none"/>
                <w:lang w:bidi="ar"/>
              </w:rPr>
              <w:t xml:space="preserve"> </w:t>
            </w:r>
            <w:r>
              <w:rPr>
                <w:rFonts w:hint="eastAsia" w:ascii="仿宋_GB2312" w:hAnsi="宋体" w:eastAsia="仿宋_GB2312" w:cs="仿宋_GB2312"/>
                <w:kern w:val="0"/>
                <w:sz w:val="18"/>
                <w:szCs w:val="18"/>
                <w:highlight w:val="none"/>
                <w:lang w:bidi="ar"/>
              </w:rPr>
              <w:t>安全培训应当按照规定的安全培训大纲进行。</w:t>
            </w:r>
            <w:r>
              <w:rPr>
                <w:rFonts w:hint="eastAsia" w:ascii="仿宋_GB2312" w:hAnsi="宋体" w:eastAsia="仿宋_GB2312" w:cs="仿宋_GB2312"/>
                <w:kern w:val="0"/>
                <w:sz w:val="18"/>
                <w:szCs w:val="18"/>
                <w:highlight w:val="none"/>
                <w:lang w:eastAsia="zh-CN" w:bidi="ar"/>
              </w:rPr>
              <w:t xml:space="preserve">    </w:t>
            </w:r>
            <w:r>
              <w:rPr>
                <w:rFonts w:hint="eastAsia" w:ascii="仿宋_GB2312" w:hAnsi="宋体" w:eastAsia="仿宋_GB2312" w:cs="仿宋_GB2312"/>
                <w:kern w:val="0"/>
                <w:sz w:val="18"/>
                <w:szCs w:val="18"/>
                <w:highlight w:val="none"/>
                <w:lang w:bidi="ar"/>
              </w:rPr>
              <w:t xml:space="preserve">                 </w:t>
            </w:r>
          </w:p>
          <w:p w14:paraId="66ACE3D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第十五条 安全培训机构应当建立安全培训工作制度和人员培训档案。安全培训相关情况，应当如实记录并建档备查。</w:t>
            </w:r>
          </w:p>
        </w:tc>
        <w:tc>
          <w:tcPr>
            <w:tcW w:w="4082" w:type="dxa"/>
            <w:vMerge w:val="restart"/>
            <w:tcBorders>
              <w:tl2br w:val="nil"/>
              <w:tr2bl w:val="nil"/>
            </w:tcBorders>
            <w:shd w:val="clear" w:color="auto" w:fill="auto"/>
            <w:tcMar>
              <w:top w:w="15" w:type="dxa"/>
              <w:left w:w="15" w:type="dxa"/>
              <w:right w:w="15" w:type="dxa"/>
            </w:tcMar>
            <w:vAlign w:val="center"/>
          </w:tcPr>
          <w:p w14:paraId="0D6F340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《安全生产培训管理办法》第三十四条 安全培训机构有下列情形之一的，责令限期改正，处1万元以下的罚款；逾期未改正的，给予警告，处1万元以上3万元以下的罚款：（三）未建立培训档案或者培训档案管理不规范的</w:t>
            </w:r>
            <w:r>
              <w:rPr>
                <w:rFonts w:ascii="仿宋_GB2312" w:hAnsi="宋体" w:eastAsia="仿宋_GB2312" w:cs="仿宋_GB2312"/>
                <w:kern w:val="0"/>
                <w:sz w:val="18"/>
                <w:szCs w:val="18"/>
                <w:highlight w:val="none"/>
                <w:lang w:bidi="ar"/>
              </w:rPr>
              <w:t>。</w:t>
            </w:r>
          </w:p>
        </w:tc>
        <w:tc>
          <w:tcPr>
            <w:tcW w:w="459" w:type="dxa"/>
            <w:tcBorders>
              <w:tl2br w:val="nil"/>
              <w:tr2bl w:val="nil"/>
            </w:tcBorders>
            <w:shd w:val="clear" w:color="auto" w:fill="auto"/>
            <w:noWrap/>
            <w:tcMar>
              <w:top w:w="15" w:type="dxa"/>
              <w:left w:w="15" w:type="dxa"/>
              <w:right w:w="15" w:type="dxa"/>
            </w:tcMar>
            <w:vAlign w:val="center"/>
          </w:tcPr>
          <w:p w14:paraId="721E531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不予处罚</w:t>
            </w:r>
          </w:p>
        </w:tc>
        <w:tc>
          <w:tcPr>
            <w:tcW w:w="1829" w:type="dxa"/>
            <w:tcBorders>
              <w:tl2br w:val="nil"/>
              <w:tr2bl w:val="nil"/>
            </w:tcBorders>
            <w:shd w:val="clear" w:color="auto" w:fill="auto"/>
            <w:tcMar>
              <w:top w:w="15" w:type="dxa"/>
              <w:left w:w="15" w:type="dxa"/>
              <w:right w:w="15" w:type="dxa"/>
            </w:tcMar>
            <w:vAlign w:val="center"/>
          </w:tcPr>
          <w:p w14:paraId="128D769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AEB2FD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无</w:t>
            </w:r>
          </w:p>
        </w:tc>
      </w:tr>
      <w:tr w14:paraId="5CE5C2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062D66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D228C1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7860EA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1A62A7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84F182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213D589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64760C5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955DB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09A9A2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829097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45A578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1FE5CA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D622E9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663113B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BC3903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FF64B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862651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highlight w:val="none"/>
              </w:rPr>
            </w:pPr>
          </w:p>
        </w:tc>
        <w:tc>
          <w:tcPr>
            <w:tcW w:w="1005" w:type="dxa"/>
            <w:vMerge w:val="continue"/>
            <w:tcBorders>
              <w:tl2br w:val="nil"/>
              <w:tr2bl w:val="nil"/>
            </w:tcBorders>
            <w:shd w:val="clear" w:color="auto" w:fill="auto"/>
            <w:tcMar>
              <w:top w:w="15" w:type="dxa"/>
              <w:left w:w="15" w:type="dxa"/>
              <w:right w:w="15" w:type="dxa"/>
            </w:tcMar>
            <w:vAlign w:val="center"/>
          </w:tcPr>
          <w:p w14:paraId="28F1C12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3667" w:type="dxa"/>
            <w:vMerge w:val="continue"/>
            <w:tcBorders>
              <w:tl2br w:val="nil"/>
              <w:tr2bl w:val="nil"/>
            </w:tcBorders>
            <w:shd w:val="clear" w:color="auto" w:fill="auto"/>
            <w:tcMar>
              <w:top w:w="15" w:type="dxa"/>
              <w:left w:w="15" w:type="dxa"/>
              <w:right w:w="15" w:type="dxa"/>
            </w:tcMar>
            <w:vAlign w:val="center"/>
          </w:tcPr>
          <w:p w14:paraId="4B92909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082" w:type="dxa"/>
            <w:vMerge w:val="continue"/>
            <w:tcBorders>
              <w:tl2br w:val="nil"/>
              <w:tr2bl w:val="nil"/>
            </w:tcBorders>
            <w:shd w:val="clear" w:color="auto" w:fill="auto"/>
            <w:tcMar>
              <w:top w:w="15" w:type="dxa"/>
              <w:left w:w="15" w:type="dxa"/>
              <w:right w:w="15" w:type="dxa"/>
            </w:tcMar>
            <w:vAlign w:val="center"/>
          </w:tcPr>
          <w:p w14:paraId="20F5D6E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59" w:type="dxa"/>
            <w:tcBorders>
              <w:tl2br w:val="nil"/>
              <w:tr2bl w:val="nil"/>
            </w:tcBorders>
            <w:shd w:val="clear" w:color="auto" w:fill="auto"/>
            <w:noWrap/>
            <w:tcMar>
              <w:top w:w="15" w:type="dxa"/>
              <w:left w:w="15" w:type="dxa"/>
              <w:right w:w="15" w:type="dxa"/>
            </w:tcMar>
            <w:vAlign w:val="center"/>
          </w:tcPr>
          <w:p w14:paraId="5B313D1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从轻处罚</w:t>
            </w:r>
          </w:p>
        </w:tc>
        <w:tc>
          <w:tcPr>
            <w:tcW w:w="1829" w:type="dxa"/>
            <w:tcBorders>
              <w:tl2br w:val="nil"/>
              <w:tr2bl w:val="nil"/>
            </w:tcBorders>
            <w:shd w:val="clear" w:color="auto" w:fill="auto"/>
            <w:tcMar>
              <w:top w:w="15" w:type="dxa"/>
              <w:left w:w="15" w:type="dxa"/>
              <w:right w:w="15" w:type="dxa"/>
            </w:tcMar>
            <w:vAlign w:val="center"/>
          </w:tcPr>
          <w:p w14:paraId="2797206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val="en-US" w:eastAsia="zh-CN" w:bidi="ar"/>
              </w:rPr>
              <w:t>1项</w:t>
            </w:r>
            <w:r>
              <w:rPr>
                <w:rFonts w:hint="eastAsia" w:ascii="仿宋_GB2312" w:hAnsi="宋体" w:eastAsia="仿宋_GB2312" w:cs="仿宋_GB2312"/>
                <w:kern w:val="0"/>
                <w:sz w:val="18"/>
                <w:szCs w:val="18"/>
                <w:highlight w:val="none"/>
                <w:lang w:bidi="ar"/>
              </w:rPr>
              <w:t>培训档案管理不规范，逾期未改正的。</w:t>
            </w:r>
          </w:p>
        </w:tc>
        <w:tc>
          <w:tcPr>
            <w:tcW w:w="2655" w:type="dxa"/>
            <w:tcBorders>
              <w:tl2br w:val="nil"/>
              <w:tr2bl w:val="nil"/>
            </w:tcBorders>
            <w:shd w:val="clear" w:color="auto" w:fill="auto"/>
            <w:tcMar>
              <w:top w:w="15" w:type="dxa"/>
              <w:left w:w="15" w:type="dxa"/>
              <w:right w:w="15" w:type="dxa"/>
            </w:tcMar>
            <w:vAlign w:val="center"/>
          </w:tcPr>
          <w:p w14:paraId="5E8F9C6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给予警告，处1万元以上1.5万元以下的罚款。</w:t>
            </w:r>
          </w:p>
        </w:tc>
      </w:tr>
      <w:tr w14:paraId="22188D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75F4E0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highlight w:val="none"/>
              </w:rPr>
            </w:pPr>
          </w:p>
        </w:tc>
        <w:tc>
          <w:tcPr>
            <w:tcW w:w="1005" w:type="dxa"/>
            <w:vMerge w:val="continue"/>
            <w:tcBorders>
              <w:tl2br w:val="nil"/>
              <w:tr2bl w:val="nil"/>
            </w:tcBorders>
            <w:shd w:val="clear" w:color="auto" w:fill="auto"/>
            <w:tcMar>
              <w:top w:w="15" w:type="dxa"/>
              <w:left w:w="15" w:type="dxa"/>
              <w:right w:w="15" w:type="dxa"/>
            </w:tcMar>
            <w:vAlign w:val="center"/>
          </w:tcPr>
          <w:p w14:paraId="5C65DDA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3667" w:type="dxa"/>
            <w:vMerge w:val="continue"/>
            <w:tcBorders>
              <w:tl2br w:val="nil"/>
              <w:tr2bl w:val="nil"/>
            </w:tcBorders>
            <w:shd w:val="clear" w:color="auto" w:fill="auto"/>
            <w:tcMar>
              <w:top w:w="15" w:type="dxa"/>
              <w:left w:w="15" w:type="dxa"/>
              <w:right w:w="15" w:type="dxa"/>
            </w:tcMar>
            <w:vAlign w:val="center"/>
          </w:tcPr>
          <w:p w14:paraId="19E545B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082" w:type="dxa"/>
            <w:vMerge w:val="continue"/>
            <w:tcBorders>
              <w:tl2br w:val="nil"/>
              <w:tr2bl w:val="nil"/>
            </w:tcBorders>
            <w:shd w:val="clear" w:color="auto" w:fill="auto"/>
            <w:tcMar>
              <w:top w:w="15" w:type="dxa"/>
              <w:left w:w="15" w:type="dxa"/>
              <w:right w:w="15" w:type="dxa"/>
            </w:tcMar>
            <w:vAlign w:val="center"/>
          </w:tcPr>
          <w:p w14:paraId="71A3EA0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59" w:type="dxa"/>
            <w:tcBorders>
              <w:tl2br w:val="nil"/>
              <w:tr2bl w:val="nil"/>
            </w:tcBorders>
            <w:shd w:val="clear" w:color="auto" w:fill="auto"/>
            <w:noWrap/>
            <w:tcMar>
              <w:top w:w="15" w:type="dxa"/>
              <w:left w:w="15" w:type="dxa"/>
              <w:right w:w="15" w:type="dxa"/>
            </w:tcMar>
            <w:vAlign w:val="center"/>
          </w:tcPr>
          <w:p w14:paraId="4E7B96C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一般处罚</w:t>
            </w:r>
          </w:p>
        </w:tc>
        <w:tc>
          <w:tcPr>
            <w:tcW w:w="1829" w:type="dxa"/>
            <w:tcBorders>
              <w:tl2br w:val="nil"/>
              <w:tr2bl w:val="nil"/>
            </w:tcBorders>
            <w:shd w:val="clear" w:color="auto" w:fill="auto"/>
            <w:tcMar>
              <w:top w:w="15" w:type="dxa"/>
              <w:left w:w="15" w:type="dxa"/>
              <w:right w:w="15" w:type="dxa"/>
            </w:tcMar>
            <w:vAlign w:val="center"/>
          </w:tcPr>
          <w:p w14:paraId="7A2653B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2项培训档案管理不规范，涉及1项以上逾期未改正的。</w:t>
            </w:r>
          </w:p>
        </w:tc>
        <w:tc>
          <w:tcPr>
            <w:tcW w:w="2655" w:type="dxa"/>
            <w:tcBorders>
              <w:tl2br w:val="nil"/>
              <w:tr2bl w:val="nil"/>
            </w:tcBorders>
            <w:shd w:val="clear" w:color="auto" w:fill="auto"/>
            <w:tcMar>
              <w:top w:w="15" w:type="dxa"/>
              <w:left w:w="15" w:type="dxa"/>
              <w:right w:w="15" w:type="dxa"/>
            </w:tcMar>
            <w:vAlign w:val="center"/>
          </w:tcPr>
          <w:p w14:paraId="5120EA3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给予警告，处1.5万元以上</w:t>
            </w:r>
            <w:r>
              <w:rPr>
                <w:rFonts w:ascii="仿宋_GB2312" w:hAnsi="宋体" w:eastAsia="仿宋_GB2312" w:cs="仿宋_GB2312"/>
                <w:kern w:val="0"/>
                <w:sz w:val="18"/>
                <w:szCs w:val="18"/>
                <w:highlight w:val="none"/>
                <w:lang w:bidi="ar"/>
              </w:rPr>
              <w:t>2.5</w:t>
            </w:r>
            <w:r>
              <w:rPr>
                <w:rFonts w:hint="eastAsia" w:ascii="仿宋_GB2312" w:hAnsi="宋体" w:eastAsia="仿宋_GB2312" w:cs="仿宋_GB2312"/>
                <w:kern w:val="0"/>
                <w:sz w:val="18"/>
                <w:szCs w:val="18"/>
                <w:highlight w:val="none"/>
                <w:lang w:bidi="ar"/>
              </w:rPr>
              <w:t xml:space="preserve">万元以下的罚款。                  </w:t>
            </w:r>
          </w:p>
        </w:tc>
      </w:tr>
      <w:tr w14:paraId="586596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58B94C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highlight w:val="none"/>
              </w:rPr>
            </w:pPr>
          </w:p>
        </w:tc>
        <w:tc>
          <w:tcPr>
            <w:tcW w:w="1005" w:type="dxa"/>
            <w:vMerge w:val="continue"/>
            <w:tcBorders>
              <w:tl2br w:val="nil"/>
              <w:tr2bl w:val="nil"/>
            </w:tcBorders>
            <w:shd w:val="clear" w:color="auto" w:fill="auto"/>
            <w:tcMar>
              <w:top w:w="15" w:type="dxa"/>
              <w:left w:w="15" w:type="dxa"/>
              <w:right w:w="15" w:type="dxa"/>
            </w:tcMar>
            <w:vAlign w:val="center"/>
          </w:tcPr>
          <w:p w14:paraId="0FBCDE0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3667" w:type="dxa"/>
            <w:vMerge w:val="continue"/>
            <w:tcBorders>
              <w:tl2br w:val="nil"/>
              <w:tr2bl w:val="nil"/>
            </w:tcBorders>
            <w:shd w:val="clear" w:color="auto" w:fill="auto"/>
            <w:tcMar>
              <w:top w:w="15" w:type="dxa"/>
              <w:left w:w="15" w:type="dxa"/>
              <w:right w:w="15" w:type="dxa"/>
            </w:tcMar>
            <w:vAlign w:val="center"/>
          </w:tcPr>
          <w:p w14:paraId="3BE06D2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082" w:type="dxa"/>
            <w:vMerge w:val="continue"/>
            <w:tcBorders>
              <w:tl2br w:val="nil"/>
              <w:tr2bl w:val="nil"/>
            </w:tcBorders>
            <w:shd w:val="clear" w:color="auto" w:fill="auto"/>
            <w:tcMar>
              <w:top w:w="15" w:type="dxa"/>
              <w:left w:w="15" w:type="dxa"/>
              <w:right w:w="15" w:type="dxa"/>
            </w:tcMar>
            <w:vAlign w:val="center"/>
          </w:tcPr>
          <w:p w14:paraId="6DA00BE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59" w:type="dxa"/>
            <w:tcBorders>
              <w:tl2br w:val="nil"/>
              <w:tr2bl w:val="nil"/>
            </w:tcBorders>
            <w:shd w:val="clear" w:color="auto" w:fill="auto"/>
            <w:noWrap/>
            <w:tcMar>
              <w:top w:w="15" w:type="dxa"/>
              <w:left w:w="15" w:type="dxa"/>
              <w:right w:w="15" w:type="dxa"/>
            </w:tcMar>
            <w:vAlign w:val="center"/>
          </w:tcPr>
          <w:p w14:paraId="60649F2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从重处罚</w:t>
            </w:r>
          </w:p>
        </w:tc>
        <w:tc>
          <w:tcPr>
            <w:tcW w:w="1829" w:type="dxa"/>
            <w:tcBorders>
              <w:tl2br w:val="nil"/>
              <w:tr2bl w:val="nil"/>
            </w:tcBorders>
            <w:shd w:val="clear" w:color="auto" w:fill="auto"/>
            <w:tcMar>
              <w:top w:w="15" w:type="dxa"/>
              <w:left w:w="15" w:type="dxa"/>
              <w:right w:w="15" w:type="dxa"/>
            </w:tcMar>
            <w:vAlign w:val="center"/>
          </w:tcPr>
          <w:p w14:paraId="6C9F59C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未建立培训档案或者3项及以上培训档案管理不规范，涉及1项以上逾期未改正的。</w:t>
            </w:r>
          </w:p>
        </w:tc>
        <w:tc>
          <w:tcPr>
            <w:tcW w:w="2655" w:type="dxa"/>
            <w:tcBorders>
              <w:tl2br w:val="nil"/>
              <w:tr2bl w:val="nil"/>
            </w:tcBorders>
            <w:shd w:val="clear" w:color="auto" w:fill="auto"/>
            <w:tcMar>
              <w:top w:w="15" w:type="dxa"/>
              <w:left w:w="15" w:type="dxa"/>
              <w:right w:w="15" w:type="dxa"/>
            </w:tcMar>
            <w:vAlign w:val="center"/>
          </w:tcPr>
          <w:p w14:paraId="7026AD0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 xml:space="preserve">给予警告，处2.5万元以上3万元以下的罚款。                 </w:t>
            </w:r>
          </w:p>
        </w:tc>
      </w:tr>
      <w:tr w14:paraId="00AD7E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7229D23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z w:val="18"/>
                <w:szCs w:val="18"/>
                <w:highlight w:val="none"/>
                <w:lang w:eastAsia="zh-CN"/>
              </w:rPr>
            </w:pPr>
            <w:r>
              <w:rPr>
                <w:rFonts w:hint="eastAsia" w:ascii="仿宋_GB2312" w:hAnsi="宋体" w:eastAsia="仿宋_GB2312" w:cs="仿宋_GB2312"/>
                <w:kern w:val="0"/>
                <w:sz w:val="18"/>
                <w:szCs w:val="18"/>
                <w:highlight w:val="none"/>
                <w:lang w:bidi="ar"/>
              </w:rPr>
              <w:t>15</w:t>
            </w:r>
            <w:del w:id="2815" w:author="LV" w:date="2026-07-14T16:58:35Z">
              <w:r>
                <w:rPr>
                  <w:rFonts w:hint="default" w:ascii="仿宋_GB2312" w:hAnsi="宋体" w:eastAsia="仿宋_GB2312" w:cs="仿宋_GB2312"/>
                  <w:kern w:val="0"/>
                  <w:sz w:val="18"/>
                  <w:szCs w:val="18"/>
                  <w:highlight w:val="none"/>
                  <w:lang w:val="en-US" w:eastAsia="zh-CN" w:bidi="ar"/>
                </w:rPr>
                <w:delText>2</w:delText>
              </w:r>
            </w:del>
            <w:ins w:id="2816" w:author="LV" w:date="2026-07-14T16:58:35Z">
              <w:r>
                <w:rPr>
                  <w:rFonts w:hint="eastAsia" w:ascii="仿宋_GB2312" w:hAnsi="宋体" w:eastAsia="仿宋_GB2312" w:cs="仿宋_GB2312"/>
                  <w:kern w:val="0"/>
                  <w:sz w:val="18"/>
                  <w:szCs w:val="18"/>
                  <w:highlight w:val="none"/>
                  <w:lang w:val="en-US" w:eastAsia="zh-CN" w:bidi="ar"/>
                </w:rPr>
                <w:t>9</w:t>
              </w:r>
            </w:ins>
          </w:p>
        </w:tc>
        <w:tc>
          <w:tcPr>
            <w:tcW w:w="1005" w:type="dxa"/>
            <w:vMerge w:val="restart"/>
            <w:tcBorders>
              <w:tl2br w:val="nil"/>
              <w:tr2bl w:val="nil"/>
            </w:tcBorders>
            <w:shd w:val="clear" w:color="auto" w:fill="auto"/>
            <w:tcMar>
              <w:top w:w="15" w:type="dxa"/>
              <w:left w:w="15" w:type="dxa"/>
              <w:right w:w="15" w:type="dxa"/>
            </w:tcMar>
            <w:vAlign w:val="center"/>
          </w:tcPr>
          <w:p w14:paraId="2F7F571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highlight w:val="none"/>
                <w:lang w:val="en-US" w:eastAsia="zh-CN"/>
              </w:rPr>
            </w:pPr>
            <w:r>
              <w:rPr>
                <w:rFonts w:hint="eastAsia" w:ascii="仿宋_GB2312" w:hAnsi="宋体" w:eastAsia="仿宋_GB2312" w:cs="仿宋_GB2312"/>
                <w:kern w:val="0"/>
                <w:sz w:val="18"/>
                <w:szCs w:val="18"/>
                <w:highlight w:val="none"/>
                <w:lang w:bidi="ar"/>
              </w:rPr>
              <w:t>安全培训机构采取不正当竞争手段，故意贬低、诋毁其他安全培训机构</w:t>
            </w:r>
            <w:r>
              <w:rPr>
                <w:rFonts w:hint="eastAsia" w:ascii="仿宋_GB2312" w:hAnsi="宋体" w:eastAsia="仿宋_GB2312" w:cs="仿宋_GB2312"/>
                <w:kern w:val="0"/>
                <w:sz w:val="18"/>
                <w:szCs w:val="18"/>
                <w:highlight w:val="none"/>
                <w:lang w:val="en-US" w:eastAsia="zh-CN" w:bidi="ar"/>
              </w:rPr>
              <w:t>的</w:t>
            </w:r>
          </w:p>
        </w:tc>
        <w:tc>
          <w:tcPr>
            <w:tcW w:w="3667" w:type="dxa"/>
            <w:vMerge w:val="restart"/>
            <w:tcBorders>
              <w:tl2br w:val="nil"/>
              <w:tr2bl w:val="nil"/>
            </w:tcBorders>
            <w:shd w:val="clear" w:color="auto" w:fill="auto"/>
            <w:tcMar>
              <w:top w:w="15" w:type="dxa"/>
              <w:left w:w="15" w:type="dxa"/>
              <w:right w:w="15" w:type="dxa"/>
            </w:tcMar>
            <w:vAlign w:val="center"/>
          </w:tcPr>
          <w:p w14:paraId="75CBF88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《安全生产培训管理办法》第十六条 安全培训机构从事安全培训工作的收费，应当符合法律、法规的规定。法律、法规没有规定的，应当按照行业自律标准或者指导性标准收费。</w:t>
            </w:r>
          </w:p>
        </w:tc>
        <w:tc>
          <w:tcPr>
            <w:tcW w:w="4082" w:type="dxa"/>
            <w:vMerge w:val="restart"/>
            <w:tcBorders>
              <w:tl2br w:val="nil"/>
              <w:tr2bl w:val="nil"/>
            </w:tcBorders>
            <w:shd w:val="clear" w:color="auto" w:fill="auto"/>
            <w:tcMar>
              <w:top w:w="15" w:type="dxa"/>
              <w:left w:w="15" w:type="dxa"/>
              <w:right w:w="15" w:type="dxa"/>
            </w:tcMar>
            <w:vAlign w:val="center"/>
          </w:tcPr>
          <w:p w14:paraId="7D4C33C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《安全生产培训管理办法》第三十四条 安全培训机构有下列情形之一的，责令限期改正，处1万元以下的罚款；逾期未改正的，给予警告，处1万元以上3万元以下的罚款：安全培训机构采取不正当竞争手段，故意贬低、诋毁其他安全培训机构的，依照前款规定处罚。</w:t>
            </w:r>
          </w:p>
        </w:tc>
        <w:tc>
          <w:tcPr>
            <w:tcW w:w="459" w:type="dxa"/>
            <w:tcBorders>
              <w:tl2br w:val="nil"/>
              <w:tr2bl w:val="nil"/>
            </w:tcBorders>
            <w:shd w:val="clear" w:color="auto" w:fill="auto"/>
            <w:noWrap/>
            <w:tcMar>
              <w:top w:w="15" w:type="dxa"/>
              <w:left w:w="15" w:type="dxa"/>
              <w:right w:w="15" w:type="dxa"/>
            </w:tcMar>
            <w:vAlign w:val="center"/>
          </w:tcPr>
          <w:p w14:paraId="7C8BF6C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1AD23B6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26C436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40212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53386C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3B5561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BA7D87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4B89A4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3A218B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1B7630B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2103F576">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3524B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595159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87E75C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CE90DF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7F7406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655F74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10ED9E2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7EAC1F23">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80010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B168C9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49FCE0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0B1086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ECFF12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567EDC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1055643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安全培训机构采取不正当竞争手段，故意贬低、诋毁其他安全培训机构1家（次）的。</w:t>
            </w:r>
          </w:p>
        </w:tc>
        <w:tc>
          <w:tcPr>
            <w:tcW w:w="2655" w:type="dxa"/>
            <w:tcBorders>
              <w:tl2br w:val="nil"/>
              <w:tr2bl w:val="nil"/>
            </w:tcBorders>
            <w:shd w:val="clear" w:color="auto" w:fill="auto"/>
            <w:tcMar>
              <w:top w:w="15" w:type="dxa"/>
              <w:left w:w="15" w:type="dxa"/>
              <w:right w:w="15" w:type="dxa"/>
            </w:tcMar>
            <w:vAlign w:val="center"/>
          </w:tcPr>
          <w:p w14:paraId="15442B2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val="en-US" w:eastAsia="zh-CN" w:bidi="ar"/>
              </w:rPr>
              <w:t>处</w:t>
            </w:r>
            <w:r>
              <w:rPr>
                <w:rFonts w:hint="eastAsia" w:ascii="仿宋_GB2312" w:hAnsi="宋体" w:eastAsia="仿宋_GB2312" w:cs="仿宋_GB2312"/>
                <w:kern w:val="0"/>
                <w:sz w:val="18"/>
                <w:szCs w:val="18"/>
                <w:lang w:bidi="ar"/>
              </w:rPr>
              <w:t>3000元以下的罚款。</w:t>
            </w:r>
          </w:p>
        </w:tc>
      </w:tr>
      <w:tr w14:paraId="704E77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7A43D3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5F2F90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E50990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40AEC6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69D3AC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1F84696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安全培训机构采取不正当竞争手段，故意贬低、诋毁其他安全培训机构2家（次）的。</w:t>
            </w:r>
          </w:p>
        </w:tc>
        <w:tc>
          <w:tcPr>
            <w:tcW w:w="2655" w:type="dxa"/>
            <w:tcBorders>
              <w:tl2br w:val="nil"/>
              <w:tr2bl w:val="nil"/>
            </w:tcBorders>
            <w:shd w:val="clear" w:color="auto" w:fill="auto"/>
            <w:tcMar>
              <w:top w:w="15" w:type="dxa"/>
              <w:left w:w="15" w:type="dxa"/>
              <w:right w:w="15" w:type="dxa"/>
            </w:tcMar>
            <w:vAlign w:val="center"/>
          </w:tcPr>
          <w:p w14:paraId="07428F0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处3000元以上7000元以下的罚款。</w:t>
            </w:r>
          </w:p>
        </w:tc>
      </w:tr>
      <w:tr w14:paraId="0E82C8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41428B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39C154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57B5B7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74FF62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69ED28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7BA2475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安全培训机构采取不正当竞争手段，故意贬低、诋毁其他安全培训机构3家（次）以上的。</w:t>
            </w:r>
          </w:p>
        </w:tc>
        <w:tc>
          <w:tcPr>
            <w:tcW w:w="2655" w:type="dxa"/>
            <w:tcBorders>
              <w:tl2br w:val="nil"/>
              <w:tr2bl w:val="nil"/>
            </w:tcBorders>
            <w:shd w:val="clear" w:color="auto" w:fill="auto"/>
            <w:tcMar>
              <w:top w:w="15" w:type="dxa"/>
              <w:left w:w="15" w:type="dxa"/>
              <w:right w:w="15" w:type="dxa"/>
            </w:tcMar>
            <w:vAlign w:val="center"/>
          </w:tcPr>
          <w:p w14:paraId="3C216D6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处7000元以上1万元以下的罚款。</w:t>
            </w:r>
          </w:p>
        </w:tc>
      </w:tr>
      <w:tr w14:paraId="7E7C3C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320DEE7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highlight w:val="none"/>
                <w:lang w:val="en-US" w:eastAsia="zh-CN"/>
              </w:rPr>
            </w:pPr>
            <w:r>
              <w:rPr>
                <w:rFonts w:hint="eastAsia" w:ascii="仿宋_GB2312" w:hAnsi="宋体" w:eastAsia="仿宋_GB2312" w:cs="仿宋_GB2312"/>
                <w:kern w:val="0"/>
                <w:sz w:val="18"/>
                <w:szCs w:val="18"/>
                <w:highlight w:val="none"/>
                <w:lang w:bidi="ar"/>
              </w:rPr>
              <w:t>1</w:t>
            </w:r>
            <w:del w:id="2817" w:author="LV" w:date="2026-07-14T16:58:39Z">
              <w:r>
                <w:rPr>
                  <w:rFonts w:hint="default" w:ascii="仿宋_GB2312" w:hAnsi="宋体" w:eastAsia="仿宋_GB2312" w:cs="仿宋_GB2312"/>
                  <w:kern w:val="0"/>
                  <w:sz w:val="18"/>
                  <w:szCs w:val="18"/>
                  <w:highlight w:val="none"/>
                  <w:lang w:val="en-US" w:eastAsia="zh-CN" w:bidi="ar"/>
                </w:rPr>
                <w:delText>53</w:delText>
              </w:r>
            </w:del>
            <w:ins w:id="2818" w:author="LV" w:date="2026-07-14T16:58:39Z">
              <w:r>
                <w:rPr>
                  <w:rFonts w:hint="eastAsia" w:ascii="仿宋_GB2312" w:hAnsi="宋体" w:eastAsia="仿宋_GB2312" w:cs="仿宋_GB2312"/>
                  <w:kern w:val="0"/>
                  <w:sz w:val="18"/>
                  <w:szCs w:val="18"/>
                  <w:highlight w:val="none"/>
                  <w:lang w:val="en-US" w:eastAsia="zh-CN" w:bidi="ar"/>
                </w:rPr>
                <w:t>6</w:t>
              </w:r>
            </w:ins>
            <w:ins w:id="2819" w:author="LV" w:date="2026-07-14T16:58:40Z">
              <w:r>
                <w:rPr>
                  <w:rFonts w:hint="eastAsia" w:ascii="仿宋_GB2312" w:hAnsi="宋体" w:eastAsia="仿宋_GB2312" w:cs="仿宋_GB2312"/>
                  <w:kern w:val="0"/>
                  <w:sz w:val="18"/>
                  <w:szCs w:val="18"/>
                  <w:highlight w:val="none"/>
                  <w:lang w:val="en-US" w:eastAsia="zh-CN" w:bidi="ar"/>
                </w:rPr>
                <w:t>0</w:t>
              </w:r>
            </w:ins>
          </w:p>
        </w:tc>
        <w:tc>
          <w:tcPr>
            <w:tcW w:w="1005" w:type="dxa"/>
            <w:vMerge w:val="restart"/>
            <w:tcBorders>
              <w:tl2br w:val="nil"/>
              <w:tr2bl w:val="nil"/>
            </w:tcBorders>
            <w:shd w:val="clear" w:color="auto" w:fill="auto"/>
            <w:tcMar>
              <w:top w:w="15" w:type="dxa"/>
              <w:left w:w="15" w:type="dxa"/>
              <w:right w:w="15" w:type="dxa"/>
            </w:tcMar>
            <w:vAlign w:val="center"/>
          </w:tcPr>
          <w:p w14:paraId="5DC8CD6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highlight w:val="none"/>
                <w:lang w:val="en-US" w:eastAsia="zh-CN"/>
              </w:rPr>
            </w:pPr>
            <w:r>
              <w:rPr>
                <w:rFonts w:hint="eastAsia" w:ascii="仿宋_GB2312" w:hAnsi="宋体" w:eastAsia="仿宋_GB2312" w:cs="仿宋_GB2312"/>
                <w:kern w:val="0"/>
                <w:sz w:val="18"/>
                <w:szCs w:val="18"/>
                <w:highlight w:val="none"/>
                <w:lang w:bidi="ar"/>
              </w:rPr>
              <w:t>安全培训机构采取不正当竞争手段，故意贬低、诋毁其他安全培训机构，逾期未改正</w:t>
            </w:r>
            <w:r>
              <w:rPr>
                <w:rFonts w:hint="eastAsia" w:ascii="仿宋_GB2312" w:hAnsi="宋体" w:eastAsia="仿宋_GB2312" w:cs="仿宋_GB2312"/>
                <w:kern w:val="0"/>
                <w:sz w:val="18"/>
                <w:szCs w:val="18"/>
                <w:highlight w:val="none"/>
                <w:lang w:val="en-US" w:eastAsia="zh-CN" w:bidi="ar"/>
              </w:rPr>
              <w:t>的</w:t>
            </w:r>
          </w:p>
        </w:tc>
        <w:tc>
          <w:tcPr>
            <w:tcW w:w="3667" w:type="dxa"/>
            <w:vMerge w:val="restart"/>
            <w:tcBorders>
              <w:tl2br w:val="nil"/>
              <w:tr2bl w:val="nil"/>
            </w:tcBorders>
            <w:shd w:val="clear" w:color="auto" w:fill="auto"/>
            <w:tcMar>
              <w:top w:w="15" w:type="dxa"/>
              <w:left w:w="15" w:type="dxa"/>
              <w:right w:w="15" w:type="dxa"/>
            </w:tcMar>
            <w:vAlign w:val="center"/>
          </w:tcPr>
          <w:p w14:paraId="4657B00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《安全生产培训管理办法》第十六条 安全培训机构从事安全培训工作的收费，应当符合法律、法规的规定。法律、法规没有规定的，应当按照行业自律标准或者指导性标准收费。</w:t>
            </w:r>
          </w:p>
        </w:tc>
        <w:tc>
          <w:tcPr>
            <w:tcW w:w="4082" w:type="dxa"/>
            <w:vMerge w:val="restart"/>
            <w:tcBorders>
              <w:tl2br w:val="nil"/>
              <w:tr2bl w:val="nil"/>
            </w:tcBorders>
            <w:shd w:val="clear" w:color="auto" w:fill="auto"/>
            <w:tcMar>
              <w:top w:w="15" w:type="dxa"/>
              <w:left w:w="15" w:type="dxa"/>
              <w:right w:w="15" w:type="dxa"/>
            </w:tcMar>
            <w:vAlign w:val="center"/>
          </w:tcPr>
          <w:p w14:paraId="77DF653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《安全生产培训管理办法》第三十四条 安全培训机构有下列情形之一的，责令限期改正，处1万元以下的罚款；逾期未改正的，给予警告，处1万元以上3万元以下的罚款：安全培训机构采取不正当竞争手段，故意贬低、诋毁其他安全培训机构的，依照前款规定处罚。</w:t>
            </w:r>
          </w:p>
        </w:tc>
        <w:tc>
          <w:tcPr>
            <w:tcW w:w="459" w:type="dxa"/>
            <w:tcBorders>
              <w:tl2br w:val="nil"/>
              <w:tr2bl w:val="nil"/>
            </w:tcBorders>
            <w:shd w:val="clear" w:color="auto" w:fill="auto"/>
            <w:noWrap/>
            <w:tcMar>
              <w:top w:w="15" w:type="dxa"/>
              <w:left w:w="15" w:type="dxa"/>
              <w:right w:w="15" w:type="dxa"/>
            </w:tcMar>
            <w:vAlign w:val="center"/>
          </w:tcPr>
          <w:p w14:paraId="6D017D7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不予处罚</w:t>
            </w:r>
          </w:p>
        </w:tc>
        <w:tc>
          <w:tcPr>
            <w:tcW w:w="1829" w:type="dxa"/>
            <w:tcBorders>
              <w:tl2br w:val="nil"/>
              <w:tr2bl w:val="nil"/>
            </w:tcBorders>
            <w:shd w:val="clear" w:color="auto" w:fill="auto"/>
            <w:tcMar>
              <w:top w:w="15" w:type="dxa"/>
              <w:left w:w="15" w:type="dxa"/>
              <w:right w:w="15" w:type="dxa"/>
            </w:tcMar>
            <w:vAlign w:val="center"/>
          </w:tcPr>
          <w:p w14:paraId="71A6D9B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A11353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无</w:t>
            </w:r>
          </w:p>
        </w:tc>
      </w:tr>
      <w:tr w14:paraId="2127EB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71A265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58BCCD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731CEB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FE63DF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6894FC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33F6C3D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27A6222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0A6B5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F4DB1E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0C26B9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91EE2F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531034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E50E1F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744AC6F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A37887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2F6E1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A2D731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6B4965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A57F71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5DBA1A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5F81F6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22DF1B5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安全培训机构采取不正当竞争手段，故意贬低、诋毁其他安全培训机构1家（次），逾期未改正的。</w:t>
            </w:r>
          </w:p>
        </w:tc>
        <w:tc>
          <w:tcPr>
            <w:tcW w:w="2655" w:type="dxa"/>
            <w:tcBorders>
              <w:tl2br w:val="nil"/>
              <w:tr2bl w:val="nil"/>
            </w:tcBorders>
            <w:shd w:val="clear" w:color="auto" w:fill="auto"/>
            <w:tcMar>
              <w:top w:w="15" w:type="dxa"/>
              <w:left w:w="15" w:type="dxa"/>
              <w:right w:w="15" w:type="dxa"/>
            </w:tcMar>
            <w:vAlign w:val="center"/>
          </w:tcPr>
          <w:p w14:paraId="032FEC15">
            <w:pPr>
              <w:keepNext w:val="0"/>
              <w:keepLines w:val="0"/>
              <w:pageBreakBefore w:val="0"/>
              <w:widowControl w:val="0"/>
              <w:kinsoku/>
              <w:wordWrap/>
              <w:overflowPunct w:val="0"/>
              <w:topLinePunct w:val="0"/>
              <w:autoSpaceDE/>
              <w:autoSpaceDN/>
              <w:bidi w:val="0"/>
              <w:adjustRightInd/>
              <w:snapToGrid/>
              <w:spacing w:line="280" w:lineRule="exact"/>
              <w:jc w:val="both"/>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给予警告，处1万元以上1.5万元以下的罚款。</w:t>
            </w:r>
          </w:p>
        </w:tc>
      </w:tr>
      <w:tr w14:paraId="0C31E6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DE63FE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00FFCF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19474B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4664B8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6A4CF9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6751B65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安全培训机构采取不正当竞争手段，故意贬低、诋毁其他安全培训机构2家（次），逾期未改正1家（次）的。</w:t>
            </w:r>
          </w:p>
        </w:tc>
        <w:tc>
          <w:tcPr>
            <w:tcW w:w="2655" w:type="dxa"/>
            <w:tcBorders>
              <w:tl2br w:val="nil"/>
              <w:tr2bl w:val="nil"/>
            </w:tcBorders>
            <w:shd w:val="clear" w:color="auto" w:fill="auto"/>
            <w:tcMar>
              <w:top w:w="15" w:type="dxa"/>
              <w:left w:w="15" w:type="dxa"/>
              <w:right w:w="15" w:type="dxa"/>
            </w:tcMar>
            <w:vAlign w:val="center"/>
          </w:tcPr>
          <w:p w14:paraId="54BD023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给予警告，处</w:t>
            </w:r>
            <w:r>
              <w:rPr>
                <w:rFonts w:ascii="仿宋_GB2312" w:hAnsi="宋体" w:eastAsia="仿宋_GB2312" w:cs="仿宋_GB2312"/>
                <w:kern w:val="0"/>
                <w:sz w:val="18"/>
                <w:szCs w:val="18"/>
                <w:lang w:val="is-IS" w:bidi="ar"/>
              </w:rPr>
              <w:t>1.5万元以上2.5万元以下</w:t>
            </w:r>
            <w:r>
              <w:rPr>
                <w:rFonts w:hint="eastAsia" w:ascii="仿宋_GB2312" w:hAnsi="宋体" w:eastAsia="仿宋_GB2312" w:cs="仿宋_GB2312"/>
                <w:kern w:val="0"/>
                <w:sz w:val="18"/>
                <w:szCs w:val="18"/>
                <w:lang w:bidi="ar"/>
              </w:rPr>
              <w:t>的罚款。</w:t>
            </w:r>
          </w:p>
        </w:tc>
      </w:tr>
      <w:tr w14:paraId="4CF306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C71F2B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12E365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826A71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27F647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83A024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3A4CEB4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安全培训机构采取不正当竞争手段，故意贬低、诋毁其他安全培训机构3家（次）以上，逾期未改正1家（次）的。</w:t>
            </w:r>
          </w:p>
        </w:tc>
        <w:tc>
          <w:tcPr>
            <w:tcW w:w="2655" w:type="dxa"/>
            <w:tcBorders>
              <w:tl2br w:val="nil"/>
              <w:tr2bl w:val="nil"/>
            </w:tcBorders>
            <w:shd w:val="clear" w:color="auto" w:fill="auto"/>
            <w:tcMar>
              <w:top w:w="15" w:type="dxa"/>
              <w:left w:w="15" w:type="dxa"/>
              <w:right w:w="15" w:type="dxa"/>
            </w:tcMar>
            <w:vAlign w:val="center"/>
          </w:tcPr>
          <w:p w14:paraId="7BC8E83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给予警告，处2.5万元以上3万元以下的罚款。</w:t>
            </w:r>
          </w:p>
        </w:tc>
      </w:tr>
      <w:tr w14:paraId="5AA236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2D563F6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highlight w:val="none"/>
                <w:lang w:val="en-US" w:eastAsia="zh-CN"/>
              </w:rPr>
            </w:pPr>
            <w:r>
              <w:rPr>
                <w:rFonts w:hint="eastAsia" w:ascii="仿宋_GB2312" w:hAnsi="宋体" w:eastAsia="仿宋_GB2312" w:cs="仿宋_GB2312"/>
                <w:kern w:val="0"/>
                <w:sz w:val="18"/>
                <w:szCs w:val="18"/>
                <w:highlight w:val="none"/>
                <w:lang w:bidi="ar"/>
              </w:rPr>
              <w:t>1</w:t>
            </w:r>
            <w:del w:id="2820" w:author="LV" w:date="2026-07-14T16:58:48Z">
              <w:r>
                <w:rPr>
                  <w:rFonts w:hint="default" w:ascii="仿宋_GB2312" w:hAnsi="宋体" w:eastAsia="仿宋_GB2312" w:cs="仿宋_GB2312"/>
                  <w:kern w:val="0"/>
                  <w:sz w:val="18"/>
                  <w:szCs w:val="18"/>
                  <w:highlight w:val="none"/>
                  <w:lang w:val="en-US" w:bidi="ar"/>
                </w:rPr>
                <w:delText>5</w:delText>
              </w:r>
            </w:del>
            <w:del w:id="2821" w:author="LV" w:date="2026-07-14T16:58:48Z">
              <w:r>
                <w:rPr>
                  <w:rFonts w:hint="default" w:ascii="仿宋_GB2312" w:hAnsi="宋体" w:eastAsia="仿宋_GB2312" w:cs="仿宋_GB2312"/>
                  <w:kern w:val="0"/>
                  <w:sz w:val="18"/>
                  <w:szCs w:val="18"/>
                  <w:highlight w:val="none"/>
                  <w:lang w:val="en-US" w:eastAsia="zh-CN" w:bidi="ar"/>
                </w:rPr>
                <w:delText>4</w:delText>
              </w:r>
            </w:del>
            <w:ins w:id="2822" w:author="LV" w:date="2026-07-14T16:58:48Z">
              <w:r>
                <w:rPr>
                  <w:rFonts w:hint="eastAsia" w:ascii="仿宋_GB2312" w:hAnsi="宋体" w:eastAsia="仿宋_GB2312" w:cs="仿宋_GB2312"/>
                  <w:kern w:val="0"/>
                  <w:sz w:val="18"/>
                  <w:szCs w:val="18"/>
                  <w:highlight w:val="none"/>
                  <w:lang w:val="en-US" w:eastAsia="zh-CN" w:bidi="ar"/>
                </w:rPr>
                <w:t>61</w:t>
              </w:r>
            </w:ins>
          </w:p>
        </w:tc>
        <w:tc>
          <w:tcPr>
            <w:tcW w:w="1005" w:type="dxa"/>
            <w:vMerge w:val="restart"/>
            <w:tcBorders>
              <w:tl2br w:val="nil"/>
              <w:tr2bl w:val="nil"/>
            </w:tcBorders>
            <w:shd w:val="clear" w:color="auto" w:fill="auto"/>
            <w:tcMar>
              <w:top w:w="15" w:type="dxa"/>
              <w:left w:w="15" w:type="dxa"/>
              <w:right w:w="15" w:type="dxa"/>
            </w:tcMar>
            <w:vAlign w:val="center"/>
          </w:tcPr>
          <w:p w14:paraId="7858FEC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highlight w:val="none"/>
                <w:lang w:val="en-US" w:eastAsia="zh-CN"/>
              </w:rPr>
            </w:pPr>
            <w:r>
              <w:rPr>
                <w:rFonts w:hint="eastAsia" w:ascii="仿宋_GB2312" w:hAnsi="宋体" w:eastAsia="仿宋_GB2312" w:cs="仿宋_GB2312"/>
                <w:kern w:val="0"/>
                <w:sz w:val="18"/>
                <w:szCs w:val="18"/>
                <w:highlight w:val="none"/>
                <w:lang w:bidi="ar"/>
              </w:rPr>
              <w:t>煤矿从业人员安全培训的时间少于《生产经营单位安全培训规定》或者有关标准规定</w:t>
            </w:r>
            <w:r>
              <w:rPr>
                <w:rFonts w:hint="eastAsia" w:ascii="仿宋_GB2312" w:hAnsi="宋体" w:eastAsia="仿宋_GB2312" w:cs="仿宋_GB2312"/>
                <w:kern w:val="0"/>
                <w:sz w:val="18"/>
                <w:szCs w:val="18"/>
                <w:highlight w:val="none"/>
                <w:lang w:val="en-US" w:eastAsia="zh-CN" w:bidi="ar"/>
              </w:rPr>
              <w:t>的</w:t>
            </w:r>
          </w:p>
        </w:tc>
        <w:tc>
          <w:tcPr>
            <w:tcW w:w="3667" w:type="dxa"/>
            <w:vMerge w:val="restart"/>
            <w:tcBorders>
              <w:tl2br w:val="nil"/>
              <w:tr2bl w:val="nil"/>
            </w:tcBorders>
            <w:shd w:val="clear" w:color="auto" w:fill="auto"/>
            <w:tcMar>
              <w:top w:w="15" w:type="dxa"/>
              <w:left w:w="15" w:type="dxa"/>
              <w:right w:w="15" w:type="dxa"/>
            </w:tcMar>
            <w:vAlign w:val="center"/>
          </w:tcPr>
          <w:p w14:paraId="35C4A0D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highlight w:val="none"/>
                <w:lang w:bidi="ar"/>
              </w:rPr>
            </w:pPr>
            <w:r>
              <w:rPr>
                <w:rFonts w:hint="eastAsia" w:ascii="仿宋_GB2312" w:hAnsi="宋体" w:eastAsia="仿宋_GB2312" w:cs="仿宋_GB2312"/>
                <w:kern w:val="0"/>
                <w:sz w:val="18"/>
                <w:szCs w:val="18"/>
                <w:highlight w:val="none"/>
                <w:lang w:bidi="ar"/>
              </w:rPr>
              <w:t xml:space="preserve">《安全生产培训管理办法》第十一条 生产经营单位从业人员的培训内容和培训时间，应当符合《生产经营单位安全培训规定》和有关标准的规定。                           </w:t>
            </w:r>
          </w:p>
          <w:p w14:paraId="4798547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《煤矿安全培训规定》第三十五条第二款 煤矿企业其他从业人员的初次安全培训时间不得少于七十二学时，每年再培训的时间不得少于二十学时。</w:t>
            </w:r>
            <w:r>
              <w:rPr>
                <w:rFonts w:hint="eastAsia" w:ascii="仿宋_GB2312" w:hAnsi="宋体" w:eastAsia="仿宋_GB2312" w:cs="仿宋_GB2312"/>
                <w:kern w:val="0"/>
                <w:sz w:val="18"/>
                <w:szCs w:val="18"/>
                <w:highlight w:val="none"/>
                <w:lang w:bidi="ar"/>
              </w:rPr>
              <w:br w:type="textWrapping"/>
            </w:r>
            <w:r>
              <w:rPr>
                <w:rFonts w:hint="eastAsia" w:ascii="仿宋_GB2312" w:hAnsi="宋体" w:eastAsia="仿宋_GB2312" w:cs="仿宋_GB2312"/>
                <w:kern w:val="0"/>
                <w:sz w:val="18"/>
                <w:szCs w:val="18"/>
                <w:highlight w:val="none"/>
                <w:lang w:bidi="ar"/>
              </w:rPr>
              <w:t>《生产经营单位安全培训规定》第九条第二款 煤矿、非煤矿山、危险化学品、烟花爆竹、金属冶炼等生产经营单 位主要负责人和安全生产管理人员初次安全培训时间不得少于48学时，每年再培训时间不得少于16学时。</w:t>
            </w:r>
            <w:r>
              <w:rPr>
                <w:rFonts w:hint="eastAsia" w:ascii="仿宋_GB2312" w:hAnsi="宋体" w:eastAsia="仿宋_GB2312" w:cs="仿宋_GB2312"/>
                <w:kern w:val="0"/>
                <w:sz w:val="18"/>
                <w:szCs w:val="18"/>
                <w:highlight w:val="none"/>
                <w:lang w:bidi="ar"/>
              </w:rPr>
              <w:br w:type="textWrapping"/>
            </w:r>
            <w:r>
              <w:rPr>
                <w:rFonts w:hint="eastAsia" w:ascii="仿宋_GB2312" w:hAnsi="宋体" w:eastAsia="仿宋_GB2312" w:cs="仿宋_GB2312"/>
                <w:kern w:val="0"/>
                <w:sz w:val="18"/>
                <w:szCs w:val="18"/>
                <w:highlight w:val="none"/>
                <w:lang w:bidi="ar"/>
              </w:rPr>
              <w:t>第十三条第二款</w:t>
            </w:r>
            <w:r>
              <w:rPr>
                <w:rFonts w:hint="eastAsia" w:ascii="仿宋_GB2312" w:hAnsi="宋体" w:eastAsia="仿宋_GB2312" w:cs="仿宋_GB2312"/>
                <w:kern w:val="0"/>
                <w:sz w:val="18"/>
                <w:szCs w:val="18"/>
                <w:highlight w:val="none"/>
                <w:lang w:eastAsia="zh-CN" w:bidi="ar"/>
              </w:rPr>
              <w:t xml:space="preserve"> </w:t>
            </w:r>
            <w:r>
              <w:rPr>
                <w:rFonts w:hint="eastAsia" w:ascii="仿宋_GB2312" w:hAnsi="宋体" w:eastAsia="仿宋_GB2312" w:cs="仿宋_GB2312"/>
                <w:kern w:val="0"/>
                <w:sz w:val="18"/>
                <w:szCs w:val="18"/>
                <w:highlight w:val="none"/>
                <w:lang w:bidi="ar"/>
              </w:rPr>
              <w:t>煤矿、非煤矿山、危险化学品、烟花爆竹、金属冶炼等生产经营单位新上岗的从业人员安全培训时间不得少于72学时，每年再培训的时间不得少于20学时。</w:t>
            </w:r>
          </w:p>
        </w:tc>
        <w:tc>
          <w:tcPr>
            <w:tcW w:w="4082" w:type="dxa"/>
            <w:vMerge w:val="restart"/>
            <w:tcBorders>
              <w:tl2br w:val="nil"/>
              <w:tr2bl w:val="nil"/>
            </w:tcBorders>
            <w:shd w:val="clear" w:color="auto" w:fill="auto"/>
            <w:tcMar>
              <w:top w:w="15" w:type="dxa"/>
              <w:left w:w="15" w:type="dxa"/>
              <w:right w:w="15" w:type="dxa"/>
            </w:tcMar>
            <w:vAlign w:val="center"/>
          </w:tcPr>
          <w:p w14:paraId="3EFCB34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《安全生产培训管理办法》第三十六条 生产经营单位有下列情形之一的，责令改正，处3万元以下的罚款：（一）从业人员安全培训的时间少于《生产经营单位安全培训规定》或者有关标准规定的。</w:t>
            </w:r>
          </w:p>
        </w:tc>
        <w:tc>
          <w:tcPr>
            <w:tcW w:w="459" w:type="dxa"/>
            <w:tcBorders>
              <w:tl2br w:val="nil"/>
              <w:tr2bl w:val="nil"/>
            </w:tcBorders>
            <w:shd w:val="clear" w:color="auto" w:fill="auto"/>
            <w:noWrap/>
            <w:tcMar>
              <w:top w:w="15" w:type="dxa"/>
              <w:left w:w="15" w:type="dxa"/>
              <w:right w:w="15" w:type="dxa"/>
            </w:tcMar>
            <w:vAlign w:val="center"/>
          </w:tcPr>
          <w:p w14:paraId="06E13AE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不予处罚</w:t>
            </w:r>
          </w:p>
        </w:tc>
        <w:tc>
          <w:tcPr>
            <w:tcW w:w="1829" w:type="dxa"/>
            <w:tcBorders>
              <w:tl2br w:val="nil"/>
              <w:tr2bl w:val="nil"/>
            </w:tcBorders>
            <w:shd w:val="clear" w:color="auto" w:fill="auto"/>
            <w:tcMar>
              <w:top w:w="15" w:type="dxa"/>
              <w:left w:w="15" w:type="dxa"/>
              <w:right w:w="15" w:type="dxa"/>
            </w:tcMar>
            <w:vAlign w:val="center"/>
          </w:tcPr>
          <w:p w14:paraId="0A2AD32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316D7B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无</w:t>
            </w:r>
          </w:p>
        </w:tc>
      </w:tr>
      <w:tr w14:paraId="121893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2CF6F7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highlight w:val="none"/>
              </w:rPr>
            </w:pPr>
          </w:p>
        </w:tc>
        <w:tc>
          <w:tcPr>
            <w:tcW w:w="1005" w:type="dxa"/>
            <w:vMerge w:val="continue"/>
            <w:tcBorders>
              <w:tl2br w:val="nil"/>
              <w:tr2bl w:val="nil"/>
            </w:tcBorders>
            <w:shd w:val="clear" w:color="auto" w:fill="auto"/>
            <w:tcMar>
              <w:top w:w="15" w:type="dxa"/>
              <w:left w:w="15" w:type="dxa"/>
              <w:right w:w="15" w:type="dxa"/>
            </w:tcMar>
            <w:vAlign w:val="center"/>
          </w:tcPr>
          <w:p w14:paraId="3448EFF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3667" w:type="dxa"/>
            <w:vMerge w:val="continue"/>
            <w:tcBorders>
              <w:tl2br w:val="nil"/>
              <w:tr2bl w:val="nil"/>
            </w:tcBorders>
            <w:shd w:val="clear" w:color="auto" w:fill="auto"/>
            <w:tcMar>
              <w:top w:w="15" w:type="dxa"/>
              <w:left w:w="15" w:type="dxa"/>
              <w:right w:w="15" w:type="dxa"/>
            </w:tcMar>
            <w:vAlign w:val="center"/>
          </w:tcPr>
          <w:p w14:paraId="7ACB37B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082" w:type="dxa"/>
            <w:vMerge w:val="continue"/>
            <w:tcBorders>
              <w:tl2br w:val="nil"/>
              <w:tr2bl w:val="nil"/>
            </w:tcBorders>
            <w:shd w:val="clear" w:color="auto" w:fill="auto"/>
            <w:tcMar>
              <w:top w:w="15" w:type="dxa"/>
              <w:left w:w="15" w:type="dxa"/>
              <w:right w:w="15" w:type="dxa"/>
            </w:tcMar>
            <w:vAlign w:val="center"/>
          </w:tcPr>
          <w:p w14:paraId="67968F9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59" w:type="dxa"/>
            <w:tcBorders>
              <w:tl2br w:val="nil"/>
              <w:tr2bl w:val="nil"/>
            </w:tcBorders>
            <w:shd w:val="clear" w:color="auto" w:fill="auto"/>
            <w:noWrap/>
            <w:tcMar>
              <w:top w:w="15" w:type="dxa"/>
              <w:left w:w="15" w:type="dxa"/>
              <w:right w:w="15" w:type="dxa"/>
            </w:tcMar>
            <w:vAlign w:val="center"/>
          </w:tcPr>
          <w:p w14:paraId="4ADFD4A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免予处罚</w:t>
            </w:r>
          </w:p>
        </w:tc>
        <w:tc>
          <w:tcPr>
            <w:tcW w:w="1829" w:type="dxa"/>
            <w:tcBorders>
              <w:tl2br w:val="nil"/>
              <w:tr2bl w:val="nil"/>
            </w:tcBorders>
            <w:shd w:val="clear" w:color="auto" w:fill="auto"/>
            <w:tcMar>
              <w:top w:w="15" w:type="dxa"/>
              <w:left w:w="15" w:type="dxa"/>
              <w:right w:w="15" w:type="dxa"/>
            </w:tcMar>
            <w:vAlign w:val="center"/>
          </w:tcPr>
          <w:p w14:paraId="4F5C361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不适用</w:t>
            </w:r>
          </w:p>
        </w:tc>
        <w:tc>
          <w:tcPr>
            <w:tcW w:w="2655" w:type="dxa"/>
            <w:tcBorders>
              <w:tl2br w:val="nil"/>
              <w:tr2bl w:val="nil"/>
            </w:tcBorders>
            <w:shd w:val="clear" w:color="auto" w:fill="auto"/>
            <w:tcMar>
              <w:top w:w="15" w:type="dxa"/>
              <w:left w:w="15" w:type="dxa"/>
              <w:right w:w="15" w:type="dxa"/>
            </w:tcMar>
            <w:vAlign w:val="center"/>
          </w:tcPr>
          <w:p w14:paraId="06967B3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无</w:t>
            </w:r>
          </w:p>
        </w:tc>
      </w:tr>
      <w:tr w14:paraId="1093B9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FA7E64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highlight w:val="none"/>
              </w:rPr>
            </w:pPr>
          </w:p>
        </w:tc>
        <w:tc>
          <w:tcPr>
            <w:tcW w:w="1005" w:type="dxa"/>
            <w:vMerge w:val="continue"/>
            <w:tcBorders>
              <w:tl2br w:val="nil"/>
              <w:tr2bl w:val="nil"/>
            </w:tcBorders>
            <w:shd w:val="clear" w:color="auto" w:fill="auto"/>
            <w:tcMar>
              <w:top w:w="15" w:type="dxa"/>
              <w:left w:w="15" w:type="dxa"/>
              <w:right w:w="15" w:type="dxa"/>
            </w:tcMar>
            <w:vAlign w:val="center"/>
          </w:tcPr>
          <w:p w14:paraId="7A8C0AC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3667" w:type="dxa"/>
            <w:vMerge w:val="continue"/>
            <w:tcBorders>
              <w:tl2br w:val="nil"/>
              <w:tr2bl w:val="nil"/>
            </w:tcBorders>
            <w:shd w:val="clear" w:color="auto" w:fill="auto"/>
            <w:tcMar>
              <w:top w:w="15" w:type="dxa"/>
              <w:left w:w="15" w:type="dxa"/>
              <w:right w:w="15" w:type="dxa"/>
            </w:tcMar>
            <w:vAlign w:val="center"/>
          </w:tcPr>
          <w:p w14:paraId="000B75F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082" w:type="dxa"/>
            <w:vMerge w:val="continue"/>
            <w:tcBorders>
              <w:tl2br w:val="nil"/>
              <w:tr2bl w:val="nil"/>
            </w:tcBorders>
            <w:shd w:val="clear" w:color="auto" w:fill="auto"/>
            <w:tcMar>
              <w:top w:w="15" w:type="dxa"/>
              <w:left w:w="15" w:type="dxa"/>
              <w:right w:w="15" w:type="dxa"/>
            </w:tcMar>
            <w:vAlign w:val="center"/>
          </w:tcPr>
          <w:p w14:paraId="59E6657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59" w:type="dxa"/>
            <w:tcBorders>
              <w:tl2br w:val="nil"/>
              <w:tr2bl w:val="nil"/>
            </w:tcBorders>
            <w:shd w:val="clear" w:color="auto" w:fill="auto"/>
            <w:noWrap/>
            <w:tcMar>
              <w:top w:w="15" w:type="dxa"/>
              <w:left w:w="15" w:type="dxa"/>
              <w:right w:w="15" w:type="dxa"/>
            </w:tcMar>
            <w:vAlign w:val="center"/>
          </w:tcPr>
          <w:p w14:paraId="0080BAC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减轻处罚</w:t>
            </w:r>
          </w:p>
        </w:tc>
        <w:tc>
          <w:tcPr>
            <w:tcW w:w="1829" w:type="dxa"/>
            <w:tcBorders>
              <w:tl2br w:val="nil"/>
              <w:tr2bl w:val="nil"/>
            </w:tcBorders>
            <w:shd w:val="clear" w:color="auto" w:fill="auto"/>
            <w:tcMar>
              <w:top w:w="15" w:type="dxa"/>
              <w:left w:w="15" w:type="dxa"/>
              <w:right w:w="15" w:type="dxa"/>
            </w:tcMar>
            <w:vAlign w:val="center"/>
          </w:tcPr>
          <w:p w14:paraId="4532383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D0499DF">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无</w:t>
            </w:r>
          </w:p>
        </w:tc>
      </w:tr>
      <w:tr w14:paraId="33B15D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1673CA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highlight w:val="none"/>
              </w:rPr>
            </w:pPr>
          </w:p>
        </w:tc>
        <w:tc>
          <w:tcPr>
            <w:tcW w:w="1005" w:type="dxa"/>
            <w:vMerge w:val="continue"/>
            <w:tcBorders>
              <w:tl2br w:val="nil"/>
              <w:tr2bl w:val="nil"/>
            </w:tcBorders>
            <w:shd w:val="clear" w:color="auto" w:fill="auto"/>
            <w:tcMar>
              <w:top w:w="15" w:type="dxa"/>
              <w:left w:w="15" w:type="dxa"/>
              <w:right w:w="15" w:type="dxa"/>
            </w:tcMar>
            <w:vAlign w:val="center"/>
          </w:tcPr>
          <w:p w14:paraId="006AA9A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3667" w:type="dxa"/>
            <w:vMerge w:val="continue"/>
            <w:tcBorders>
              <w:tl2br w:val="nil"/>
              <w:tr2bl w:val="nil"/>
            </w:tcBorders>
            <w:shd w:val="clear" w:color="auto" w:fill="auto"/>
            <w:tcMar>
              <w:top w:w="15" w:type="dxa"/>
              <w:left w:w="15" w:type="dxa"/>
              <w:right w:w="15" w:type="dxa"/>
            </w:tcMar>
            <w:vAlign w:val="center"/>
          </w:tcPr>
          <w:p w14:paraId="4F5F93A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082" w:type="dxa"/>
            <w:vMerge w:val="continue"/>
            <w:tcBorders>
              <w:tl2br w:val="nil"/>
              <w:tr2bl w:val="nil"/>
            </w:tcBorders>
            <w:shd w:val="clear" w:color="auto" w:fill="auto"/>
            <w:tcMar>
              <w:top w:w="15" w:type="dxa"/>
              <w:left w:w="15" w:type="dxa"/>
              <w:right w:w="15" w:type="dxa"/>
            </w:tcMar>
            <w:vAlign w:val="center"/>
          </w:tcPr>
          <w:p w14:paraId="0180E02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59" w:type="dxa"/>
            <w:tcBorders>
              <w:tl2br w:val="nil"/>
              <w:tr2bl w:val="nil"/>
            </w:tcBorders>
            <w:shd w:val="clear" w:color="auto" w:fill="auto"/>
            <w:noWrap/>
            <w:tcMar>
              <w:top w:w="15" w:type="dxa"/>
              <w:left w:w="15" w:type="dxa"/>
              <w:right w:w="15" w:type="dxa"/>
            </w:tcMar>
            <w:vAlign w:val="center"/>
          </w:tcPr>
          <w:p w14:paraId="70B60E1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从轻处罚</w:t>
            </w:r>
          </w:p>
        </w:tc>
        <w:tc>
          <w:tcPr>
            <w:tcW w:w="1829" w:type="dxa"/>
            <w:tcBorders>
              <w:tl2br w:val="nil"/>
              <w:tr2bl w:val="nil"/>
            </w:tcBorders>
            <w:shd w:val="clear" w:color="auto" w:fill="auto"/>
            <w:tcMar>
              <w:top w:w="15" w:type="dxa"/>
              <w:left w:w="15" w:type="dxa"/>
              <w:right w:w="15" w:type="dxa"/>
            </w:tcMar>
            <w:vAlign w:val="center"/>
          </w:tcPr>
          <w:p w14:paraId="233647D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煤矿从业人员安全培训的时间少于《生产经营单位安全培训规定》或者有关标准规定的，涉及3人（次）以下的。</w:t>
            </w:r>
          </w:p>
        </w:tc>
        <w:tc>
          <w:tcPr>
            <w:tcW w:w="2655" w:type="dxa"/>
            <w:tcBorders>
              <w:tl2br w:val="nil"/>
              <w:tr2bl w:val="nil"/>
            </w:tcBorders>
            <w:shd w:val="clear" w:color="auto" w:fill="auto"/>
            <w:tcMar>
              <w:top w:w="15" w:type="dxa"/>
              <w:left w:w="15" w:type="dxa"/>
              <w:right w:w="15" w:type="dxa"/>
            </w:tcMar>
            <w:vAlign w:val="center"/>
          </w:tcPr>
          <w:p w14:paraId="261C59A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处1万元以下的罚款。</w:t>
            </w:r>
          </w:p>
        </w:tc>
      </w:tr>
      <w:tr w14:paraId="4FDD0D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497169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highlight w:val="none"/>
              </w:rPr>
            </w:pPr>
          </w:p>
        </w:tc>
        <w:tc>
          <w:tcPr>
            <w:tcW w:w="1005" w:type="dxa"/>
            <w:vMerge w:val="continue"/>
            <w:tcBorders>
              <w:tl2br w:val="nil"/>
              <w:tr2bl w:val="nil"/>
            </w:tcBorders>
            <w:shd w:val="clear" w:color="auto" w:fill="auto"/>
            <w:tcMar>
              <w:top w:w="15" w:type="dxa"/>
              <w:left w:w="15" w:type="dxa"/>
              <w:right w:w="15" w:type="dxa"/>
            </w:tcMar>
            <w:vAlign w:val="center"/>
          </w:tcPr>
          <w:p w14:paraId="735ABE8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3667" w:type="dxa"/>
            <w:vMerge w:val="continue"/>
            <w:tcBorders>
              <w:tl2br w:val="nil"/>
              <w:tr2bl w:val="nil"/>
            </w:tcBorders>
            <w:shd w:val="clear" w:color="auto" w:fill="auto"/>
            <w:tcMar>
              <w:top w:w="15" w:type="dxa"/>
              <w:left w:w="15" w:type="dxa"/>
              <w:right w:w="15" w:type="dxa"/>
            </w:tcMar>
            <w:vAlign w:val="center"/>
          </w:tcPr>
          <w:p w14:paraId="0B06AE8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082" w:type="dxa"/>
            <w:vMerge w:val="continue"/>
            <w:tcBorders>
              <w:tl2br w:val="nil"/>
              <w:tr2bl w:val="nil"/>
            </w:tcBorders>
            <w:shd w:val="clear" w:color="auto" w:fill="auto"/>
            <w:tcMar>
              <w:top w:w="15" w:type="dxa"/>
              <w:left w:w="15" w:type="dxa"/>
              <w:right w:w="15" w:type="dxa"/>
            </w:tcMar>
            <w:vAlign w:val="center"/>
          </w:tcPr>
          <w:p w14:paraId="72D2428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59" w:type="dxa"/>
            <w:tcBorders>
              <w:tl2br w:val="nil"/>
              <w:tr2bl w:val="nil"/>
            </w:tcBorders>
            <w:shd w:val="clear" w:color="auto" w:fill="auto"/>
            <w:noWrap/>
            <w:tcMar>
              <w:top w:w="15" w:type="dxa"/>
              <w:left w:w="15" w:type="dxa"/>
              <w:right w:w="15" w:type="dxa"/>
            </w:tcMar>
            <w:vAlign w:val="center"/>
          </w:tcPr>
          <w:p w14:paraId="2B1D402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一般处罚</w:t>
            </w:r>
          </w:p>
        </w:tc>
        <w:tc>
          <w:tcPr>
            <w:tcW w:w="1829" w:type="dxa"/>
            <w:tcBorders>
              <w:tl2br w:val="nil"/>
              <w:tr2bl w:val="nil"/>
            </w:tcBorders>
            <w:shd w:val="clear" w:color="auto" w:fill="auto"/>
            <w:tcMar>
              <w:top w:w="15" w:type="dxa"/>
              <w:left w:w="15" w:type="dxa"/>
              <w:right w:w="15" w:type="dxa"/>
            </w:tcMar>
            <w:vAlign w:val="center"/>
          </w:tcPr>
          <w:p w14:paraId="43D53A2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煤矿从业人员安全培训的时间少于《生产经营单位安全培训规定》或者有关标准规定的，涉及3人（次）以上5人（次）以下的。</w:t>
            </w:r>
          </w:p>
        </w:tc>
        <w:tc>
          <w:tcPr>
            <w:tcW w:w="2655" w:type="dxa"/>
            <w:tcBorders>
              <w:tl2br w:val="nil"/>
              <w:tr2bl w:val="nil"/>
            </w:tcBorders>
            <w:shd w:val="clear" w:color="auto" w:fill="auto"/>
            <w:tcMar>
              <w:top w:w="15" w:type="dxa"/>
              <w:left w:w="15" w:type="dxa"/>
              <w:right w:w="15" w:type="dxa"/>
            </w:tcMar>
            <w:vAlign w:val="center"/>
          </w:tcPr>
          <w:p w14:paraId="1871C70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处1万元以上2.5万元以下的罚款。</w:t>
            </w:r>
          </w:p>
        </w:tc>
      </w:tr>
      <w:tr w14:paraId="036353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138DDB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highlight w:val="none"/>
              </w:rPr>
            </w:pPr>
          </w:p>
        </w:tc>
        <w:tc>
          <w:tcPr>
            <w:tcW w:w="1005" w:type="dxa"/>
            <w:vMerge w:val="continue"/>
            <w:tcBorders>
              <w:tl2br w:val="nil"/>
              <w:tr2bl w:val="nil"/>
            </w:tcBorders>
            <w:shd w:val="clear" w:color="auto" w:fill="auto"/>
            <w:tcMar>
              <w:top w:w="15" w:type="dxa"/>
              <w:left w:w="15" w:type="dxa"/>
              <w:right w:w="15" w:type="dxa"/>
            </w:tcMar>
            <w:vAlign w:val="center"/>
          </w:tcPr>
          <w:p w14:paraId="4CE8E01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3667" w:type="dxa"/>
            <w:vMerge w:val="continue"/>
            <w:tcBorders>
              <w:tl2br w:val="nil"/>
              <w:tr2bl w:val="nil"/>
            </w:tcBorders>
            <w:shd w:val="clear" w:color="auto" w:fill="auto"/>
            <w:tcMar>
              <w:top w:w="15" w:type="dxa"/>
              <w:left w:w="15" w:type="dxa"/>
              <w:right w:w="15" w:type="dxa"/>
            </w:tcMar>
            <w:vAlign w:val="center"/>
          </w:tcPr>
          <w:p w14:paraId="397C5FA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082" w:type="dxa"/>
            <w:vMerge w:val="continue"/>
            <w:tcBorders>
              <w:tl2br w:val="nil"/>
              <w:tr2bl w:val="nil"/>
            </w:tcBorders>
            <w:shd w:val="clear" w:color="auto" w:fill="auto"/>
            <w:tcMar>
              <w:top w:w="15" w:type="dxa"/>
              <w:left w:w="15" w:type="dxa"/>
              <w:right w:w="15" w:type="dxa"/>
            </w:tcMar>
            <w:vAlign w:val="center"/>
          </w:tcPr>
          <w:p w14:paraId="65566C7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59" w:type="dxa"/>
            <w:tcBorders>
              <w:tl2br w:val="nil"/>
              <w:tr2bl w:val="nil"/>
            </w:tcBorders>
            <w:shd w:val="clear" w:color="auto" w:fill="auto"/>
            <w:noWrap/>
            <w:tcMar>
              <w:top w:w="15" w:type="dxa"/>
              <w:left w:w="15" w:type="dxa"/>
              <w:right w:w="15" w:type="dxa"/>
            </w:tcMar>
            <w:vAlign w:val="center"/>
          </w:tcPr>
          <w:p w14:paraId="508464A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从重处罚</w:t>
            </w:r>
          </w:p>
        </w:tc>
        <w:tc>
          <w:tcPr>
            <w:tcW w:w="1829" w:type="dxa"/>
            <w:tcBorders>
              <w:tl2br w:val="nil"/>
              <w:tr2bl w:val="nil"/>
            </w:tcBorders>
            <w:shd w:val="clear" w:color="auto" w:fill="auto"/>
            <w:tcMar>
              <w:top w:w="15" w:type="dxa"/>
              <w:left w:w="15" w:type="dxa"/>
              <w:right w:w="15" w:type="dxa"/>
            </w:tcMar>
            <w:vAlign w:val="center"/>
          </w:tcPr>
          <w:p w14:paraId="156C851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煤矿从业人员安全培训的时间少于《生产经营单位安全培训规定》或者有关标准规定的，涉及5人（次）上的。</w:t>
            </w:r>
          </w:p>
        </w:tc>
        <w:tc>
          <w:tcPr>
            <w:tcW w:w="2655" w:type="dxa"/>
            <w:tcBorders>
              <w:tl2br w:val="nil"/>
              <w:tr2bl w:val="nil"/>
            </w:tcBorders>
            <w:shd w:val="clear" w:color="auto" w:fill="auto"/>
            <w:tcMar>
              <w:top w:w="15" w:type="dxa"/>
              <w:left w:w="15" w:type="dxa"/>
              <w:right w:w="15" w:type="dxa"/>
            </w:tcMar>
            <w:vAlign w:val="center"/>
          </w:tcPr>
          <w:p w14:paraId="41F405C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处2.5万元以上3万元以下的罚款。</w:t>
            </w:r>
          </w:p>
        </w:tc>
      </w:tr>
      <w:tr w14:paraId="0269C6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2C2D252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highlight w:val="none"/>
                <w:lang w:val="en-US" w:eastAsia="zh-CN"/>
              </w:rPr>
            </w:pPr>
            <w:r>
              <w:rPr>
                <w:rFonts w:hint="eastAsia" w:ascii="仿宋_GB2312" w:hAnsi="宋体" w:eastAsia="仿宋_GB2312" w:cs="仿宋_GB2312"/>
                <w:kern w:val="0"/>
                <w:sz w:val="18"/>
                <w:szCs w:val="18"/>
                <w:highlight w:val="none"/>
                <w:lang w:bidi="ar"/>
              </w:rPr>
              <w:t>1</w:t>
            </w:r>
            <w:del w:id="2823" w:author="LV" w:date="2026-07-14T16:58:52Z">
              <w:r>
                <w:rPr>
                  <w:rFonts w:hint="default" w:ascii="仿宋_GB2312" w:hAnsi="宋体" w:eastAsia="仿宋_GB2312" w:cs="仿宋_GB2312"/>
                  <w:kern w:val="0"/>
                  <w:sz w:val="18"/>
                  <w:szCs w:val="18"/>
                  <w:highlight w:val="none"/>
                  <w:lang w:val="en-US" w:bidi="ar"/>
                </w:rPr>
                <w:delText>5</w:delText>
              </w:r>
            </w:del>
            <w:del w:id="2824" w:author="LV" w:date="2026-07-14T16:58:52Z">
              <w:r>
                <w:rPr>
                  <w:rFonts w:hint="default" w:ascii="仿宋_GB2312" w:hAnsi="宋体" w:eastAsia="仿宋_GB2312" w:cs="仿宋_GB2312"/>
                  <w:kern w:val="0"/>
                  <w:sz w:val="18"/>
                  <w:szCs w:val="18"/>
                  <w:highlight w:val="none"/>
                  <w:lang w:val="en-US" w:eastAsia="zh-CN" w:bidi="ar"/>
                </w:rPr>
                <w:delText>5</w:delText>
              </w:r>
            </w:del>
            <w:ins w:id="2825" w:author="LV" w:date="2026-07-14T16:58:52Z">
              <w:r>
                <w:rPr>
                  <w:rFonts w:hint="eastAsia" w:ascii="仿宋_GB2312" w:hAnsi="宋体" w:eastAsia="仿宋_GB2312" w:cs="仿宋_GB2312"/>
                  <w:kern w:val="0"/>
                  <w:sz w:val="18"/>
                  <w:szCs w:val="18"/>
                  <w:highlight w:val="none"/>
                  <w:lang w:val="en-US" w:eastAsia="zh-CN" w:bidi="ar"/>
                </w:rPr>
                <w:t>62</w:t>
              </w:r>
            </w:ins>
          </w:p>
        </w:tc>
        <w:tc>
          <w:tcPr>
            <w:tcW w:w="1005" w:type="dxa"/>
            <w:vMerge w:val="restart"/>
            <w:tcBorders>
              <w:tl2br w:val="nil"/>
              <w:tr2bl w:val="nil"/>
            </w:tcBorders>
            <w:shd w:val="clear" w:color="auto" w:fill="auto"/>
            <w:tcMar>
              <w:top w:w="15" w:type="dxa"/>
              <w:left w:w="15" w:type="dxa"/>
              <w:right w:w="15" w:type="dxa"/>
            </w:tcMar>
            <w:vAlign w:val="center"/>
          </w:tcPr>
          <w:p w14:paraId="7EFCCBF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highlight w:val="none"/>
                <w:lang w:val="en-US" w:eastAsia="zh-CN"/>
              </w:rPr>
            </w:pPr>
            <w:r>
              <w:rPr>
                <w:rFonts w:hint="eastAsia" w:ascii="仿宋_GB2312" w:hAnsi="宋体" w:eastAsia="仿宋_GB2312" w:cs="仿宋_GB2312"/>
                <w:kern w:val="0"/>
                <w:sz w:val="18"/>
                <w:szCs w:val="18"/>
                <w:highlight w:val="none"/>
                <w:lang w:bidi="ar"/>
              </w:rPr>
              <w:t>煤矿未按照规定对从业人员、被派遣劳动者、实习学生进行安全生产教育和培训</w:t>
            </w:r>
            <w:r>
              <w:rPr>
                <w:rFonts w:hint="eastAsia" w:ascii="仿宋_GB2312" w:hAnsi="宋体" w:eastAsia="仿宋_GB2312" w:cs="仿宋_GB2312"/>
                <w:kern w:val="0"/>
                <w:sz w:val="18"/>
                <w:szCs w:val="18"/>
                <w:highlight w:val="none"/>
                <w:lang w:val="en-US" w:eastAsia="zh-CN" w:bidi="ar"/>
              </w:rPr>
              <w:t>的</w:t>
            </w:r>
          </w:p>
        </w:tc>
        <w:tc>
          <w:tcPr>
            <w:tcW w:w="3667" w:type="dxa"/>
            <w:vMerge w:val="restart"/>
            <w:tcBorders>
              <w:tl2br w:val="nil"/>
              <w:tr2bl w:val="nil"/>
            </w:tcBorders>
            <w:shd w:val="clear" w:color="auto" w:fill="auto"/>
            <w:tcMar>
              <w:top w:w="15" w:type="dxa"/>
              <w:left w:w="15" w:type="dxa"/>
              <w:right w:w="15" w:type="dxa"/>
            </w:tcMar>
            <w:vAlign w:val="center"/>
          </w:tcPr>
          <w:p w14:paraId="406E55A5">
            <w:pPr>
              <w:keepNext w:val="0"/>
              <w:keepLines w:val="0"/>
              <w:pageBreakBefore w:val="0"/>
              <w:widowControl w:val="0"/>
              <w:kinsoku/>
              <w:wordWrap/>
              <w:overflowPunct w:val="0"/>
              <w:topLinePunct w:val="0"/>
              <w:autoSpaceDE/>
              <w:autoSpaceDN/>
              <w:bidi w:val="0"/>
              <w:adjustRightInd/>
              <w:snapToGrid/>
              <w:spacing w:line="23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《安全生产法》第二十八条 生产经营单位应当对从业人员进行安全生产教育和培训，保证从业人员具备必要的安全生产知识，熟悉有关的安全生产规章制度和安全操作规程，掌握本岗位的安全操作技能，了解事故应急处理措施，知悉自身在安全生产方面的权利和义务。未经安全生产教育和培训合格的从业人员，不得上岗作业。生产经营单位使用被派遣劳动者的，应当将被派遣劳动者纳入本单位从业人员统一管理，对被</w:t>
            </w:r>
            <w:r>
              <w:rPr>
                <w:rFonts w:hint="eastAsia" w:ascii="仿宋_GB2312" w:hAnsi="宋体" w:eastAsia="仿宋_GB2312" w:cs="仿宋_GB2312"/>
                <w:spacing w:val="-6"/>
                <w:kern w:val="0"/>
                <w:sz w:val="18"/>
                <w:szCs w:val="18"/>
                <w:highlight w:val="none"/>
                <w:lang w:bidi="ar"/>
              </w:rPr>
              <w:t xml:space="preserve">派遣劳动者进行岗位安全操作规程和安全操作技能的教育和培训。劳务派遣单位应当对被派遣劳动者进行必要的安全生产教育和培训。 </w:t>
            </w:r>
            <w:r>
              <w:rPr>
                <w:rFonts w:hint="eastAsia" w:ascii="仿宋_GB2312" w:hAnsi="宋体" w:eastAsia="仿宋_GB2312" w:cs="仿宋_GB2312"/>
                <w:kern w:val="0"/>
                <w:sz w:val="18"/>
                <w:szCs w:val="18"/>
                <w:highlight w:val="none"/>
                <w:lang w:bidi="ar"/>
              </w:rPr>
              <w:br w:type="textWrapping"/>
            </w:r>
            <w:r>
              <w:rPr>
                <w:rFonts w:hint="eastAsia" w:ascii="仿宋_GB2312" w:hAnsi="宋体" w:eastAsia="仿宋_GB2312" w:cs="仿宋_GB2312"/>
                <w:kern w:val="0"/>
                <w:sz w:val="18"/>
                <w:szCs w:val="18"/>
                <w:highlight w:val="none"/>
                <w:lang w:bidi="ar"/>
              </w:rPr>
              <w:t>《山东省安全生产条例》第二十八条 生产经营单位应当定期对从业人员进行安全生产教育和培训。从业人员未经安全生产教育和培训合格，不得上岗作业。对下列人员，应当在上岗前及时进行安全生产教育和培训：（一）新进从业人员；（二）离岗六个月以上或者换岗的从业人员；（三）采用新工艺、新技术、新材料或者使用新设施、新设备的有关从业人员。从业人员应当接受安全生产教育和培训，掌握本职工作所需的安全生产知识，提高安全生产技能，增强事故预防和应急处置能力。</w:t>
            </w:r>
            <w:r>
              <w:rPr>
                <w:rFonts w:hint="eastAsia" w:ascii="仿宋_GB2312" w:hAnsi="宋体" w:eastAsia="仿宋_GB2312" w:cs="仿宋_GB2312"/>
                <w:kern w:val="0"/>
                <w:sz w:val="18"/>
                <w:szCs w:val="18"/>
                <w:highlight w:val="none"/>
                <w:lang w:bidi="ar"/>
              </w:rPr>
              <w:br w:type="textWrapping"/>
            </w:r>
            <w:r>
              <w:rPr>
                <w:rFonts w:hint="eastAsia" w:ascii="仿宋_GB2312" w:hAnsi="宋体" w:eastAsia="仿宋_GB2312" w:cs="仿宋_GB2312"/>
                <w:spacing w:val="-6"/>
                <w:kern w:val="0"/>
                <w:sz w:val="18"/>
                <w:szCs w:val="18"/>
                <w:highlight w:val="none"/>
                <w:lang w:bidi="ar"/>
              </w:rPr>
              <w:t>第二十九条 以劳务派遣形式用工的，用工单位应当将劳务派遣人员纳入本单位的从业人员进行统一安全管理，对其进行岗位安全操作规程和安全操作技能的教育和培训；劳务派遣单位应当对劳务派遣人员进行必要的安全生产教育和培训。生产经营单位接收实习学生的，应当对实习学生进行相应的安全生产教育和培训，提供必要的劳动防护用品。实习学生委派单位应当协助生产经营单位对实习学生进行安全生产教育和培训。</w:t>
            </w:r>
            <w:r>
              <w:rPr>
                <w:rFonts w:hint="eastAsia" w:ascii="仿宋_GB2312" w:hAnsi="宋体" w:eastAsia="仿宋_GB2312" w:cs="仿宋_GB2312"/>
                <w:kern w:val="0"/>
                <w:sz w:val="18"/>
                <w:szCs w:val="18"/>
                <w:highlight w:val="none"/>
                <w:lang w:bidi="ar"/>
              </w:rPr>
              <w:t>用工单位与劳务派遣单位、实习学生委派单位应当通过协议明确各自承担的安全生产教育和培训职责以及具体内容。</w:t>
            </w:r>
          </w:p>
        </w:tc>
        <w:tc>
          <w:tcPr>
            <w:tcW w:w="4082" w:type="dxa"/>
            <w:vMerge w:val="restart"/>
            <w:tcBorders>
              <w:tl2br w:val="nil"/>
              <w:tr2bl w:val="nil"/>
            </w:tcBorders>
            <w:shd w:val="clear" w:color="auto" w:fill="auto"/>
            <w:tcMar>
              <w:top w:w="15" w:type="dxa"/>
              <w:left w:w="15" w:type="dxa"/>
              <w:right w:w="15" w:type="dxa"/>
            </w:tcMar>
            <w:vAlign w:val="center"/>
          </w:tcPr>
          <w:p w14:paraId="65106D5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highlight w:val="none"/>
                <w:lang w:bidi="ar"/>
              </w:rPr>
            </w:pPr>
            <w:r>
              <w:rPr>
                <w:rFonts w:hint="eastAsia" w:ascii="仿宋_GB2312" w:hAnsi="宋体" w:eastAsia="仿宋_GB2312" w:cs="仿宋_GB2312"/>
                <w:kern w:val="0"/>
                <w:sz w:val="18"/>
                <w:szCs w:val="18"/>
                <w:highlight w:val="none"/>
                <w:lang w:bidi="ar"/>
              </w:rPr>
              <w:t>《安全生产法》第九十七条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三）未按照规定对从业人员、被派遣劳动者、实习学生进行安全生产教育和培训，或者未按照规定如实告知有关的安全生产事项的。</w:t>
            </w:r>
          </w:p>
          <w:p w14:paraId="472AD85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highlight w:val="none"/>
                <w:lang w:bidi="ar"/>
              </w:rPr>
            </w:pPr>
            <w:r>
              <w:rPr>
                <w:rFonts w:hint="eastAsia" w:ascii="仿宋_GB2312" w:hAnsi="宋体" w:eastAsia="仿宋_GB2312" w:cs="仿宋_GB2312"/>
                <w:kern w:val="0"/>
                <w:sz w:val="18"/>
                <w:szCs w:val="18"/>
                <w:highlight w:val="none"/>
                <w:lang w:bidi="ar"/>
              </w:rPr>
              <w:t>《煤矿安全生产条例》第六十二条第三项　煤矿企业有下列行为之一的，依照《中华人民共和国安全生产法》有关规定予以处罚：（三）未按照规定进行安全生产教育和培训，未按照规定如实告知有关的安全生产事项，或者未如实记录安全生产教育和培训情况的；</w:t>
            </w:r>
          </w:p>
          <w:p w14:paraId="05B4BF1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p>
        </w:tc>
        <w:tc>
          <w:tcPr>
            <w:tcW w:w="459" w:type="dxa"/>
            <w:tcBorders>
              <w:tl2br w:val="nil"/>
              <w:tr2bl w:val="nil"/>
            </w:tcBorders>
            <w:shd w:val="clear" w:color="auto" w:fill="auto"/>
            <w:noWrap/>
            <w:tcMar>
              <w:top w:w="15" w:type="dxa"/>
              <w:left w:w="15" w:type="dxa"/>
              <w:right w:w="15" w:type="dxa"/>
            </w:tcMar>
            <w:vAlign w:val="center"/>
          </w:tcPr>
          <w:p w14:paraId="7E3723C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不予处罚</w:t>
            </w:r>
          </w:p>
        </w:tc>
        <w:tc>
          <w:tcPr>
            <w:tcW w:w="1829" w:type="dxa"/>
            <w:tcBorders>
              <w:tl2br w:val="nil"/>
              <w:tr2bl w:val="nil"/>
            </w:tcBorders>
            <w:shd w:val="clear" w:color="auto" w:fill="auto"/>
            <w:tcMar>
              <w:top w:w="15" w:type="dxa"/>
              <w:left w:w="15" w:type="dxa"/>
              <w:right w:w="15" w:type="dxa"/>
            </w:tcMar>
            <w:vAlign w:val="center"/>
          </w:tcPr>
          <w:p w14:paraId="65E15D6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16BE067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无</w:t>
            </w:r>
          </w:p>
        </w:tc>
      </w:tr>
      <w:tr w14:paraId="65D9C5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EBE945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D409C7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D9F9FD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A7EF8A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76CC94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2DCF55B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5D5C986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BB318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11AA92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DABAC1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521A3F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23EADC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39C566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5361304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6B9CB93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0F933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7D07E0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949EC8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A01962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C7CC0B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5A2365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50854AA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未按照规定进行安全生产教育和培训，涉及3人</w:t>
            </w:r>
            <w:r>
              <w:rPr>
                <w:rFonts w:hint="eastAsia" w:ascii="仿宋_GB2312" w:hAnsi="宋体" w:eastAsia="仿宋_GB2312" w:cs="仿宋_GB2312"/>
                <w:kern w:val="0"/>
                <w:sz w:val="18"/>
                <w:szCs w:val="18"/>
                <w:lang w:bidi="ar"/>
              </w:rPr>
              <w:t>（次）</w:t>
            </w:r>
            <w:r>
              <w:rPr>
                <w:rFonts w:hint="eastAsia" w:ascii="仿宋_GB2312" w:hAnsi="宋体" w:eastAsia="仿宋_GB2312" w:cs="仿宋_GB2312"/>
                <w:sz w:val="18"/>
                <w:szCs w:val="18"/>
              </w:rPr>
              <w:t>以下的。</w:t>
            </w:r>
          </w:p>
        </w:tc>
        <w:tc>
          <w:tcPr>
            <w:tcW w:w="2655" w:type="dxa"/>
            <w:tcBorders>
              <w:tl2br w:val="nil"/>
              <w:tr2bl w:val="nil"/>
            </w:tcBorders>
            <w:shd w:val="clear" w:color="auto" w:fill="auto"/>
            <w:tcMar>
              <w:top w:w="15" w:type="dxa"/>
              <w:left w:w="15" w:type="dxa"/>
              <w:right w:w="15" w:type="dxa"/>
            </w:tcMar>
            <w:vAlign w:val="center"/>
          </w:tcPr>
          <w:p w14:paraId="156FBFF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处3万元以下的罚款。</w:t>
            </w:r>
          </w:p>
        </w:tc>
      </w:tr>
      <w:tr w14:paraId="78D207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4065ED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C2C8DA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38DDAF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369C07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53FA4B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365A18D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未按照规定进行安全生产教育和培训，涉及3人</w:t>
            </w:r>
            <w:r>
              <w:rPr>
                <w:rFonts w:hint="eastAsia" w:ascii="仿宋_GB2312" w:hAnsi="宋体" w:eastAsia="仿宋_GB2312" w:cs="仿宋_GB2312"/>
                <w:kern w:val="0"/>
                <w:sz w:val="18"/>
                <w:szCs w:val="18"/>
                <w:lang w:bidi="ar"/>
              </w:rPr>
              <w:t>（次）以上5</w:t>
            </w:r>
            <w:r>
              <w:rPr>
                <w:rFonts w:hint="eastAsia" w:ascii="仿宋_GB2312" w:hAnsi="宋体" w:eastAsia="仿宋_GB2312" w:cs="仿宋_GB2312"/>
                <w:sz w:val="18"/>
                <w:szCs w:val="18"/>
              </w:rPr>
              <w:t xml:space="preserve"> 人</w:t>
            </w:r>
            <w:r>
              <w:rPr>
                <w:rFonts w:hint="eastAsia" w:ascii="仿宋_GB2312" w:hAnsi="宋体" w:eastAsia="仿宋_GB2312" w:cs="仿宋_GB2312"/>
                <w:kern w:val="0"/>
                <w:sz w:val="18"/>
                <w:szCs w:val="18"/>
                <w:lang w:bidi="ar"/>
              </w:rPr>
              <w:t>（次）</w:t>
            </w:r>
            <w:r>
              <w:rPr>
                <w:rFonts w:hint="eastAsia" w:ascii="仿宋_GB2312" w:hAnsi="宋体" w:eastAsia="仿宋_GB2312" w:cs="仿宋_GB2312"/>
                <w:sz w:val="18"/>
                <w:szCs w:val="18"/>
              </w:rPr>
              <w:t>以下的。</w:t>
            </w:r>
          </w:p>
        </w:tc>
        <w:tc>
          <w:tcPr>
            <w:tcW w:w="2655" w:type="dxa"/>
            <w:tcBorders>
              <w:tl2br w:val="nil"/>
              <w:tr2bl w:val="nil"/>
            </w:tcBorders>
            <w:shd w:val="clear" w:color="auto" w:fill="auto"/>
            <w:tcMar>
              <w:top w:w="15" w:type="dxa"/>
              <w:left w:w="15" w:type="dxa"/>
              <w:right w:w="15" w:type="dxa"/>
            </w:tcMar>
            <w:vAlign w:val="center"/>
          </w:tcPr>
          <w:p w14:paraId="39D31C7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w:t>
            </w:r>
            <w:r>
              <w:rPr>
                <w:rFonts w:ascii="仿宋_GB2312" w:hAnsi="宋体" w:eastAsia="仿宋_GB2312" w:cs="仿宋_GB2312"/>
                <w:kern w:val="0"/>
                <w:sz w:val="18"/>
                <w:szCs w:val="18"/>
                <w:lang w:bidi="ar"/>
              </w:rPr>
              <w:t>3</w:t>
            </w:r>
            <w:r>
              <w:rPr>
                <w:rFonts w:hint="eastAsia" w:ascii="仿宋_GB2312" w:hAnsi="宋体" w:eastAsia="仿宋_GB2312" w:cs="仿宋_GB2312"/>
                <w:kern w:val="0"/>
                <w:sz w:val="18"/>
                <w:szCs w:val="18"/>
                <w:lang w:bidi="ar"/>
              </w:rPr>
              <w:t>万元以上</w:t>
            </w:r>
            <w:r>
              <w:rPr>
                <w:rFonts w:ascii="仿宋_GB2312" w:hAnsi="宋体" w:eastAsia="仿宋_GB2312" w:cs="仿宋_GB2312"/>
                <w:kern w:val="0"/>
                <w:sz w:val="18"/>
                <w:szCs w:val="18"/>
                <w:lang w:bidi="ar"/>
              </w:rPr>
              <w:t>7</w:t>
            </w:r>
            <w:r>
              <w:rPr>
                <w:rFonts w:hint="eastAsia" w:ascii="仿宋_GB2312" w:hAnsi="宋体" w:eastAsia="仿宋_GB2312" w:cs="仿宋_GB2312"/>
                <w:kern w:val="0"/>
                <w:sz w:val="18"/>
                <w:szCs w:val="18"/>
                <w:lang w:bidi="ar"/>
              </w:rPr>
              <w:t>万元以下的罚款。</w:t>
            </w:r>
          </w:p>
        </w:tc>
      </w:tr>
      <w:tr w14:paraId="640342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764574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E7D129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C4B2C9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97B155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18649E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709C5EE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未按照规定进行安全生产教育和培训，涉及</w:t>
            </w:r>
            <w:r>
              <w:rPr>
                <w:rFonts w:hint="eastAsia" w:ascii="仿宋_GB2312" w:hAnsi="宋体" w:eastAsia="仿宋_GB2312" w:cs="仿宋_GB2312"/>
                <w:kern w:val="0"/>
                <w:sz w:val="18"/>
                <w:szCs w:val="18"/>
                <w:lang w:bidi="ar"/>
              </w:rPr>
              <w:t>5</w:t>
            </w:r>
            <w:r>
              <w:rPr>
                <w:rFonts w:hint="eastAsia" w:ascii="仿宋_GB2312" w:hAnsi="宋体" w:eastAsia="仿宋_GB2312" w:cs="仿宋_GB2312"/>
                <w:sz w:val="18"/>
                <w:szCs w:val="18"/>
              </w:rPr>
              <w:t>人</w:t>
            </w:r>
            <w:r>
              <w:rPr>
                <w:rFonts w:hint="eastAsia" w:ascii="仿宋_GB2312" w:hAnsi="宋体" w:eastAsia="仿宋_GB2312" w:cs="仿宋_GB2312"/>
                <w:kern w:val="0"/>
                <w:sz w:val="18"/>
                <w:szCs w:val="18"/>
                <w:lang w:bidi="ar"/>
              </w:rPr>
              <w:t>（次）</w:t>
            </w:r>
            <w:r>
              <w:rPr>
                <w:rFonts w:hint="eastAsia" w:ascii="仿宋_GB2312" w:hAnsi="宋体" w:eastAsia="仿宋_GB2312" w:cs="仿宋_GB2312"/>
                <w:sz w:val="18"/>
                <w:szCs w:val="18"/>
              </w:rPr>
              <w:t>以上的。</w:t>
            </w:r>
          </w:p>
        </w:tc>
        <w:tc>
          <w:tcPr>
            <w:tcW w:w="2655" w:type="dxa"/>
            <w:tcBorders>
              <w:tl2br w:val="nil"/>
              <w:tr2bl w:val="nil"/>
            </w:tcBorders>
            <w:shd w:val="clear" w:color="auto" w:fill="auto"/>
            <w:tcMar>
              <w:top w:w="15" w:type="dxa"/>
              <w:left w:w="15" w:type="dxa"/>
              <w:right w:w="15" w:type="dxa"/>
            </w:tcMar>
            <w:vAlign w:val="center"/>
          </w:tcPr>
          <w:p w14:paraId="0D4E068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w:t>
            </w:r>
            <w:r>
              <w:rPr>
                <w:rFonts w:ascii="仿宋_GB2312" w:hAnsi="宋体" w:eastAsia="仿宋_GB2312" w:cs="仿宋_GB2312"/>
                <w:kern w:val="0"/>
                <w:sz w:val="18"/>
                <w:szCs w:val="18"/>
                <w:lang w:bidi="ar"/>
              </w:rPr>
              <w:t>7</w:t>
            </w:r>
            <w:r>
              <w:rPr>
                <w:rFonts w:hint="eastAsia" w:ascii="仿宋_GB2312" w:hAnsi="宋体" w:eastAsia="仿宋_GB2312" w:cs="仿宋_GB2312"/>
                <w:kern w:val="0"/>
                <w:sz w:val="18"/>
                <w:szCs w:val="18"/>
                <w:lang w:bidi="ar"/>
              </w:rPr>
              <w:t>万元以上10万元以下的罚款。</w:t>
            </w:r>
          </w:p>
        </w:tc>
      </w:tr>
      <w:tr w14:paraId="0EB321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74B0F05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highlight w:val="none"/>
                <w:lang w:val="en-US" w:eastAsia="zh-CN"/>
              </w:rPr>
            </w:pPr>
            <w:r>
              <w:rPr>
                <w:rFonts w:hint="eastAsia" w:ascii="仿宋_GB2312" w:hAnsi="宋体" w:eastAsia="仿宋_GB2312" w:cs="仿宋_GB2312"/>
                <w:kern w:val="0"/>
                <w:sz w:val="18"/>
                <w:szCs w:val="18"/>
                <w:highlight w:val="none"/>
                <w:lang w:bidi="ar"/>
              </w:rPr>
              <w:t>1</w:t>
            </w:r>
            <w:del w:id="2826" w:author="LV" w:date="2026-07-14T16:58:56Z">
              <w:r>
                <w:rPr>
                  <w:rFonts w:hint="default" w:ascii="仿宋_GB2312" w:hAnsi="宋体" w:eastAsia="仿宋_GB2312" w:cs="仿宋_GB2312"/>
                  <w:kern w:val="0"/>
                  <w:sz w:val="18"/>
                  <w:szCs w:val="18"/>
                  <w:highlight w:val="none"/>
                  <w:lang w:val="en-US" w:bidi="ar"/>
                </w:rPr>
                <w:delText>5</w:delText>
              </w:r>
            </w:del>
            <w:del w:id="2827" w:author="LV" w:date="2026-07-14T16:58:56Z">
              <w:r>
                <w:rPr>
                  <w:rFonts w:hint="default" w:ascii="仿宋_GB2312" w:hAnsi="宋体" w:eastAsia="仿宋_GB2312" w:cs="仿宋_GB2312"/>
                  <w:kern w:val="0"/>
                  <w:sz w:val="18"/>
                  <w:szCs w:val="18"/>
                  <w:highlight w:val="none"/>
                  <w:lang w:val="en-US" w:eastAsia="zh-CN" w:bidi="ar"/>
                </w:rPr>
                <w:delText>6</w:delText>
              </w:r>
            </w:del>
            <w:ins w:id="2828" w:author="LV" w:date="2026-07-14T16:58:56Z">
              <w:r>
                <w:rPr>
                  <w:rFonts w:hint="eastAsia" w:ascii="仿宋_GB2312" w:hAnsi="宋体" w:eastAsia="仿宋_GB2312" w:cs="仿宋_GB2312"/>
                  <w:kern w:val="0"/>
                  <w:sz w:val="18"/>
                  <w:szCs w:val="18"/>
                  <w:highlight w:val="none"/>
                  <w:lang w:val="en-US" w:eastAsia="zh-CN" w:bidi="ar"/>
                </w:rPr>
                <w:t>63</w:t>
              </w:r>
            </w:ins>
          </w:p>
        </w:tc>
        <w:tc>
          <w:tcPr>
            <w:tcW w:w="1005" w:type="dxa"/>
            <w:vMerge w:val="restart"/>
            <w:tcBorders>
              <w:tl2br w:val="nil"/>
              <w:tr2bl w:val="nil"/>
            </w:tcBorders>
            <w:shd w:val="clear" w:color="auto" w:fill="auto"/>
            <w:tcMar>
              <w:top w:w="15" w:type="dxa"/>
              <w:left w:w="15" w:type="dxa"/>
              <w:right w:w="15" w:type="dxa"/>
            </w:tcMar>
            <w:vAlign w:val="center"/>
          </w:tcPr>
          <w:p w14:paraId="1498D27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highlight w:val="none"/>
                <w:lang w:val="en-US" w:eastAsia="zh-CN"/>
              </w:rPr>
            </w:pPr>
            <w:r>
              <w:rPr>
                <w:rFonts w:hint="eastAsia" w:ascii="仿宋_GB2312" w:hAnsi="宋体" w:eastAsia="仿宋_GB2312" w:cs="仿宋_GB2312"/>
                <w:kern w:val="0"/>
                <w:sz w:val="18"/>
                <w:szCs w:val="18"/>
                <w:highlight w:val="none"/>
                <w:lang w:bidi="ar"/>
              </w:rPr>
              <w:t>煤矿未按照规定对从业人员、被派遣劳动者、实习学生进行安全生产教育和培训，逾期未改正</w:t>
            </w:r>
            <w:r>
              <w:rPr>
                <w:rFonts w:hint="eastAsia" w:ascii="仿宋_GB2312" w:hAnsi="宋体" w:eastAsia="仿宋_GB2312" w:cs="仿宋_GB2312"/>
                <w:kern w:val="0"/>
                <w:sz w:val="18"/>
                <w:szCs w:val="18"/>
                <w:highlight w:val="none"/>
                <w:lang w:val="en-US" w:eastAsia="zh-CN" w:bidi="ar"/>
              </w:rPr>
              <w:t>的</w:t>
            </w:r>
          </w:p>
        </w:tc>
        <w:tc>
          <w:tcPr>
            <w:tcW w:w="3667" w:type="dxa"/>
            <w:vMerge w:val="restart"/>
            <w:tcBorders>
              <w:tl2br w:val="nil"/>
              <w:tr2bl w:val="nil"/>
            </w:tcBorders>
            <w:shd w:val="clear" w:color="auto" w:fill="auto"/>
            <w:tcMar>
              <w:top w:w="15" w:type="dxa"/>
              <w:left w:w="15" w:type="dxa"/>
              <w:right w:w="15" w:type="dxa"/>
            </w:tcMar>
            <w:vAlign w:val="center"/>
          </w:tcPr>
          <w:p w14:paraId="5279B094">
            <w:pPr>
              <w:keepNext w:val="0"/>
              <w:keepLines w:val="0"/>
              <w:pageBreakBefore w:val="0"/>
              <w:widowControl w:val="0"/>
              <w:kinsoku/>
              <w:wordWrap/>
              <w:overflowPunct w:val="0"/>
              <w:topLinePunct w:val="0"/>
              <w:autoSpaceDE/>
              <w:autoSpaceDN/>
              <w:bidi w:val="0"/>
              <w:adjustRightInd/>
              <w:snapToGrid/>
              <w:spacing w:line="23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《安全生产法》第二十八条 生产经营单位应当对从业人员进行安全生产教育和培训，保证从业人员具备必要的安全生产知识，熟悉有关的安全生产规章制度和安全操作规程，掌握本岗位的安全操作技能，了解事故应急处理措施，知悉自身在安全生产方面的权利和义务。未经安全生产教育和培训合格的从业人员，不得上岗作业。生产经营单位使用被派遣劳动者的，应当将被</w:t>
            </w:r>
            <w:r>
              <w:rPr>
                <w:rFonts w:hint="eastAsia" w:ascii="仿宋_GB2312" w:hAnsi="宋体" w:eastAsia="仿宋_GB2312" w:cs="仿宋_GB2312"/>
                <w:spacing w:val="-6"/>
                <w:kern w:val="0"/>
                <w:sz w:val="18"/>
                <w:szCs w:val="18"/>
                <w:highlight w:val="none"/>
                <w:lang w:bidi="ar"/>
              </w:rPr>
              <w:t>派遣劳动 者纳入本单位从业人员统一管理，对被派遣劳动者进行岗位 安全操作规程和安全操作技能的教育和培训。劳务派遣单位应当对被派遣劳动者进行必要的安全生产教育和培训</w:t>
            </w:r>
            <w:r>
              <w:rPr>
                <w:rFonts w:hint="eastAsia" w:ascii="仿宋_GB2312" w:hAnsi="宋体" w:eastAsia="仿宋_GB2312" w:cs="仿宋_GB2312"/>
                <w:kern w:val="0"/>
                <w:sz w:val="18"/>
                <w:szCs w:val="18"/>
                <w:highlight w:val="none"/>
                <w:lang w:bidi="ar"/>
              </w:rPr>
              <w:t xml:space="preserve">。 </w:t>
            </w:r>
            <w:r>
              <w:rPr>
                <w:rFonts w:hint="eastAsia" w:ascii="仿宋_GB2312" w:hAnsi="宋体" w:eastAsia="仿宋_GB2312" w:cs="仿宋_GB2312"/>
                <w:kern w:val="0"/>
                <w:sz w:val="18"/>
                <w:szCs w:val="18"/>
                <w:highlight w:val="none"/>
                <w:lang w:bidi="ar"/>
              </w:rPr>
              <w:br w:type="textWrapping"/>
            </w:r>
            <w:r>
              <w:rPr>
                <w:rFonts w:hint="eastAsia" w:ascii="仿宋_GB2312" w:hAnsi="宋体" w:eastAsia="仿宋_GB2312" w:cs="仿宋_GB2312"/>
                <w:kern w:val="0"/>
                <w:sz w:val="18"/>
                <w:szCs w:val="18"/>
                <w:highlight w:val="none"/>
                <w:lang w:bidi="ar"/>
              </w:rPr>
              <w:t>《山东省安全生产条例》第二十八条 产经营单位应当定期对从业人员进行安全生产教育和培训。从业人员未经安全生产教育和培训合格，不得上岗作业。对下列人员，应当在上岗前及时进行安全生产教育和培训：（一）新进从业人员；（二）离岗六个月以上或者换岗的从业人员；（三）采用新工艺、新技术、新材料或者使用新设施、新设备的有关从业人员。从业人员应当接受安全生产教育和培训，掌握本职工作所需的安全生产知识，提高安全生产技能，增强事故预防和应急处置能力。</w:t>
            </w:r>
            <w:r>
              <w:rPr>
                <w:rFonts w:hint="eastAsia" w:ascii="仿宋_GB2312" w:hAnsi="宋体" w:eastAsia="仿宋_GB2312" w:cs="仿宋_GB2312"/>
                <w:kern w:val="0"/>
                <w:sz w:val="18"/>
                <w:szCs w:val="18"/>
                <w:highlight w:val="none"/>
                <w:lang w:bidi="ar"/>
              </w:rPr>
              <w:br w:type="textWrapping"/>
            </w:r>
            <w:r>
              <w:rPr>
                <w:rFonts w:hint="eastAsia" w:ascii="仿宋_GB2312" w:hAnsi="宋体" w:eastAsia="仿宋_GB2312" w:cs="仿宋_GB2312"/>
                <w:spacing w:val="-6"/>
                <w:kern w:val="0"/>
                <w:sz w:val="18"/>
                <w:szCs w:val="18"/>
                <w:highlight w:val="none"/>
                <w:lang w:bidi="ar"/>
              </w:rPr>
              <w:t>第二十九条 以劳务派遣形式用工的，用工单位应当将劳务派遣人员纳入本单位的从业人员进行统一安全管理，对其进行岗位安全操作规程和安全操作技能的教育和培训；劳务派遣单位应当对劳务派遣人员进行必要的安全生产教育和培训。生产经营单位接收实习学生的，应当对实习学生进行相应的安全生产教育和培训，提供必要的劳动防护用品。实习学生委派单位应当协助生产经营单位对实习学生进行安全生产教育和培训。</w:t>
            </w:r>
            <w:r>
              <w:rPr>
                <w:rFonts w:hint="eastAsia" w:ascii="仿宋_GB2312" w:hAnsi="宋体" w:eastAsia="仿宋_GB2312" w:cs="仿宋_GB2312"/>
                <w:kern w:val="0"/>
                <w:sz w:val="18"/>
                <w:szCs w:val="18"/>
                <w:highlight w:val="none"/>
                <w:lang w:bidi="ar"/>
              </w:rPr>
              <w:t>用工单位与劳务派遣单位、实习学生委派单位应当通过协议明确各自承担的安全生产教育和培训职责以及具体内容。</w:t>
            </w:r>
          </w:p>
        </w:tc>
        <w:tc>
          <w:tcPr>
            <w:tcW w:w="4082" w:type="dxa"/>
            <w:vMerge w:val="restart"/>
            <w:tcBorders>
              <w:tl2br w:val="nil"/>
              <w:tr2bl w:val="nil"/>
            </w:tcBorders>
            <w:shd w:val="clear" w:color="auto" w:fill="auto"/>
            <w:tcMar>
              <w:top w:w="15" w:type="dxa"/>
              <w:left w:w="15" w:type="dxa"/>
              <w:right w:w="15" w:type="dxa"/>
            </w:tcMar>
            <w:vAlign w:val="center"/>
          </w:tcPr>
          <w:p w14:paraId="214FE4B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highlight w:val="none"/>
                <w:lang w:bidi="ar"/>
              </w:rPr>
            </w:pPr>
            <w:r>
              <w:rPr>
                <w:rFonts w:hint="eastAsia" w:ascii="仿宋_GB2312" w:hAnsi="宋体" w:eastAsia="仿宋_GB2312" w:cs="仿宋_GB2312"/>
                <w:kern w:val="0"/>
                <w:sz w:val="18"/>
                <w:szCs w:val="18"/>
                <w:highlight w:val="none"/>
                <w:lang w:bidi="ar"/>
              </w:rPr>
              <w:t>《安全生产法》第九十七条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三）未按照规定对从业人员、被派遣劳动者、实习学生进行安全生产教育和培训，或者未按照规定如实告知有关的安全生产事项的。</w:t>
            </w:r>
          </w:p>
          <w:p w14:paraId="6E6EF84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highlight w:val="none"/>
                <w:lang w:bidi="ar"/>
              </w:rPr>
            </w:pPr>
            <w:r>
              <w:rPr>
                <w:rFonts w:hint="eastAsia" w:ascii="仿宋_GB2312" w:hAnsi="宋体" w:eastAsia="仿宋_GB2312" w:cs="仿宋_GB2312"/>
                <w:kern w:val="0"/>
                <w:sz w:val="18"/>
                <w:szCs w:val="18"/>
                <w:highlight w:val="none"/>
                <w:lang w:bidi="ar"/>
              </w:rPr>
              <w:t>《煤矿安全生产条例》第六十二条第三项　煤矿企业有下列行为之一的，依照《中华人民共和国安全生产法》有关规定予以处罚：（三）未按照规定进行安全生产教育和培训，未按照规定如实告知有关的安全生产事项，或者未如实记录安全生产教育和培训情况的；</w:t>
            </w:r>
          </w:p>
        </w:tc>
        <w:tc>
          <w:tcPr>
            <w:tcW w:w="459" w:type="dxa"/>
            <w:tcBorders>
              <w:tl2br w:val="nil"/>
              <w:tr2bl w:val="nil"/>
            </w:tcBorders>
            <w:shd w:val="clear" w:color="auto" w:fill="auto"/>
            <w:noWrap/>
            <w:tcMar>
              <w:top w:w="15" w:type="dxa"/>
              <w:left w:w="15" w:type="dxa"/>
              <w:right w:w="15" w:type="dxa"/>
            </w:tcMar>
            <w:vAlign w:val="center"/>
          </w:tcPr>
          <w:p w14:paraId="426C3EA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不予处罚</w:t>
            </w:r>
          </w:p>
        </w:tc>
        <w:tc>
          <w:tcPr>
            <w:tcW w:w="1829" w:type="dxa"/>
            <w:tcBorders>
              <w:tl2br w:val="nil"/>
              <w:tr2bl w:val="nil"/>
            </w:tcBorders>
            <w:shd w:val="clear" w:color="auto" w:fill="auto"/>
            <w:tcMar>
              <w:top w:w="15" w:type="dxa"/>
              <w:left w:w="15" w:type="dxa"/>
              <w:right w:w="15" w:type="dxa"/>
            </w:tcMar>
            <w:vAlign w:val="center"/>
          </w:tcPr>
          <w:p w14:paraId="2709094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0518094">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无</w:t>
            </w:r>
          </w:p>
        </w:tc>
      </w:tr>
      <w:tr w14:paraId="5FD0F2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C70B01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15C495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838391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30CF50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E82BAF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0EE5EDD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0CAB4626">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CA27F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B3DBA3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95CAF0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62A58A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4206B7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AA0EE5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2D2FC03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1327C34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FDE83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59803A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6C0269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ED9563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EEB1B4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FFBEAC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48E38EE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未按照规定进行安全生产教育和培训，涉及3人</w:t>
            </w:r>
            <w:r>
              <w:rPr>
                <w:rFonts w:hint="eastAsia" w:ascii="仿宋_GB2312" w:hAnsi="宋体" w:eastAsia="仿宋_GB2312" w:cs="仿宋_GB2312"/>
                <w:kern w:val="0"/>
                <w:sz w:val="18"/>
                <w:szCs w:val="18"/>
                <w:lang w:bidi="ar"/>
              </w:rPr>
              <w:t>（次）</w:t>
            </w:r>
            <w:r>
              <w:rPr>
                <w:rFonts w:hint="eastAsia" w:ascii="仿宋_GB2312" w:hAnsi="宋体" w:eastAsia="仿宋_GB2312" w:cs="仿宋_GB2312"/>
                <w:sz w:val="18"/>
                <w:szCs w:val="18"/>
              </w:rPr>
              <w:t>以下</w:t>
            </w:r>
            <w:r>
              <w:rPr>
                <w:rFonts w:hint="eastAsia" w:ascii="仿宋_GB2312" w:hAnsi="宋体" w:eastAsia="仿宋_GB2312" w:cs="仿宋_GB2312"/>
                <w:kern w:val="0"/>
                <w:sz w:val="18"/>
                <w:szCs w:val="18"/>
                <w:lang w:bidi="ar"/>
              </w:rPr>
              <w:t>，逾期未改正</w:t>
            </w:r>
            <w:r>
              <w:rPr>
                <w:rFonts w:hint="eastAsia" w:ascii="仿宋_GB2312" w:hAnsi="宋体" w:eastAsia="仿宋_GB2312" w:cs="仿宋_GB2312"/>
                <w:kern w:val="0"/>
                <w:sz w:val="18"/>
                <w:szCs w:val="18"/>
                <w:lang w:val="en-US" w:eastAsia="zh-CN" w:bidi="ar"/>
              </w:rPr>
              <w:t>涉及1人（次）以上</w:t>
            </w:r>
            <w:r>
              <w:rPr>
                <w:rFonts w:hint="eastAsia" w:ascii="仿宋_GB2312" w:hAnsi="宋体" w:eastAsia="仿宋_GB2312" w:cs="仿宋_GB2312"/>
                <w:kern w:val="0"/>
                <w:sz w:val="18"/>
                <w:szCs w:val="18"/>
                <w:lang w:bidi="ar"/>
              </w:rPr>
              <w:t>的。</w:t>
            </w:r>
          </w:p>
        </w:tc>
        <w:tc>
          <w:tcPr>
            <w:tcW w:w="2655" w:type="dxa"/>
            <w:tcBorders>
              <w:tl2br w:val="nil"/>
              <w:tr2bl w:val="nil"/>
            </w:tcBorders>
            <w:shd w:val="clear" w:color="auto" w:fill="auto"/>
            <w:tcMar>
              <w:top w:w="15" w:type="dxa"/>
              <w:left w:w="15" w:type="dxa"/>
              <w:right w:w="15" w:type="dxa"/>
            </w:tcMar>
            <w:vAlign w:val="center"/>
          </w:tcPr>
          <w:p w14:paraId="31785CD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责令停产停业整顿，并处10万元以上13万元以下的罚款，对其直接负责的主管人员和其他直接责任人员处2万元以上3万元以下的罚款。</w:t>
            </w:r>
          </w:p>
        </w:tc>
      </w:tr>
      <w:tr w14:paraId="12FA29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75EBDE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2D543E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F95757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55FEA5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7D5541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3E63FCC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未按照规定进行安全生产教育和培训，涉及3人</w:t>
            </w:r>
            <w:r>
              <w:rPr>
                <w:rFonts w:hint="eastAsia" w:ascii="仿宋_GB2312" w:hAnsi="宋体" w:eastAsia="仿宋_GB2312" w:cs="仿宋_GB2312"/>
                <w:kern w:val="0"/>
                <w:sz w:val="18"/>
                <w:szCs w:val="18"/>
                <w:lang w:bidi="ar"/>
              </w:rPr>
              <w:t>（次）以上5</w:t>
            </w:r>
            <w:r>
              <w:rPr>
                <w:rFonts w:hint="eastAsia" w:ascii="仿宋_GB2312" w:hAnsi="宋体" w:eastAsia="仿宋_GB2312" w:cs="仿宋_GB2312"/>
                <w:sz w:val="18"/>
                <w:szCs w:val="18"/>
              </w:rPr>
              <w:t xml:space="preserve"> 人</w:t>
            </w:r>
            <w:r>
              <w:rPr>
                <w:rFonts w:hint="eastAsia" w:ascii="仿宋_GB2312" w:hAnsi="宋体" w:eastAsia="仿宋_GB2312" w:cs="仿宋_GB2312"/>
                <w:kern w:val="0"/>
                <w:sz w:val="18"/>
                <w:szCs w:val="18"/>
                <w:lang w:bidi="ar"/>
              </w:rPr>
              <w:t>（次）</w:t>
            </w:r>
            <w:r>
              <w:rPr>
                <w:rFonts w:hint="eastAsia" w:ascii="仿宋_GB2312" w:hAnsi="宋体" w:eastAsia="仿宋_GB2312" w:cs="仿宋_GB2312"/>
                <w:sz w:val="18"/>
                <w:szCs w:val="18"/>
              </w:rPr>
              <w:t>以下的</w:t>
            </w:r>
            <w:r>
              <w:rPr>
                <w:rFonts w:hint="eastAsia" w:ascii="仿宋_GB2312" w:hAnsi="宋体" w:eastAsia="仿宋_GB2312" w:cs="仿宋_GB2312"/>
                <w:kern w:val="0"/>
                <w:sz w:val="18"/>
                <w:szCs w:val="18"/>
                <w:lang w:bidi="ar"/>
              </w:rPr>
              <w:t>，逾期未改正</w:t>
            </w:r>
            <w:r>
              <w:rPr>
                <w:rFonts w:hint="eastAsia" w:ascii="仿宋_GB2312" w:hAnsi="宋体" w:eastAsia="仿宋_GB2312" w:cs="仿宋_GB2312"/>
                <w:kern w:val="0"/>
                <w:sz w:val="18"/>
                <w:szCs w:val="18"/>
                <w:lang w:val="en-US" w:eastAsia="zh-CN" w:bidi="ar"/>
              </w:rPr>
              <w:t>涉及1人（次）以上</w:t>
            </w:r>
            <w:r>
              <w:rPr>
                <w:rFonts w:hint="eastAsia" w:ascii="仿宋_GB2312" w:hAnsi="宋体" w:eastAsia="仿宋_GB2312" w:cs="仿宋_GB2312"/>
                <w:kern w:val="0"/>
                <w:sz w:val="18"/>
                <w:szCs w:val="18"/>
                <w:lang w:bidi="ar"/>
              </w:rPr>
              <w:t>的。</w:t>
            </w:r>
          </w:p>
        </w:tc>
        <w:tc>
          <w:tcPr>
            <w:tcW w:w="2655" w:type="dxa"/>
            <w:tcBorders>
              <w:tl2br w:val="nil"/>
              <w:tr2bl w:val="nil"/>
            </w:tcBorders>
            <w:shd w:val="clear" w:color="auto" w:fill="auto"/>
            <w:tcMar>
              <w:top w:w="15" w:type="dxa"/>
              <w:left w:w="15" w:type="dxa"/>
              <w:right w:w="15" w:type="dxa"/>
            </w:tcMar>
            <w:vAlign w:val="center"/>
          </w:tcPr>
          <w:p w14:paraId="4E4E073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责令停产停业整顿，并处13万元以上17万元以下的罚款，对直接负责的主管人员和其他直接责任人员处3万元以上4万元以下的罚款。</w:t>
            </w:r>
          </w:p>
        </w:tc>
      </w:tr>
      <w:tr w14:paraId="113E25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6C6D70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A5DB2F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4F206C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8024A6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8ED9E3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450FE85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未按照规定进行安全生产教育和培训，涉及</w:t>
            </w:r>
            <w:r>
              <w:rPr>
                <w:rFonts w:hint="eastAsia" w:ascii="仿宋_GB2312" w:hAnsi="宋体" w:eastAsia="仿宋_GB2312" w:cs="仿宋_GB2312"/>
                <w:kern w:val="0"/>
                <w:sz w:val="18"/>
                <w:szCs w:val="18"/>
                <w:lang w:bidi="ar"/>
              </w:rPr>
              <w:t>5</w:t>
            </w:r>
            <w:r>
              <w:rPr>
                <w:rFonts w:hint="eastAsia" w:ascii="仿宋_GB2312" w:hAnsi="宋体" w:eastAsia="仿宋_GB2312" w:cs="仿宋_GB2312"/>
                <w:sz w:val="18"/>
                <w:szCs w:val="18"/>
              </w:rPr>
              <w:t>人</w:t>
            </w:r>
            <w:r>
              <w:rPr>
                <w:rFonts w:hint="eastAsia" w:ascii="仿宋_GB2312" w:hAnsi="宋体" w:eastAsia="仿宋_GB2312" w:cs="仿宋_GB2312"/>
                <w:kern w:val="0"/>
                <w:sz w:val="18"/>
                <w:szCs w:val="18"/>
                <w:lang w:bidi="ar"/>
              </w:rPr>
              <w:t>（次）</w:t>
            </w:r>
            <w:r>
              <w:rPr>
                <w:rFonts w:hint="eastAsia" w:ascii="仿宋_GB2312" w:hAnsi="宋体" w:eastAsia="仿宋_GB2312" w:cs="仿宋_GB2312"/>
                <w:sz w:val="18"/>
                <w:szCs w:val="18"/>
              </w:rPr>
              <w:t>以上</w:t>
            </w:r>
            <w:r>
              <w:rPr>
                <w:rFonts w:hint="eastAsia" w:ascii="仿宋_GB2312" w:hAnsi="宋体" w:eastAsia="仿宋_GB2312" w:cs="仿宋_GB2312"/>
                <w:kern w:val="0"/>
                <w:sz w:val="18"/>
                <w:szCs w:val="18"/>
                <w:lang w:bidi="ar"/>
              </w:rPr>
              <w:t>，逾期未改正</w:t>
            </w:r>
            <w:r>
              <w:rPr>
                <w:rFonts w:hint="eastAsia" w:ascii="仿宋_GB2312" w:hAnsi="宋体" w:eastAsia="仿宋_GB2312" w:cs="仿宋_GB2312"/>
                <w:kern w:val="0"/>
                <w:sz w:val="18"/>
                <w:szCs w:val="18"/>
                <w:lang w:val="en-US" w:eastAsia="zh-CN" w:bidi="ar"/>
              </w:rPr>
              <w:t>涉及1人（次）以上</w:t>
            </w:r>
            <w:r>
              <w:rPr>
                <w:rFonts w:hint="eastAsia" w:ascii="仿宋_GB2312" w:hAnsi="宋体" w:eastAsia="仿宋_GB2312" w:cs="仿宋_GB2312"/>
                <w:kern w:val="0"/>
                <w:sz w:val="18"/>
                <w:szCs w:val="18"/>
                <w:lang w:bidi="ar"/>
              </w:rPr>
              <w:t>的。</w:t>
            </w:r>
          </w:p>
        </w:tc>
        <w:tc>
          <w:tcPr>
            <w:tcW w:w="2655" w:type="dxa"/>
            <w:tcBorders>
              <w:tl2br w:val="nil"/>
              <w:tr2bl w:val="nil"/>
            </w:tcBorders>
            <w:shd w:val="clear" w:color="auto" w:fill="auto"/>
            <w:tcMar>
              <w:top w:w="15" w:type="dxa"/>
              <w:left w:w="15" w:type="dxa"/>
              <w:right w:w="15" w:type="dxa"/>
            </w:tcMar>
            <w:vAlign w:val="center"/>
          </w:tcPr>
          <w:p w14:paraId="666B860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责令停产停业整顿，并处17万元以上20万元以下的罚款，对直接负责的主管人员和其他直接责任人员处4万元以上5万元以下的罚款。</w:t>
            </w:r>
          </w:p>
        </w:tc>
      </w:tr>
      <w:tr w14:paraId="15CBAA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1310DD5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kern w:val="0"/>
                <w:sz w:val="18"/>
                <w:szCs w:val="18"/>
                <w:highlight w:val="none"/>
                <w:lang w:val="en-US" w:eastAsia="zh-CN" w:bidi="ar"/>
              </w:rPr>
            </w:pPr>
            <w:r>
              <w:rPr>
                <w:rFonts w:hint="eastAsia" w:ascii="仿宋_GB2312" w:hAnsi="宋体" w:eastAsia="仿宋_GB2312" w:cs="仿宋_GB2312"/>
                <w:kern w:val="0"/>
                <w:sz w:val="18"/>
                <w:szCs w:val="18"/>
                <w:highlight w:val="none"/>
                <w:lang w:bidi="ar"/>
              </w:rPr>
              <w:t>1</w:t>
            </w:r>
            <w:del w:id="2829" w:author="LV" w:date="2026-07-14T16:59:01Z">
              <w:r>
                <w:rPr>
                  <w:rFonts w:hint="default" w:ascii="仿宋_GB2312" w:hAnsi="宋体" w:eastAsia="仿宋_GB2312" w:cs="仿宋_GB2312"/>
                  <w:kern w:val="0"/>
                  <w:sz w:val="18"/>
                  <w:szCs w:val="18"/>
                  <w:highlight w:val="none"/>
                  <w:lang w:val="en-US" w:eastAsia="zh-CN" w:bidi="ar"/>
                </w:rPr>
                <w:delText>57</w:delText>
              </w:r>
            </w:del>
            <w:ins w:id="2830" w:author="LV" w:date="2026-07-14T16:59:01Z">
              <w:r>
                <w:rPr>
                  <w:rFonts w:hint="eastAsia" w:ascii="仿宋_GB2312" w:hAnsi="宋体" w:eastAsia="仿宋_GB2312" w:cs="仿宋_GB2312"/>
                  <w:kern w:val="0"/>
                  <w:sz w:val="18"/>
                  <w:szCs w:val="18"/>
                  <w:highlight w:val="none"/>
                  <w:lang w:val="en-US" w:eastAsia="zh-CN" w:bidi="ar"/>
                </w:rPr>
                <w:t>64</w:t>
              </w:r>
            </w:ins>
          </w:p>
        </w:tc>
        <w:tc>
          <w:tcPr>
            <w:tcW w:w="1005" w:type="dxa"/>
            <w:vMerge w:val="restart"/>
            <w:tcBorders>
              <w:tl2br w:val="nil"/>
              <w:tr2bl w:val="nil"/>
            </w:tcBorders>
            <w:shd w:val="clear" w:color="auto" w:fill="auto"/>
            <w:tcMar>
              <w:top w:w="15" w:type="dxa"/>
              <w:left w:w="15" w:type="dxa"/>
              <w:right w:w="15" w:type="dxa"/>
            </w:tcMar>
            <w:vAlign w:val="center"/>
          </w:tcPr>
          <w:p w14:paraId="172C00A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highlight w:val="none"/>
                <w:lang w:bidi="ar"/>
              </w:rPr>
            </w:pPr>
            <w:r>
              <w:rPr>
                <w:rFonts w:hint="eastAsia" w:ascii="仿宋_GB2312" w:hAnsi="宋体" w:eastAsia="仿宋_GB2312" w:cs="仿宋_GB2312"/>
                <w:kern w:val="0"/>
                <w:sz w:val="18"/>
                <w:szCs w:val="18"/>
                <w:highlight w:val="none"/>
                <w:lang w:bidi="ar"/>
              </w:rPr>
              <w:t>煤矿未按照《山东省安全生产条例》规定，对从业人员在上岗前进行安全生产教育和培训的</w:t>
            </w:r>
          </w:p>
        </w:tc>
        <w:tc>
          <w:tcPr>
            <w:tcW w:w="3667" w:type="dxa"/>
            <w:vMerge w:val="restart"/>
            <w:tcBorders>
              <w:tl2br w:val="nil"/>
              <w:tr2bl w:val="nil"/>
            </w:tcBorders>
            <w:shd w:val="clear" w:color="auto" w:fill="auto"/>
            <w:tcMar>
              <w:top w:w="15" w:type="dxa"/>
              <w:left w:w="15" w:type="dxa"/>
              <w:right w:w="15" w:type="dxa"/>
            </w:tcMar>
            <w:vAlign w:val="center"/>
          </w:tcPr>
          <w:p w14:paraId="7693F20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highlight w:val="none"/>
                <w:lang w:bidi="ar"/>
              </w:rPr>
            </w:pPr>
            <w:r>
              <w:rPr>
                <w:rFonts w:hint="eastAsia" w:ascii="仿宋_GB2312" w:hAnsi="宋体" w:eastAsia="仿宋_GB2312" w:cs="仿宋_GB2312"/>
                <w:kern w:val="0"/>
                <w:sz w:val="18"/>
                <w:szCs w:val="18"/>
                <w:highlight w:val="none"/>
                <w:lang w:bidi="ar"/>
              </w:rPr>
              <w:t>《山东省安全生产条例》第二十八条 生产经营单位应当定期对从业人员进行安全生产教育和培训。从业人员未经安全生产教育和培训合格，不得上岗作业。对下列人员，应当在上岗前及时进行安全生产教育和培训：（一）新进从业人员；（二）离岗六个月以上或者换岗的从业人员；（三）采用新工艺、新技术、新材料或者使用新设施、新设备的有关从业人员。从业人员应当接受安全生产教育和培训，掌握本职工作所需的安全生产知识，提高安全生产技能，增强事故预防和应急处置能力。</w:t>
            </w:r>
          </w:p>
        </w:tc>
        <w:tc>
          <w:tcPr>
            <w:tcW w:w="4082" w:type="dxa"/>
            <w:vMerge w:val="restart"/>
            <w:tcBorders>
              <w:tl2br w:val="nil"/>
              <w:tr2bl w:val="nil"/>
            </w:tcBorders>
            <w:shd w:val="clear" w:color="auto" w:fill="auto"/>
            <w:tcMar>
              <w:top w:w="15" w:type="dxa"/>
              <w:left w:w="15" w:type="dxa"/>
              <w:right w:w="15" w:type="dxa"/>
            </w:tcMar>
            <w:vAlign w:val="center"/>
          </w:tcPr>
          <w:p w14:paraId="52BEC8C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highlight w:val="none"/>
                <w:lang w:bidi="ar"/>
              </w:rPr>
            </w:pPr>
            <w:r>
              <w:rPr>
                <w:rFonts w:hint="eastAsia" w:ascii="仿宋_GB2312" w:hAnsi="宋体" w:eastAsia="仿宋_GB2312" w:cs="仿宋_GB2312"/>
                <w:kern w:val="0"/>
                <w:sz w:val="18"/>
                <w:szCs w:val="18"/>
                <w:highlight w:val="none"/>
                <w:lang w:bidi="ar"/>
              </w:rPr>
              <w:t>《山东省安全生产条例》第七十五条 违反本条例规定，生产经营单位有下列情形之一的，责令限期改正，处三万元以上十万元以下的罚款；逾期未改正的，责令停产停业整顿，并处十万元以上二十万元以下的罚款，对直接负责的主管人员和其他直接责任人员处二万元以上五万元以下的罚款：（六）未按照规定对从业人员在上岗前进行安全生产教育和培训的</w:t>
            </w:r>
            <w:r>
              <w:rPr>
                <w:rFonts w:hint="eastAsia" w:ascii="仿宋_GB2312" w:hAnsi="宋体" w:eastAsia="仿宋_GB2312" w:cs="仿宋_GB2312"/>
                <w:kern w:val="0"/>
                <w:sz w:val="18"/>
                <w:szCs w:val="18"/>
                <w:highlight w:val="none"/>
                <w:lang w:eastAsia="zh-CN" w:bidi="ar"/>
              </w:rPr>
              <w:t>。</w:t>
            </w:r>
          </w:p>
        </w:tc>
        <w:tc>
          <w:tcPr>
            <w:tcW w:w="459" w:type="dxa"/>
            <w:tcBorders>
              <w:bottom w:val="single" w:color="auto" w:sz="4" w:space="0"/>
              <w:tl2br w:val="nil"/>
              <w:tr2bl w:val="nil"/>
            </w:tcBorders>
            <w:shd w:val="clear" w:color="auto" w:fill="auto"/>
            <w:noWrap/>
            <w:tcMar>
              <w:top w:w="15" w:type="dxa"/>
              <w:left w:w="15" w:type="dxa"/>
              <w:right w:w="15" w:type="dxa"/>
            </w:tcMar>
            <w:vAlign w:val="center"/>
          </w:tcPr>
          <w:p w14:paraId="46E73E1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highlight w:val="none"/>
                <w:lang w:bidi="ar"/>
              </w:rPr>
            </w:pPr>
            <w:r>
              <w:rPr>
                <w:rFonts w:hint="eastAsia" w:ascii="仿宋_GB2312" w:hAnsi="宋体" w:eastAsia="仿宋_GB2312" w:cs="仿宋_GB2312"/>
                <w:kern w:val="0"/>
                <w:sz w:val="18"/>
                <w:szCs w:val="18"/>
                <w:highlight w:val="none"/>
                <w:lang w:bidi="ar"/>
              </w:rPr>
              <w:t>不予处罚</w:t>
            </w:r>
          </w:p>
        </w:tc>
        <w:tc>
          <w:tcPr>
            <w:tcW w:w="1829" w:type="dxa"/>
            <w:tcBorders>
              <w:bottom w:val="single" w:color="auto" w:sz="4" w:space="0"/>
              <w:tl2br w:val="nil"/>
              <w:tr2bl w:val="nil"/>
            </w:tcBorders>
            <w:shd w:val="clear" w:color="auto" w:fill="auto"/>
            <w:tcMar>
              <w:top w:w="15" w:type="dxa"/>
              <w:left w:w="15" w:type="dxa"/>
              <w:right w:w="15" w:type="dxa"/>
            </w:tcMar>
            <w:vAlign w:val="center"/>
          </w:tcPr>
          <w:p w14:paraId="07881EE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highlight w:val="none"/>
                <w:lang w:bidi="ar"/>
              </w:rPr>
            </w:pPr>
            <w:r>
              <w:rPr>
                <w:rFonts w:hint="eastAsia" w:ascii="仿宋_GB2312" w:hAnsi="宋体" w:eastAsia="仿宋_GB2312" w:cs="仿宋_GB2312"/>
                <w:kern w:val="0"/>
                <w:sz w:val="18"/>
                <w:szCs w:val="18"/>
                <w:highlight w:val="none"/>
                <w:lang w:bidi="ar"/>
              </w:rPr>
              <w:t>适用总则规定</w:t>
            </w:r>
          </w:p>
        </w:tc>
        <w:tc>
          <w:tcPr>
            <w:tcW w:w="2655" w:type="dxa"/>
            <w:tcBorders>
              <w:bottom w:val="single" w:color="auto" w:sz="4" w:space="0"/>
              <w:tl2br w:val="nil"/>
              <w:tr2bl w:val="nil"/>
            </w:tcBorders>
            <w:shd w:val="clear" w:color="auto" w:fill="auto"/>
            <w:tcMar>
              <w:top w:w="15" w:type="dxa"/>
              <w:left w:w="15" w:type="dxa"/>
              <w:right w:w="15" w:type="dxa"/>
            </w:tcMar>
            <w:vAlign w:val="center"/>
          </w:tcPr>
          <w:p w14:paraId="0980121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highlight w:val="none"/>
                <w:lang w:bidi="ar"/>
              </w:rPr>
            </w:pPr>
            <w:r>
              <w:rPr>
                <w:rFonts w:hint="eastAsia" w:ascii="仿宋_GB2312" w:hAnsi="宋体" w:eastAsia="仿宋_GB2312" w:cs="仿宋_GB2312"/>
                <w:kern w:val="0"/>
                <w:sz w:val="18"/>
                <w:szCs w:val="18"/>
                <w:highlight w:val="none"/>
                <w:lang w:bidi="ar"/>
              </w:rPr>
              <w:t>无</w:t>
            </w:r>
          </w:p>
        </w:tc>
      </w:tr>
      <w:tr w14:paraId="272115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72284C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5" w:type="dxa"/>
            <w:vMerge w:val="continue"/>
            <w:tcBorders>
              <w:tl2br w:val="nil"/>
              <w:tr2bl w:val="nil"/>
            </w:tcBorders>
            <w:shd w:val="clear" w:color="auto" w:fill="auto"/>
            <w:tcMar>
              <w:top w:w="15" w:type="dxa"/>
              <w:left w:w="15" w:type="dxa"/>
              <w:right w:w="15" w:type="dxa"/>
            </w:tcMar>
            <w:vAlign w:val="center"/>
          </w:tcPr>
          <w:p w14:paraId="7EF735E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3667" w:type="dxa"/>
            <w:vMerge w:val="continue"/>
            <w:tcBorders>
              <w:tl2br w:val="nil"/>
              <w:tr2bl w:val="nil"/>
            </w:tcBorders>
            <w:shd w:val="clear" w:color="auto" w:fill="auto"/>
            <w:tcMar>
              <w:top w:w="15" w:type="dxa"/>
              <w:left w:w="15" w:type="dxa"/>
              <w:right w:w="15" w:type="dxa"/>
            </w:tcMar>
            <w:vAlign w:val="center"/>
          </w:tcPr>
          <w:p w14:paraId="10C3A4F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2" w:type="dxa"/>
            <w:vMerge w:val="continue"/>
            <w:tcBorders>
              <w:tl2br w:val="nil"/>
              <w:tr2bl w:val="nil"/>
            </w:tcBorders>
            <w:shd w:val="clear" w:color="auto" w:fill="auto"/>
            <w:tcMar>
              <w:top w:w="15" w:type="dxa"/>
              <w:left w:w="15" w:type="dxa"/>
              <w:right w:w="15" w:type="dxa"/>
            </w:tcMar>
            <w:vAlign w:val="center"/>
          </w:tcPr>
          <w:p w14:paraId="37AC54A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59"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1C063C6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免予处罚</w:t>
            </w:r>
          </w:p>
        </w:tc>
        <w:tc>
          <w:tcPr>
            <w:tcW w:w="1829"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20E80CE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不适用</w:t>
            </w:r>
          </w:p>
        </w:tc>
        <w:tc>
          <w:tcPr>
            <w:tcW w:w="2655"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24EF2DC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5BA00A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C0A80C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5" w:type="dxa"/>
            <w:vMerge w:val="continue"/>
            <w:tcBorders>
              <w:tl2br w:val="nil"/>
              <w:tr2bl w:val="nil"/>
            </w:tcBorders>
            <w:shd w:val="clear" w:color="auto" w:fill="auto"/>
            <w:tcMar>
              <w:top w:w="15" w:type="dxa"/>
              <w:left w:w="15" w:type="dxa"/>
              <w:right w:w="15" w:type="dxa"/>
            </w:tcMar>
            <w:vAlign w:val="center"/>
          </w:tcPr>
          <w:p w14:paraId="1567A6B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3667" w:type="dxa"/>
            <w:vMerge w:val="continue"/>
            <w:tcBorders>
              <w:tl2br w:val="nil"/>
              <w:tr2bl w:val="nil"/>
            </w:tcBorders>
            <w:shd w:val="clear" w:color="auto" w:fill="auto"/>
            <w:tcMar>
              <w:top w:w="15" w:type="dxa"/>
              <w:left w:w="15" w:type="dxa"/>
              <w:right w:w="15" w:type="dxa"/>
            </w:tcMar>
            <w:vAlign w:val="center"/>
          </w:tcPr>
          <w:p w14:paraId="64A2790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2" w:type="dxa"/>
            <w:vMerge w:val="continue"/>
            <w:tcBorders>
              <w:tl2br w:val="nil"/>
              <w:tr2bl w:val="nil"/>
            </w:tcBorders>
            <w:shd w:val="clear" w:color="auto" w:fill="auto"/>
            <w:tcMar>
              <w:top w:w="15" w:type="dxa"/>
              <w:left w:w="15" w:type="dxa"/>
              <w:right w:w="15" w:type="dxa"/>
            </w:tcMar>
            <w:vAlign w:val="center"/>
          </w:tcPr>
          <w:p w14:paraId="5D1049C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59"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421F219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减轻处罚</w:t>
            </w:r>
          </w:p>
        </w:tc>
        <w:tc>
          <w:tcPr>
            <w:tcW w:w="1829"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36AB8C1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655"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3DCD429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3EA671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887DEB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5" w:type="dxa"/>
            <w:vMerge w:val="continue"/>
            <w:tcBorders>
              <w:tl2br w:val="nil"/>
              <w:tr2bl w:val="nil"/>
            </w:tcBorders>
            <w:shd w:val="clear" w:color="auto" w:fill="auto"/>
            <w:tcMar>
              <w:top w:w="15" w:type="dxa"/>
              <w:left w:w="15" w:type="dxa"/>
              <w:right w:w="15" w:type="dxa"/>
            </w:tcMar>
            <w:vAlign w:val="center"/>
          </w:tcPr>
          <w:p w14:paraId="310CB91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3667" w:type="dxa"/>
            <w:vMerge w:val="continue"/>
            <w:tcBorders>
              <w:tl2br w:val="nil"/>
              <w:tr2bl w:val="nil"/>
            </w:tcBorders>
            <w:shd w:val="clear" w:color="auto" w:fill="auto"/>
            <w:tcMar>
              <w:top w:w="15" w:type="dxa"/>
              <w:left w:w="15" w:type="dxa"/>
              <w:right w:w="15" w:type="dxa"/>
            </w:tcMar>
            <w:vAlign w:val="center"/>
          </w:tcPr>
          <w:p w14:paraId="10B87DD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2" w:type="dxa"/>
            <w:vMerge w:val="continue"/>
            <w:tcBorders>
              <w:tl2br w:val="nil"/>
              <w:tr2bl w:val="nil"/>
            </w:tcBorders>
            <w:shd w:val="clear" w:color="auto" w:fill="auto"/>
            <w:tcMar>
              <w:top w:w="15" w:type="dxa"/>
              <w:left w:w="15" w:type="dxa"/>
              <w:right w:w="15" w:type="dxa"/>
            </w:tcMar>
            <w:vAlign w:val="center"/>
          </w:tcPr>
          <w:p w14:paraId="71B9210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59"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0805DE9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从轻处罚</w:t>
            </w:r>
          </w:p>
        </w:tc>
        <w:tc>
          <w:tcPr>
            <w:tcW w:w="1829"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19AE68F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sz w:val="18"/>
                <w:szCs w:val="18"/>
              </w:rPr>
              <w:t>未按照规定</w:t>
            </w:r>
            <w:r>
              <w:rPr>
                <w:rFonts w:hint="eastAsia" w:ascii="仿宋_GB2312" w:hAnsi="宋体" w:eastAsia="仿宋_GB2312" w:cs="仿宋_GB2312"/>
                <w:kern w:val="0"/>
                <w:sz w:val="18"/>
                <w:szCs w:val="18"/>
                <w:lang w:bidi="ar"/>
              </w:rPr>
              <w:t>对从业人员在上岗前进行安全生产教育和培训，涉及3人次以下的。</w:t>
            </w:r>
          </w:p>
        </w:tc>
        <w:tc>
          <w:tcPr>
            <w:tcW w:w="2655"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0A1007B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w:t>
            </w:r>
            <w:r>
              <w:rPr>
                <w:rFonts w:ascii="仿宋_GB2312" w:hAnsi="宋体" w:eastAsia="仿宋_GB2312" w:cs="仿宋_GB2312"/>
                <w:kern w:val="0"/>
                <w:sz w:val="18"/>
                <w:szCs w:val="18"/>
                <w:lang w:bidi="ar"/>
              </w:rPr>
              <w:t>3</w:t>
            </w:r>
            <w:r>
              <w:rPr>
                <w:rFonts w:hint="eastAsia" w:ascii="仿宋_GB2312" w:hAnsi="宋体" w:eastAsia="仿宋_GB2312" w:cs="仿宋_GB2312"/>
                <w:kern w:val="0"/>
                <w:sz w:val="18"/>
                <w:szCs w:val="18"/>
                <w:lang w:bidi="ar"/>
              </w:rPr>
              <w:t>万元以上5万元以下的罚款。</w:t>
            </w:r>
          </w:p>
        </w:tc>
      </w:tr>
      <w:tr w14:paraId="3A60E7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4D280C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5" w:type="dxa"/>
            <w:vMerge w:val="continue"/>
            <w:tcBorders>
              <w:tl2br w:val="nil"/>
              <w:tr2bl w:val="nil"/>
            </w:tcBorders>
            <w:shd w:val="clear" w:color="auto" w:fill="auto"/>
            <w:tcMar>
              <w:top w:w="15" w:type="dxa"/>
              <w:left w:w="15" w:type="dxa"/>
              <w:right w:w="15" w:type="dxa"/>
            </w:tcMar>
            <w:vAlign w:val="center"/>
          </w:tcPr>
          <w:p w14:paraId="425F514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3667" w:type="dxa"/>
            <w:vMerge w:val="continue"/>
            <w:tcBorders>
              <w:tl2br w:val="nil"/>
              <w:tr2bl w:val="nil"/>
            </w:tcBorders>
            <w:shd w:val="clear" w:color="auto" w:fill="auto"/>
            <w:tcMar>
              <w:top w:w="15" w:type="dxa"/>
              <w:left w:w="15" w:type="dxa"/>
              <w:right w:w="15" w:type="dxa"/>
            </w:tcMar>
            <w:vAlign w:val="center"/>
          </w:tcPr>
          <w:p w14:paraId="091F050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2" w:type="dxa"/>
            <w:vMerge w:val="continue"/>
            <w:tcBorders>
              <w:tl2br w:val="nil"/>
              <w:tr2bl w:val="nil"/>
            </w:tcBorders>
            <w:shd w:val="clear" w:color="auto" w:fill="auto"/>
            <w:tcMar>
              <w:top w:w="15" w:type="dxa"/>
              <w:left w:w="15" w:type="dxa"/>
              <w:right w:w="15" w:type="dxa"/>
            </w:tcMar>
            <w:vAlign w:val="center"/>
          </w:tcPr>
          <w:p w14:paraId="17FA89F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59"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77E2212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一般处罚</w:t>
            </w:r>
          </w:p>
        </w:tc>
        <w:tc>
          <w:tcPr>
            <w:tcW w:w="1829"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1502302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sz w:val="18"/>
                <w:szCs w:val="18"/>
              </w:rPr>
              <w:t>未按照规定</w:t>
            </w:r>
            <w:r>
              <w:rPr>
                <w:rFonts w:hint="eastAsia" w:ascii="仿宋_GB2312" w:hAnsi="宋体" w:eastAsia="仿宋_GB2312" w:cs="仿宋_GB2312"/>
                <w:kern w:val="0"/>
                <w:sz w:val="18"/>
                <w:szCs w:val="18"/>
                <w:lang w:bidi="ar"/>
              </w:rPr>
              <w:t>对从业人员在上岗前</w:t>
            </w:r>
            <w:r>
              <w:rPr>
                <w:rFonts w:hint="eastAsia" w:ascii="仿宋_GB2312" w:hAnsi="宋体" w:eastAsia="仿宋_GB2312" w:cs="仿宋_GB2312"/>
                <w:sz w:val="18"/>
                <w:szCs w:val="18"/>
              </w:rPr>
              <w:t>进行安全生产教育和培训，涉及3人</w:t>
            </w:r>
            <w:r>
              <w:rPr>
                <w:rFonts w:hint="eastAsia" w:ascii="仿宋_GB2312" w:hAnsi="宋体" w:eastAsia="仿宋_GB2312" w:cs="仿宋_GB2312"/>
                <w:kern w:val="0"/>
                <w:sz w:val="18"/>
                <w:szCs w:val="18"/>
                <w:lang w:bidi="ar"/>
              </w:rPr>
              <w:t>（次）以上5</w:t>
            </w:r>
            <w:r>
              <w:rPr>
                <w:rFonts w:hint="eastAsia" w:ascii="仿宋_GB2312" w:hAnsi="宋体" w:eastAsia="仿宋_GB2312" w:cs="仿宋_GB2312"/>
                <w:sz w:val="18"/>
                <w:szCs w:val="18"/>
              </w:rPr>
              <w:t>人</w:t>
            </w:r>
            <w:r>
              <w:rPr>
                <w:rFonts w:hint="eastAsia" w:ascii="仿宋_GB2312" w:hAnsi="宋体" w:eastAsia="仿宋_GB2312" w:cs="仿宋_GB2312"/>
                <w:kern w:val="0"/>
                <w:sz w:val="18"/>
                <w:szCs w:val="18"/>
                <w:lang w:bidi="ar"/>
              </w:rPr>
              <w:t>（次）</w:t>
            </w:r>
            <w:r>
              <w:rPr>
                <w:rFonts w:hint="eastAsia" w:ascii="仿宋_GB2312" w:hAnsi="宋体" w:eastAsia="仿宋_GB2312" w:cs="仿宋_GB2312"/>
                <w:sz w:val="18"/>
                <w:szCs w:val="18"/>
              </w:rPr>
              <w:t>以下的。</w:t>
            </w:r>
          </w:p>
        </w:tc>
        <w:tc>
          <w:tcPr>
            <w:tcW w:w="2655"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12D69A0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处5万元以上7万元以下的罚款。</w:t>
            </w:r>
          </w:p>
        </w:tc>
      </w:tr>
      <w:tr w14:paraId="605231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C1B98C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5" w:type="dxa"/>
            <w:vMerge w:val="continue"/>
            <w:tcBorders>
              <w:tl2br w:val="nil"/>
              <w:tr2bl w:val="nil"/>
            </w:tcBorders>
            <w:shd w:val="clear" w:color="auto" w:fill="auto"/>
            <w:tcMar>
              <w:top w:w="15" w:type="dxa"/>
              <w:left w:w="15" w:type="dxa"/>
              <w:right w:w="15" w:type="dxa"/>
            </w:tcMar>
            <w:vAlign w:val="center"/>
          </w:tcPr>
          <w:p w14:paraId="50EC357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3667" w:type="dxa"/>
            <w:vMerge w:val="continue"/>
            <w:tcBorders>
              <w:tl2br w:val="nil"/>
              <w:tr2bl w:val="nil"/>
            </w:tcBorders>
            <w:shd w:val="clear" w:color="auto" w:fill="auto"/>
            <w:tcMar>
              <w:top w:w="15" w:type="dxa"/>
              <w:left w:w="15" w:type="dxa"/>
              <w:right w:w="15" w:type="dxa"/>
            </w:tcMar>
            <w:vAlign w:val="center"/>
          </w:tcPr>
          <w:p w14:paraId="3FBCEDA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2" w:type="dxa"/>
            <w:vMerge w:val="continue"/>
            <w:tcBorders>
              <w:tl2br w:val="nil"/>
              <w:tr2bl w:val="nil"/>
            </w:tcBorders>
            <w:shd w:val="clear" w:color="auto" w:fill="auto"/>
            <w:tcMar>
              <w:top w:w="15" w:type="dxa"/>
              <w:left w:w="15" w:type="dxa"/>
              <w:right w:w="15" w:type="dxa"/>
            </w:tcMar>
            <w:vAlign w:val="center"/>
          </w:tcPr>
          <w:p w14:paraId="515F761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59"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7D27E52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从重处罚</w:t>
            </w:r>
          </w:p>
        </w:tc>
        <w:tc>
          <w:tcPr>
            <w:tcW w:w="1829"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40FBCE1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sz w:val="18"/>
                <w:szCs w:val="18"/>
              </w:rPr>
              <w:t>未按照规定</w:t>
            </w:r>
            <w:r>
              <w:rPr>
                <w:rFonts w:hint="eastAsia" w:ascii="仿宋_GB2312" w:hAnsi="宋体" w:eastAsia="仿宋_GB2312" w:cs="仿宋_GB2312"/>
                <w:kern w:val="0"/>
                <w:sz w:val="18"/>
                <w:szCs w:val="18"/>
                <w:lang w:bidi="ar"/>
              </w:rPr>
              <w:t>对从业人员在上岗前</w:t>
            </w:r>
            <w:r>
              <w:rPr>
                <w:rFonts w:hint="eastAsia" w:ascii="仿宋_GB2312" w:hAnsi="宋体" w:eastAsia="仿宋_GB2312" w:cs="仿宋_GB2312"/>
                <w:sz w:val="18"/>
                <w:szCs w:val="18"/>
              </w:rPr>
              <w:t>进行安全生产教育和培训，涉及</w:t>
            </w:r>
            <w:r>
              <w:rPr>
                <w:rFonts w:hint="eastAsia" w:ascii="仿宋_GB2312" w:hAnsi="宋体" w:eastAsia="仿宋_GB2312" w:cs="仿宋_GB2312"/>
                <w:kern w:val="0"/>
                <w:sz w:val="18"/>
                <w:szCs w:val="18"/>
                <w:lang w:bidi="ar"/>
              </w:rPr>
              <w:t>5</w:t>
            </w:r>
            <w:r>
              <w:rPr>
                <w:rFonts w:hint="eastAsia" w:ascii="仿宋_GB2312" w:hAnsi="宋体" w:eastAsia="仿宋_GB2312" w:cs="仿宋_GB2312"/>
                <w:sz w:val="18"/>
                <w:szCs w:val="18"/>
              </w:rPr>
              <w:t>人</w:t>
            </w:r>
            <w:r>
              <w:rPr>
                <w:rFonts w:hint="eastAsia" w:ascii="仿宋_GB2312" w:hAnsi="宋体" w:eastAsia="仿宋_GB2312" w:cs="仿宋_GB2312"/>
                <w:kern w:val="0"/>
                <w:sz w:val="18"/>
                <w:szCs w:val="18"/>
                <w:lang w:bidi="ar"/>
              </w:rPr>
              <w:t>（次）</w:t>
            </w:r>
            <w:r>
              <w:rPr>
                <w:rFonts w:hint="eastAsia" w:ascii="仿宋_GB2312" w:hAnsi="宋体" w:eastAsia="仿宋_GB2312" w:cs="仿宋_GB2312"/>
                <w:sz w:val="18"/>
                <w:szCs w:val="18"/>
              </w:rPr>
              <w:t>以上的。</w:t>
            </w:r>
          </w:p>
        </w:tc>
        <w:tc>
          <w:tcPr>
            <w:tcW w:w="2655"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546A264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处7万元以上10万元以下的罚款。</w:t>
            </w:r>
          </w:p>
        </w:tc>
      </w:tr>
      <w:tr w14:paraId="3CF947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1D81100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kern w:val="0"/>
                <w:sz w:val="18"/>
                <w:szCs w:val="18"/>
                <w:highlight w:val="none"/>
                <w:lang w:val="en-US" w:eastAsia="zh-CN" w:bidi="ar"/>
              </w:rPr>
            </w:pPr>
            <w:r>
              <w:rPr>
                <w:rFonts w:hint="eastAsia" w:ascii="仿宋_GB2312" w:hAnsi="宋体" w:eastAsia="仿宋_GB2312" w:cs="仿宋_GB2312"/>
                <w:kern w:val="0"/>
                <w:sz w:val="18"/>
                <w:szCs w:val="18"/>
                <w:highlight w:val="none"/>
                <w:lang w:bidi="ar"/>
              </w:rPr>
              <w:t>1</w:t>
            </w:r>
            <w:del w:id="2831" w:author="LV" w:date="2026-07-14T16:59:06Z">
              <w:r>
                <w:rPr>
                  <w:rFonts w:hint="default" w:ascii="仿宋_GB2312" w:hAnsi="宋体" w:eastAsia="仿宋_GB2312" w:cs="仿宋_GB2312"/>
                  <w:kern w:val="0"/>
                  <w:sz w:val="18"/>
                  <w:szCs w:val="18"/>
                  <w:highlight w:val="none"/>
                  <w:lang w:val="en-US" w:bidi="ar"/>
                </w:rPr>
                <w:delText>5</w:delText>
              </w:r>
            </w:del>
            <w:del w:id="2832" w:author="LV" w:date="2026-07-14T16:59:06Z">
              <w:r>
                <w:rPr>
                  <w:rFonts w:hint="default" w:ascii="仿宋_GB2312" w:hAnsi="宋体" w:eastAsia="仿宋_GB2312" w:cs="仿宋_GB2312"/>
                  <w:kern w:val="0"/>
                  <w:sz w:val="18"/>
                  <w:szCs w:val="18"/>
                  <w:highlight w:val="none"/>
                  <w:lang w:val="en-US" w:eastAsia="zh-CN" w:bidi="ar"/>
                </w:rPr>
                <w:delText>8</w:delText>
              </w:r>
            </w:del>
            <w:ins w:id="2833" w:author="LV" w:date="2026-07-14T16:59:06Z">
              <w:r>
                <w:rPr>
                  <w:rFonts w:hint="eastAsia" w:ascii="仿宋_GB2312" w:hAnsi="宋体" w:eastAsia="仿宋_GB2312" w:cs="仿宋_GB2312"/>
                  <w:kern w:val="0"/>
                  <w:sz w:val="18"/>
                  <w:szCs w:val="18"/>
                  <w:highlight w:val="none"/>
                  <w:lang w:val="en-US" w:eastAsia="zh-CN" w:bidi="ar"/>
                </w:rPr>
                <w:t>6</w:t>
              </w:r>
            </w:ins>
            <w:ins w:id="2834" w:author="LV" w:date="2026-07-14T16:59:07Z">
              <w:r>
                <w:rPr>
                  <w:rFonts w:hint="eastAsia" w:ascii="仿宋_GB2312" w:hAnsi="宋体" w:eastAsia="仿宋_GB2312" w:cs="仿宋_GB2312"/>
                  <w:kern w:val="0"/>
                  <w:sz w:val="18"/>
                  <w:szCs w:val="18"/>
                  <w:highlight w:val="none"/>
                  <w:lang w:val="en-US" w:eastAsia="zh-CN" w:bidi="ar"/>
                </w:rPr>
                <w:t>5</w:t>
              </w:r>
            </w:ins>
          </w:p>
        </w:tc>
        <w:tc>
          <w:tcPr>
            <w:tcW w:w="1005" w:type="dxa"/>
            <w:vMerge w:val="restart"/>
            <w:tcBorders>
              <w:tl2br w:val="nil"/>
              <w:tr2bl w:val="nil"/>
            </w:tcBorders>
            <w:shd w:val="clear" w:color="auto" w:fill="auto"/>
            <w:tcMar>
              <w:top w:w="15" w:type="dxa"/>
              <w:left w:w="15" w:type="dxa"/>
              <w:right w:w="15" w:type="dxa"/>
            </w:tcMar>
            <w:vAlign w:val="center"/>
          </w:tcPr>
          <w:p w14:paraId="053CBBF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highlight w:val="none"/>
                <w:lang w:bidi="ar"/>
              </w:rPr>
            </w:pPr>
            <w:r>
              <w:rPr>
                <w:rFonts w:hint="eastAsia" w:ascii="仿宋_GB2312" w:hAnsi="宋体" w:eastAsia="仿宋_GB2312" w:cs="仿宋_GB2312"/>
                <w:kern w:val="0"/>
                <w:sz w:val="18"/>
                <w:szCs w:val="18"/>
                <w:highlight w:val="none"/>
                <w:lang w:bidi="ar"/>
              </w:rPr>
              <w:t>煤矿未按照《山东省安全生产条例》规定，对从业人员上岗前及时进行安全生产教育和培训，逾期未改正的；</w:t>
            </w:r>
          </w:p>
        </w:tc>
        <w:tc>
          <w:tcPr>
            <w:tcW w:w="3667" w:type="dxa"/>
            <w:vMerge w:val="restart"/>
            <w:tcBorders>
              <w:tl2br w:val="nil"/>
              <w:tr2bl w:val="nil"/>
            </w:tcBorders>
            <w:shd w:val="clear" w:color="auto" w:fill="auto"/>
            <w:tcMar>
              <w:top w:w="15" w:type="dxa"/>
              <w:left w:w="15" w:type="dxa"/>
              <w:right w:w="15" w:type="dxa"/>
            </w:tcMar>
            <w:vAlign w:val="center"/>
          </w:tcPr>
          <w:p w14:paraId="6ECB244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highlight w:val="none"/>
                <w:lang w:bidi="ar"/>
              </w:rPr>
            </w:pPr>
            <w:r>
              <w:rPr>
                <w:rFonts w:hint="eastAsia" w:ascii="仿宋_GB2312" w:hAnsi="宋体" w:eastAsia="仿宋_GB2312" w:cs="仿宋_GB2312"/>
                <w:kern w:val="0"/>
                <w:sz w:val="18"/>
                <w:szCs w:val="18"/>
                <w:highlight w:val="none"/>
                <w:lang w:bidi="ar"/>
              </w:rPr>
              <w:t>《山东省安全生产条例》第二十八条 生产经营单位应当定期对从业人员进行安全生产教育和培训。从业人员未经安全生产教育和培训合格，不得上岗作业。对下列人员，应当在上岗前及时进行安全生产教育和培训：（一）新进从业人员；（二）离岗六个月以上或者换岗的从业人员；（三）采用新工艺、新技术、新材料或者使用新设施、新设备的有关从业人员。从业人员应当接受安全生产教育和培训，掌握本职工作所需的安全生产知识，提高安全生产技能，增强事故预防和应急处置能力。</w:t>
            </w:r>
          </w:p>
        </w:tc>
        <w:tc>
          <w:tcPr>
            <w:tcW w:w="4082" w:type="dxa"/>
            <w:vMerge w:val="restart"/>
            <w:tcBorders>
              <w:tl2br w:val="nil"/>
              <w:tr2bl w:val="nil"/>
            </w:tcBorders>
            <w:shd w:val="clear" w:color="auto" w:fill="auto"/>
            <w:tcMar>
              <w:top w:w="15" w:type="dxa"/>
              <w:left w:w="15" w:type="dxa"/>
              <w:right w:w="15" w:type="dxa"/>
            </w:tcMar>
            <w:vAlign w:val="center"/>
          </w:tcPr>
          <w:p w14:paraId="43D98B6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highlight w:val="none"/>
                <w:lang w:bidi="ar"/>
              </w:rPr>
            </w:pPr>
            <w:r>
              <w:rPr>
                <w:rFonts w:hint="eastAsia" w:ascii="仿宋_GB2312" w:hAnsi="宋体" w:eastAsia="仿宋_GB2312" w:cs="仿宋_GB2312"/>
                <w:kern w:val="0"/>
                <w:sz w:val="18"/>
                <w:szCs w:val="18"/>
                <w:highlight w:val="none"/>
                <w:lang w:bidi="ar"/>
              </w:rPr>
              <w:t>《山东省安全生产条例》第七十五条 违反本条例规定，生产经营单位有下列情形之一的，责令限期改正，处三万元以上十万元以下的罚款；逾期未改正的，责令停产停业整顿，并处十万元以上二十万元以下的罚款，对直接负责的主管人员和其他直接责任人员处二万元以上五万元以下的罚款：（六）未按照规定对从业人员在上岗前进行安全生产教育和培训的</w:t>
            </w:r>
            <w:r>
              <w:rPr>
                <w:rFonts w:hint="eastAsia" w:ascii="仿宋_GB2312" w:hAnsi="宋体" w:eastAsia="仿宋_GB2312" w:cs="仿宋_GB2312"/>
                <w:kern w:val="0"/>
                <w:sz w:val="18"/>
                <w:szCs w:val="18"/>
                <w:highlight w:val="none"/>
                <w:lang w:eastAsia="zh-CN" w:bidi="ar"/>
              </w:rPr>
              <w:t>。</w:t>
            </w:r>
          </w:p>
        </w:tc>
        <w:tc>
          <w:tcPr>
            <w:tcW w:w="459" w:type="dxa"/>
            <w:tcBorders>
              <w:bottom w:val="single" w:color="auto" w:sz="4" w:space="0"/>
              <w:tl2br w:val="nil"/>
              <w:tr2bl w:val="nil"/>
            </w:tcBorders>
            <w:shd w:val="clear" w:color="auto" w:fill="auto"/>
            <w:noWrap/>
            <w:tcMar>
              <w:top w:w="15" w:type="dxa"/>
              <w:left w:w="15" w:type="dxa"/>
              <w:right w:w="15" w:type="dxa"/>
            </w:tcMar>
            <w:vAlign w:val="center"/>
          </w:tcPr>
          <w:p w14:paraId="52A9D617">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textAlignment w:val="center"/>
              <w:rPr>
                <w:rFonts w:ascii="仿宋_GB2312" w:hAnsi="宋体" w:eastAsia="仿宋_GB2312" w:cs="仿宋_GB2312"/>
                <w:kern w:val="0"/>
                <w:sz w:val="18"/>
                <w:szCs w:val="18"/>
                <w:highlight w:val="none"/>
                <w:lang w:bidi="ar"/>
              </w:rPr>
            </w:pPr>
            <w:r>
              <w:rPr>
                <w:rFonts w:hint="eastAsia" w:ascii="仿宋_GB2312" w:hAnsi="宋体" w:eastAsia="仿宋_GB2312" w:cs="仿宋_GB2312"/>
                <w:kern w:val="0"/>
                <w:sz w:val="18"/>
                <w:szCs w:val="18"/>
                <w:highlight w:val="none"/>
                <w:lang w:bidi="ar"/>
              </w:rPr>
              <w:t>不予处罚</w:t>
            </w:r>
          </w:p>
        </w:tc>
        <w:tc>
          <w:tcPr>
            <w:tcW w:w="1829" w:type="dxa"/>
            <w:tcBorders>
              <w:bottom w:val="single" w:color="auto" w:sz="4" w:space="0"/>
              <w:tl2br w:val="nil"/>
              <w:tr2bl w:val="nil"/>
            </w:tcBorders>
            <w:shd w:val="clear" w:color="auto" w:fill="auto"/>
            <w:tcMar>
              <w:top w:w="15" w:type="dxa"/>
              <w:left w:w="15" w:type="dxa"/>
              <w:right w:w="15" w:type="dxa"/>
            </w:tcMar>
            <w:vAlign w:val="center"/>
          </w:tcPr>
          <w:p w14:paraId="638AEAA7">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kern w:val="0"/>
                <w:sz w:val="18"/>
                <w:szCs w:val="18"/>
                <w:highlight w:val="none"/>
                <w:lang w:bidi="ar"/>
              </w:rPr>
            </w:pPr>
            <w:r>
              <w:rPr>
                <w:rFonts w:hint="eastAsia" w:ascii="仿宋_GB2312" w:hAnsi="宋体" w:eastAsia="仿宋_GB2312" w:cs="仿宋_GB2312"/>
                <w:kern w:val="0"/>
                <w:sz w:val="18"/>
                <w:szCs w:val="18"/>
                <w:highlight w:val="none"/>
                <w:lang w:bidi="ar"/>
              </w:rPr>
              <w:t>适用总则规定</w:t>
            </w:r>
          </w:p>
        </w:tc>
        <w:tc>
          <w:tcPr>
            <w:tcW w:w="2655" w:type="dxa"/>
            <w:tcBorders>
              <w:bottom w:val="single" w:color="auto" w:sz="4" w:space="0"/>
              <w:tl2br w:val="nil"/>
              <w:tr2bl w:val="nil"/>
            </w:tcBorders>
            <w:shd w:val="clear" w:color="auto" w:fill="auto"/>
            <w:tcMar>
              <w:top w:w="15" w:type="dxa"/>
              <w:left w:w="15" w:type="dxa"/>
              <w:right w:w="15" w:type="dxa"/>
            </w:tcMar>
            <w:vAlign w:val="center"/>
          </w:tcPr>
          <w:p w14:paraId="301A3E7F">
            <w:pPr>
              <w:keepNext w:val="0"/>
              <w:keepLines w:val="0"/>
              <w:pageBreakBefore w:val="0"/>
              <w:widowControl w:val="0"/>
              <w:kinsoku/>
              <w:wordWrap/>
              <w:overflowPunct w:val="0"/>
              <w:topLinePunct w:val="0"/>
              <w:autoSpaceDE/>
              <w:autoSpaceDN/>
              <w:bidi w:val="0"/>
              <w:adjustRightInd/>
              <w:snapToGrid/>
              <w:spacing w:line="260" w:lineRule="exact"/>
              <w:jc w:val="center"/>
              <w:textAlignment w:val="center"/>
              <w:rPr>
                <w:rFonts w:ascii="仿宋_GB2312" w:hAnsi="宋体" w:eastAsia="仿宋_GB2312" w:cs="仿宋_GB2312"/>
                <w:kern w:val="0"/>
                <w:sz w:val="18"/>
                <w:szCs w:val="18"/>
                <w:highlight w:val="none"/>
                <w:lang w:bidi="ar"/>
              </w:rPr>
            </w:pPr>
            <w:r>
              <w:rPr>
                <w:rFonts w:hint="eastAsia" w:ascii="仿宋_GB2312" w:hAnsi="宋体" w:eastAsia="仿宋_GB2312" w:cs="仿宋_GB2312"/>
                <w:kern w:val="0"/>
                <w:sz w:val="18"/>
                <w:szCs w:val="18"/>
                <w:highlight w:val="none"/>
                <w:lang w:bidi="ar"/>
              </w:rPr>
              <w:t>无</w:t>
            </w:r>
          </w:p>
        </w:tc>
      </w:tr>
      <w:tr w14:paraId="7ACC96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13A7DE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5" w:type="dxa"/>
            <w:vMerge w:val="continue"/>
            <w:tcBorders>
              <w:tl2br w:val="nil"/>
              <w:tr2bl w:val="nil"/>
            </w:tcBorders>
            <w:shd w:val="clear" w:color="auto" w:fill="auto"/>
            <w:tcMar>
              <w:top w:w="15" w:type="dxa"/>
              <w:left w:w="15" w:type="dxa"/>
              <w:right w:w="15" w:type="dxa"/>
            </w:tcMar>
            <w:vAlign w:val="center"/>
          </w:tcPr>
          <w:p w14:paraId="57946DA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3667" w:type="dxa"/>
            <w:vMerge w:val="continue"/>
            <w:tcBorders>
              <w:tl2br w:val="nil"/>
              <w:tr2bl w:val="nil"/>
            </w:tcBorders>
            <w:shd w:val="clear" w:color="auto" w:fill="auto"/>
            <w:tcMar>
              <w:top w:w="15" w:type="dxa"/>
              <w:left w:w="15" w:type="dxa"/>
              <w:right w:w="15" w:type="dxa"/>
            </w:tcMar>
            <w:vAlign w:val="center"/>
          </w:tcPr>
          <w:p w14:paraId="2211875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2" w:type="dxa"/>
            <w:vMerge w:val="continue"/>
            <w:tcBorders>
              <w:tl2br w:val="nil"/>
              <w:tr2bl w:val="nil"/>
            </w:tcBorders>
            <w:shd w:val="clear" w:color="auto" w:fill="auto"/>
            <w:tcMar>
              <w:top w:w="15" w:type="dxa"/>
              <w:left w:w="15" w:type="dxa"/>
              <w:right w:w="15" w:type="dxa"/>
            </w:tcMar>
            <w:vAlign w:val="center"/>
          </w:tcPr>
          <w:p w14:paraId="1D9EB4B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59"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6220529B">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免予处罚</w:t>
            </w:r>
          </w:p>
        </w:tc>
        <w:tc>
          <w:tcPr>
            <w:tcW w:w="1829"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174DEE85">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不适用</w:t>
            </w:r>
          </w:p>
        </w:tc>
        <w:tc>
          <w:tcPr>
            <w:tcW w:w="2655"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139CAF48">
            <w:pPr>
              <w:keepNext w:val="0"/>
              <w:keepLines w:val="0"/>
              <w:pageBreakBefore w:val="0"/>
              <w:widowControl w:val="0"/>
              <w:kinsoku/>
              <w:wordWrap/>
              <w:overflowPunct w:val="0"/>
              <w:topLinePunct w:val="0"/>
              <w:autoSpaceDE/>
              <w:autoSpaceDN/>
              <w:bidi w:val="0"/>
              <w:adjustRightInd/>
              <w:snapToGrid/>
              <w:spacing w:line="26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30DAEB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075475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5" w:type="dxa"/>
            <w:vMerge w:val="continue"/>
            <w:tcBorders>
              <w:tl2br w:val="nil"/>
              <w:tr2bl w:val="nil"/>
            </w:tcBorders>
            <w:shd w:val="clear" w:color="auto" w:fill="auto"/>
            <w:tcMar>
              <w:top w:w="15" w:type="dxa"/>
              <w:left w:w="15" w:type="dxa"/>
              <w:right w:w="15" w:type="dxa"/>
            </w:tcMar>
            <w:vAlign w:val="center"/>
          </w:tcPr>
          <w:p w14:paraId="28243F5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3667" w:type="dxa"/>
            <w:vMerge w:val="continue"/>
            <w:tcBorders>
              <w:tl2br w:val="nil"/>
              <w:tr2bl w:val="nil"/>
            </w:tcBorders>
            <w:shd w:val="clear" w:color="auto" w:fill="auto"/>
            <w:tcMar>
              <w:top w:w="15" w:type="dxa"/>
              <w:left w:w="15" w:type="dxa"/>
              <w:right w:w="15" w:type="dxa"/>
            </w:tcMar>
            <w:vAlign w:val="center"/>
          </w:tcPr>
          <w:p w14:paraId="0843E3B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2" w:type="dxa"/>
            <w:vMerge w:val="continue"/>
            <w:tcBorders>
              <w:tl2br w:val="nil"/>
              <w:tr2bl w:val="nil"/>
            </w:tcBorders>
            <w:shd w:val="clear" w:color="auto" w:fill="auto"/>
            <w:tcMar>
              <w:top w:w="15" w:type="dxa"/>
              <w:left w:w="15" w:type="dxa"/>
              <w:right w:w="15" w:type="dxa"/>
            </w:tcMar>
            <w:vAlign w:val="center"/>
          </w:tcPr>
          <w:p w14:paraId="7119C21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59"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64FA9C50">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减轻处罚</w:t>
            </w:r>
          </w:p>
        </w:tc>
        <w:tc>
          <w:tcPr>
            <w:tcW w:w="1829"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02CFF0DB">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655"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13F3F1AA">
            <w:pPr>
              <w:keepNext w:val="0"/>
              <w:keepLines w:val="0"/>
              <w:pageBreakBefore w:val="0"/>
              <w:widowControl w:val="0"/>
              <w:kinsoku/>
              <w:wordWrap/>
              <w:overflowPunct w:val="0"/>
              <w:topLinePunct w:val="0"/>
              <w:autoSpaceDE/>
              <w:autoSpaceDN/>
              <w:bidi w:val="0"/>
              <w:adjustRightInd/>
              <w:snapToGrid/>
              <w:spacing w:line="26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00B47C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E6D118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5" w:type="dxa"/>
            <w:vMerge w:val="continue"/>
            <w:tcBorders>
              <w:tl2br w:val="nil"/>
              <w:tr2bl w:val="nil"/>
            </w:tcBorders>
            <w:shd w:val="clear" w:color="auto" w:fill="auto"/>
            <w:tcMar>
              <w:top w:w="15" w:type="dxa"/>
              <w:left w:w="15" w:type="dxa"/>
              <w:right w:w="15" w:type="dxa"/>
            </w:tcMar>
            <w:vAlign w:val="center"/>
          </w:tcPr>
          <w:p w14:paraId="0A60E48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3667" w:type="dxa"/>
            <w:vMerge w:val="continue"/>
            <w:tcBorders>
              <w:tl2br w:val="nil"/>
              <w:tr2bl w:val="nil"/>
            </w:tcBorders>
            <w:shd w:val="clear" w:color="auto" w:fill="auto"/>
            <w:tcMar>
              <w:top w:w="15" w:type="dxa"/>
              <w:left w:w="15" w:type="dxa"/>
              <w:right w:w="15" w:type="dxa"/>
            </w:tcMar>
            <w:vAlign w:val="center"/>
          </w:tcPr>
          <w:p w14:paraId="21D2FD2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2" w:type="dxa"/>
            <w:vMerge w:val="continue"/>
            <w:tcBorders>
              <w:tl2br w:val="nil"/>
              <w:tr2bl w:val="nil"/>
            </w:tcBorders>
            <w:shd w:val="clear" w:color="auto" w:fill="auto"/>
            <w:tcMar>
              <w:top w:w="15" w:type="dxa"/>
              <w:left w:w="15" w:type="dxa"/>
              <w:right w:w="15" w:type="dxa"/>
            </w:tcMar>
            <w:vAlign w:val="center"/>
          </w:tcPr>
          <w:p w14:paraId="4ACC40C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59"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5E6668F4">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从轻处罚</w:t>
            </w:r>
          </w:p>
        </w:tc>
        <w:tc>
          <w:tcPr>
            <w:tcW w:w="1829"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55CCB3BA">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未按照规定对《山东省安全生产条例》第二十八条第一、二、三项从业人员上岗前及时进行安全生产教育和培训涉及3人（次）以下，逾期未改正1人（次）以上的。</w:t>
            </w:r>
          </w:p>
        </w:tc>
        <w:tc>
          <w:tcPr>
            <w:tcW w:w="2655"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5B346691">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hint="eastAsia" w:ascii="仿宋_GB2312" w:hAnsi="宋体" w:eastAsia="仿宋_GB2312" w:cs="仿宋_GB2312"/>
                <w:kern w:val="0"/>
                <w:sz w:val="18"/>
                <w:szCs w:val="18"/>
                <w:lang w:eastAsia="zh-CN" w:bidi="ar"/>
              </w:rPr>
            </w:pPr>
            <w:r>
              <w:rPr>
                <w:rFonts w:hint="eastAsia" w:ascii="仿宋_GB2312" w:hAnsi="宋体" w:eastAsia="仿宋_GB2312" w:cs="仿宋_GB2312"/>
                <w:kern w:val="0"/>
                <w:sz w:val="18"/>
                <w:szCs w:val="18"/>
                <w:lang w:bidi="ar"/>
              </w:rPr>
              <w:t>责令停产停业整顿，并处10万元以上13万元以下的罚款，对直接负责的主管人员和其他直接责任人员处2万元以上3万元以下的罚款</w:t>
            </w:r>
            <w:r>
              <w:rPr>
                <w:rFonts w:hint="eastAsia" w:ascii="仿宋_GB2312" w:hAnsi="宋体" w:eastAsia="仿宋_GB2312" w:cs="仿宋_GB2312"/>
                <w:kern w:val="0"/>
                <w:sz w:val="18"/>
                <w:szCs w:val="18"/>
                <w:lang w:eastAsia="zh-CN" w:bidi="ar"/>
              </w:rPr>
              <w:t>。</w:t>
            </w:r>
          </w:p>
        </w:tc>
      </w:tr>
      <w:tr w14:paraId="121346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BE9FD2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5" w:type="dxa"/>
            <w:vMerge w:val="continue"/>
            <w:tcBorders>
              <w:tl2br w:val="nil"/>
              <w:tr2bl w:val="nil"/>
            </w:tcBorders>
            <w:shd w:val="clear" w:color="auto" w:fill="auto"/>
            <w:tcMar>
              <w:top w:w="15" w:type="dxa"/>
              <w:left w:w="15" w:type="dxa"/>
              <w:right w:w="15" w:type="dxa"/>
            </w:tcMar>
            <w:vAlign w:val="center"/>
          </w:tcPr>
          <w:p w14:paraId="20144D2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3667" w:type="dxa"/>
            <w:vMerge w:val="continue"/>
            <w:tcBorders>
              <w:tl2br w:val="nil"/>
              <w:tr2bl w:val="nil"/>
            </w:tcBorders>
            <w:shd w:val="clear" w:color="auto" w:fill="auto"/>
            <w:tcMar>
              <w:top w:w="15" w:type="dxa"/>
              <w:left w:w="15" w:type="dxa"/>
              <w:right w:w="15" w:type="dxa"/>
            </w:tcMar>
            <w:vAlign w:val="center"/>
          </w:tcPr>
          <w:p w14:paraId="781DE83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2" w:type="dxa"/>
            <w:vMerge w:val="continue"/>
            <w:tcBorders>
              <w:tl2br w:val="nil"/>
              <w:tr2bl w:val="nil"/>
            </w:tcBorders>
            <w:shd w:val="clear" w:color="auto" w:fill="auto"/>
            <w:tcMar>
              <w:top w:w="15" w:type="dxa"/>
              <w:left w:w="15" w:type="dxa"/>
              <w:right w:w="15" w:type="dxa"/>
            </w:tcMar>
            <w:vAlign w:val="center"/>
          </w:tcPr>
          <w:p w14:paraId="306E4A1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59"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7E6693A0">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一般处罚</w:t>
            </w:r>
          </w:p>
        </w:tc>
        <w:tc>
          <w:tcPr>
            <w:tcW w:w="1829"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2E855698">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未按照规定对《山东省安全生产条例》第二十八条第一、二、三项从业人员上岗前及时进行安全生产教育和培训涉及3人（次）以上5人（次）一下的，逾期未改正</w:t>
            </w:r>
            <w:r>
              <w:rPr>
                <w:rFonts w:hint="eastAsia" w:ascii="仿宋_GB2312" w:hAnsi="宋体" w:eastAsia="仿宋_GB2312" w:cs="仿宋_GB2312"/>
                <w:kern w:val="0"/>
                <w:sz w:val="18"/>
                <w:szCs w:val="18"/>
                <w:lang w:val="en-US" w:eastAsia="zh-CN" w:bidi="ar"/>
              </w:rPr>
              <w:t>1人（次）以上</w:t>
            </w:r>
            <w:r>
              <w:rPr>
                <w:rFonts w:hint="eastAsia" w:ascii="仿宋_GB2312" w:hAnsi="宋体" w:eastAsia="仿宋_GB2312" w:cs="仿宋_GB2312"/>
                <w:kern w:val="0"/>
                <w:sz w:val="18"/>
                <w:szCs w:val="18"/>
                <w:lang w:bidi="ar"/>
              </w:rPr>
              <w:t>的。</w:t>
            </w:r>
          </w:p>
        </w:tc>
        <w:tc>
          <w:tcPr>
            <w:tcW w:w="2655"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50D5BFA1">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hint="eastAsia" w:ascii="仿宋_GB2312" w:hAnsi="宋体" w:eastAsia="仿宋_GB2312" w:cs="仿宋_GB2312"/>
                <w:kern w:val="0"/>
                <w:sz w:val="18"/>
                <w:szCs w:val="18"/>
                <w:lang w:eastAsia="zh-CN" w:bidi="ar"/>
              </w:rPr>
            </w:pPr>
            <w:r>
              <w:rPr>
                <w:rFonts w:hint="eastAsia" w:ascii="仿宋_GB2312" w:hAnsi="宋体" w:eastAsia="仿宋_GB2312" w:cs="仿宋_GB2312"/>
                <w:kern w:val="0"/>
                <w:sz w:val="18"/>
                <w:szCs w:val="18"/>
                <w:lang w:bidi="ar"/>
              </w:rPr>
              <w:t>责令停产停业整顿，并处13万元以上17万元以下的罚款，对直接负责的主管人员和其他直接责任人员处3万元以上4万元以下的罚款</w:t>
            </w:r>
            <w:r>
              <w:rPr>
                <w:rFonts w:hint="eastAsia" w:ascii="仿宋_GB2312" w:hAnsi="宋体" w:eastAsia="仿宋_GB2312" w:cs="仿宋_GB2312"/>
                <w:kern w:val="0"/>
                <w:sz w:val="18"/>
                <w:szCs w:val="18"/>
                <w:lang w:eastAsia="zh-CN" w:bidi="ar"/>
              </w:rPr>
              <w:t>。</w:t>
            </w:r>
          </w:p>
        </w:tc>
      </w:tr>
      <w:tr w14:paraId="2CD62E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53"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216220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5" w:type="dxa"/>
            <w:vMerge w:val="continue"/>
            <w:tcBorders>
              <w:tl2br w:val="nil"/>
              <w:tr2bl w:val="nil"/>
            </w:tcBorders>
            <w:shd w:val="clear" w:color="auto" w:fill="auto"/>
            <w:tcMar>
              <w:top w:w="15" w:type="dxa"/>
              <w:left w:w="15" w:type="dxa"/>
              <w:right w:w="15" w:type="dxa"/>
            </w:tcMar>
            <w:vAlign w:val="center"/>
          </w:tcPr>
          <w:p w14:paraId="73CBA4D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3667" w:type="dxa"/>
            <w:vMerge w:val="continue"/>
            <w:tcBorders>
              <w:tl2br w:val="nil"/>
              <w:tr2bl w:val="nil"/>
            </w:tcBorders>
            <w:shd w:val="clear" w:color="auto" w:fill="auto"/>
            <w:tcMar>
              <w:top w:w="15" w:type="dxa"/>
              <w:left w:w="15" w:type="dxa"/>
              <w:right w:w="15" w:type="dxa"/>
            </w:tcMar>
            <w:vAlign w:val="center"/>
          </w:tcPr>
          <w:p w14:paraId="2D9E438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2" w:type="dxa"/>
            <w:vMerge w:val="continue"/>
            <w:tcBorders>
              <w:tl2br w:val="nil"/>
              <w:tr2bl w:val="nil"/>
            </w:tcBorders>
            <w:shd w:val="clear" w:color="auto" w:fill="auto"/>
            <w:tcMar>
              <w:top w:w="15" w:type="dxa"/>
              <w:left w:w="15" w:type="dxa"/>
              <w:right w:w="15" w:type="dxa"/>
            </w:tcMar>
            <w:vAlign w:val="center"/>
          </w:tcPr>
          <w:p w14:paraId="402E9CB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59" w:type="dxa"/>
            <w:tcBorders>
              <w:top w:val="single" w:color="auto" w:sz="4" w:space="0"/>
              <w:tl2br w:val="nil"/>
              <w:tr2bl w:val="nil"/>
            </w:tcBorders>
            <w:shd w:val="clear" w:color="auto" w:fill="auto"/>
            <w:noWrap/>
            <w:tcMar>
              <w:top w:w="15" w:type="dxa"/>
              <w:left w:w="15" w:type="dxa"/>
              <w:right w:w="15" w:type="dxa"/>
            </w:tcMar>
            <w:vAlign w:val="center"/>
          </w:tcPr>
          <w:p w14:paraId="7F800465">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从重处罚</w:t>
            </w:r>
          </w:p>
        </w:tc>
        <w:tc>
          <w:tcPr>
            <w:tcW w:w="1829" w:type="dxa"/>
            <w:tcBorders>
              <w:top w:val="single" w:color="auto" w:sz="4" w:space="0"/>
              <w:tl2br w:val="nil"/>
              <w:tr2bl w:val="nil"/>
            </w:tcBorders>
            <w:shd w:val="clear" w:color="auto" w:fill="auto"/>
            <w:tcMar>
              <w:top w:w="15" w:type="dxa"/>
              <w:left w:w="15" w:type="dxa"/>
              <w:right w:w="15" w:type="dxa"/>
            </w:tcMar>
            <w:vAlign w:val="center"/>
          </w:tcPr>
          <w:p w14:paraId="4A5622B6">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未按照规定对《山东省安全生产条例》第二十八条第一、二、三项从业人员上岗前及时进行安全生产教育和培训涉及5人（次）以上，逾期未改正</w:t>
            </w:r>
            <w:r>
              <w:rPr>
                <w:rFonts w:hint="eastAsia" w:ascii="仿宋_GB2312" w:hAnsi="宋体" w:eastAsia="仿宋_GB2312" w:cs="仿宋_GB2312"/>
                <w:kern w:val="0"/>
                <w:sz w:val="18"/>
                <w:szCs w:val="18"/>
                <w:lang w:val="en-US" w:eastAsia="zh-CN" w:bidi="ar"/>
              </w:rPr>
              <w:t>1人（次）以上</w:t>
            </w:r>
            <w:r>
              <w:rPr>
                <w:rFonts w:hint="eastAsia" w:ascii="仿宋_GB2312" w:hAnsi="宋体" w:eastAsia="仿宋_GB2312" w:cs="仿宋_GB2312"/>
                <w:kern w:val="0"/>
                <w:sz w:val="18"/>
                <w:szCs w:val="18"/>
                <w:lang w:bidi="ar"/>
              </w:rPr>
              <w:t>的。</w:t>
            </w:r>
          </w:p>
        </w:tc>
        <w:tc>
          <w:tcPr>
            <w:tcW w:w="2655" w:type="dxa"/>
            <w:tcBorders>
              <w:top w:val="single" w:color="auto" w:sz="4" w:space="0"/>
              <w:tl2br w:val="nil"/>
              <w:tr2bl w:val="nil"/>
            </w:tcBorders>
            <w:shd w:val="clear" w:color="auto" w:fill="auto"/>
            <w:tcMar>
              <w:top w:w="15" w:type="dxa"/>
              <w:left w:w="15" w:type="dxa"/>
              <w:right w:w="15" w:type="dxa"/>
            </w:tcMar>
            <w:vAlign w:val="center"/>
          </w:tcPr>
          <w:p w14:paraId="0E3D2F69">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hint="eastAsia" w:ascii="仿宋_GB2312" w:hAnsi="宋体" w:eastAsia="仿宋_GB2312" w:cs="仿宋_GB2312"/>
                <w:kern w:val="0"/>
                <w:sz w:val="18"/>
                <w:szCs w:val="18"/>
                <w:lang w:eastAsia="zh-CN" w:bidi="ar"/>
              </w:rPr>
            </w:pPr>
            <w:r>
              <w:rPr>
                <w:rFonts w:hint="eastAsia" w:ascii="仿宋_GB2312" w:hAnsi="宋体" w:eastAsia="仿宋_GB2312" w:cs="仿宋_GB2312"/>
                <w:kern w:val="0"/>
                <w:sz w:val="18"/>
                <w:szCs w:val="18"/>
                <w:lang w:bidi="ar"/>
              </w:rPr>
              <w:t>责令停产停业整顿，并处17万元以上20万元以下的罚款，对直接负责的主管人员和其他直接责任人员处4万元以上5万元以下的罚款</w:t>
            </w:r>
            <w:r>
              <w:rPr>
                <w:rFonts w:hint="eastAsia" w:ascii="仿宋_GB2312" w:hAnsi="宋体" w:eastAsia="仿宋_GB2312" w:cs="仿宋_GB2312"/>
                <w:kern w:val="0"/>
                <w:sz w:val="18"/>
                <w:szCs w:val="18"/>
                <w:lang w:eastAsia="zh-CN" w:bidi="ar"/>
              </w:rPr>
              <w:t>。</w:t>
            </w:r>
          </w:p>
        </w:tc>
      </w:tr>
      <w:tr w14:paraId="0F1C1E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386136C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1</w:t>
            </w:r>
            <w:del w:id="2835" w:author="LV" w:date="2026-07-14T16:59:12Z">
              <w:r>
                <w:rPr>
                  <w:rFonts w:hint="default" w:ascii="仿宋_GB2312" w:hAnsi="宋体" w:eastAsia="仿宋_GB2312" w:cs="仿宋_GB2312"/>
                  <w:kern w:val="0"/>
                  <w:sz w:val="18"/>
                  <w:szCs w:val="18"/>
                  <w:lang w:val="en-US" w:bidi="ar"/>
                </w:rPr>
                <w:delText>5</w:delText>
              </w:r>
            </w:del>
            <w:del w:id="2836" w:author="LV" w:date="2026-07-14T16:59:12Z">
              <w:r>
                <w:rPr>
                  <w:rFonts w:hint="default" w:ascii="仿宋_GB2312" w:hAnsi="宋体" w:eastAsia="仿宋_GB2312" w:cs="仿宋_GB2312"/>
                  <w:kern w:val="0"/>
                  <w:sz w:val="18"/>
                  <w:szCs w:val="18"/>
                  <w:lang w:val="en-US" w:eastAsia="zh-CN" w:bidi="ar"/>
                </w:rPr>
                <w:delText>9</w:delText>
              </w:r>
            </w:del>
            <w:ins w:id="2837" w:author="LV" w:date="2026-07-14T16:59:12Z">
              <w:r>
                <w:rPr>
                  <w:rFonts w:hint="eastAsia" w:ascii="仿宋_GB2312" w:hAnsi="宋体" w:eastAsia="仿宋_GB2312" w:cs="仿宋_GB2312"/>
                  <w:kern w:val="0"/>
                  <w:sz w:val="18"/>
                  <w:szCs w:val="18"/>
                  <w:lang w:val="en-US" w:eastAsia="zh-CN" w:bidi="ar"/>
                </w:rPr>
                <w:t>6</w:t>
              </w:r>
            </w:ins>
            <w:ins w:id="2838" w:author="LV" w:date="2026-07-14T16:59:13Z">
              <w:r>
                <w:rPr>
                  <w:rFonts w:hint="eastAsia" w:ascii="仿宋_GB2312" w:hAnsi="宋体" w:eastAsia="仿宋_GB2312" w:cs="仿宋_GB2312"/>
                  <w:kern w:val="0"/>
                  <w:sz w:val="18"/>
                  <w:szCs w:val="18"/>
                  <w:lang w:val="en-US" w:eastAsia="zh-CN" w:bidi="ar"/>
                </w:rPr>
                <w:t>6</w:t>
              </w:r>
            </w:ins>
          </w:p>
        </w:tc>
        <w:tc>
          <w:tcPr>
            <w:tcW w:w="1005" w:type="dxa"/>
            <w:vMerge w:val="restart"/>
            <w:tcBorders>
              <w:tl2br w:val="nil"/>
              <w:tr2bl w:val="nil"/>
            </w:tcBorders>
            <w:shd w:val="clear" w:color="auto" w:fill="auto"/>
            <w:tcMar>
              <w:top w:w="15" w:type="dxa"/>
              <w:left w:w="15" w:type="dxa"/>
              <w:right w:w="15" w:type="dxa"/>
            </w:tcMar>
            <w:vAlign w:val="center"/>
          </w:tcPr>
          <w:p w14:paraId="3931379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highlight w:val="none"/>
                <w:lang w:val="en-US" w:eastAsia="zh-CN"/>
              </w:rPr>
            </w:pPr>
            <w:r>
              <w:rPr>
                <w:rFonts w:hint="eastAsia" w:ascii="仿宋_GB2312" w:hAnsi="宋体" w:eastAsia="仿宋_GB2312" w:cs="仿宋_GB2312"/>
                <w:kern w:val="0"/>
                <w:sz w:val="18"/>
                <w:szCs w:val="18"/>
                <w:highlight w:val="none"/>
                <w:lang w:bidi="ar"/>
              </w:rPr>
              <w:t>煤矿未按照规定如实告知有关的安全生产事项</w:t>
            </w:r>
            <w:r>
              <w:rPr>
                <w:rFonts w:hint="eastAsia" w:ascii="仿宋_GB2312" w:hAnsi="宋体" w:eastAsia="仿宋_GB2312" w:cs="仿宋_GB2312"/>
                <w:kern w:val="0"/>
                <w:sz w:val="18"/>
                <w:szCs w:val="18"/>
                <w:highlight w:val="none"/>
                <w:lang w:val="en-US" w:eastAsia="zh-CN" w:bidi="ar"/>
              </w:rPr>
              <w:t>的</w:t>
            </w:r>
          </w:p>
        </w:tc>
        <w:tc>
          <w:tcPr>
            <w:tcW w:w="3667" w:type="dxa"/>
            <w:vMerge w:val="restart"/>
            <w:tcBorders>
              <w:tl2br w:val="nil"/>
              <w:tr2bl w:val="nil"/>
            </w:tcBorders>
            <w:shd w:val="clear" w:color="auto" w:fill="auto"/>
            <w:tcMar>
              <w:top w:w="15" w:type="dxa"/>
              <w:left w:w="15" w:type="dxa"/>
              <w:right w:w="15" w:type="dxa"/>
            </w:tcMar>
            <w:vAlign w:val="center"/>
          </w:tcPr>
          <w:p w14:paraId="3D3246E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《安全生产法》第四十四条 生产经营单位应当教育和督促从业人员严格执行本单位的安全生产规章制度和安全操作规程；并向从业人员如实告知作业场所和工作岗位存在的危险因素、防范措施以及事故应急措施。</w:t>
            </w:r>
          </w:p>
        </w:tc>
        <w:tc>
          <w:tcPr>
            <w:tcW w:w="4082" w:type="dxa"/>
            <w:vMerge w:val="restart"/>
            <w:tcBorders>
              <w:tl2br w:val="nil"/>
              <w:tr2bl w:val="nil"/>
            </w:tcBorders>
            <w:shd w:val="clear" w:color="auto" w:fill="auto"/>
            <w:tcMar>
              <w:top w:w="15" w:type="dxa"/>
              <w:left w:w="15" w:type="dxa"/>
              <w:right w:w="15" w:type="dxa"/>
            </w:tcMar>
            <w:vAlign w:val="center"/>
          </w:tcPr>
          <w:p w14:paraId="441F98A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《安全生产法》第九十七条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三）未按照规定对从业人员、被派遣劳动者、实习学生进行安全生产教育和培训，或者未按照规定如实告知有关的安全生产事项的。</w:t>
            </w:r>
          </w:p>
          <w:p w14:paraId="74AE3E1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《煤矿安全生产条例》第六十二条  煤矿企业有下列行为之一的，依照《中华人民共和国安全生产法》有关规定予以处罚：（三）未按照规定进行安全生产教育和培训，未按照规定如实告知有关的安全生产事项，或者未如实记录安全生产教育和培训情况的。</w:t>
            </w:r>
          </w:p>
        </w:tc>
        <w:tc>
          <w:tcPr>
            <w:tcW w:w="459" w:type="dxa"/>
            <w:tcBorders>
              <w:tl2br w:val="nil"/>
              <w:tr2bl w:val="nil"/>
            </w:tcBorders>
            <w:shd w:val="clear" w:color="auto" w:fill="auto"/>
            <w:noWrap/>
            <w:tcMar>
              <w:top w:w="15" w:type="dxa"/>
              <w:left w:w="15" w:type="dxa"/>
              <w:right w:w="15" w:type="dxa"/>
            </w:tcMar>
            <w:vAlign w:val="center"/>
          </w:tcPr>
          <w:p w14:paraId="46BB449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2E75872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09F27E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D52AC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C06518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9CD121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8DB260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2D36BD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746FAA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24A5906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1BDA85EE">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60773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15B6B4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634E60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098471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A7357F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4A9123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7549B1C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2E6E40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57D35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DC8131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40431B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F5931A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32F956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DAE4BA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74063EC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未按照规定如实告知有关的安全生产事项，涉及3人</w:t>
            </w:r>
            <w:r>
              <w:rPr>
                <w:rFonts w:hint="eastAsia" w:ascii="仿宋_GB2312" w:hAnsi="宋体" w:eastAsia="仿宋_GB2312" w:cs="仿宋_GB2312"/>
                <w:kern w:val="0"/>
                <w:sz w:val="18"/>
                <w:szCs w:val="18"/>
                <w:lang w:bidi="ar"/>
              </w:rPr>
              <w:t>（次）</w:t>
            </w:r>
            <w:r>
              <w:rPr>
                <w:rFonts w:hint="eastAsia" w:ascii="仿宋_GB2312" w:hAnsi="宋体" w:eastAsia="仿宋_GB2312" w:cs="仿宋_GB2312"/>
                <w:sz w:val="18"/>
                <w:szCs w:val="18"/>
              </w:rPr>
              <w:t>以下的。</w:t>
            </w:r>
          </w:p>
        </w:tc>
        <w:tc>
          <w:tcPr>
            <w:tcW w:w="2655" w:type="dxa"/>
            <w:tcBorders>
              <w:tl2br w:val="nil"/>
              <w:tr2bl w:val="nil"/>
            </w:tcBorders>
            <w:shd w:val="clear" w:color="auto" w:fill="auto"/>
            <w:tcMar>
              <w:top w:w="15" w:type="dxa"/>
              <w:left w:w="15" w:type="dxa"/>
              <w:right w:w="15" w:type="dxa"/>
            </w:tcMar>
            <w:vAlign w:val="center"/>
          </w:tcPr>
          <w:p w14:paraId="022A611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处3万元以下的罚款。</w:t>
            </w:r>
          </w:p>
        </w:tc>
      </w:tr>
      <w:tr w14:paraId="4FEDC1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ED6A81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2A1F8D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B8FC68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593458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2ADAC4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203FDF1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未按照规定如实告知有关的安全生产事项，涉及3人</w:t>
            </w:r>
            <w:r>
              <w:rPr>
                <w:rFonts w:hint="eastAsia" w:ascii="仿宋_GB2312" w:hAnsi="宋体" w:eastAsia="仿宋_GB2312" w:cs="仿宋_GB2312"/>
                <w:kern w:val="0"/>
                <w:sz w:val="18"/>
                <w:szCs w:val="18"/>
                <w:lang w:bidi="ar"/>
              </w:rPr>
              <w:t>（次）以上5</w:t>
            </w:r>
            <w:r>
              <w:rPr>
                <w:rFonts w:hint="eastAsia" w:ascii="仿宋_GB2312" w:hAnsi="宋体" w:eastAsia="仿宋_GB2312" w:cs="仿宋_GB2312"/>
                <w:sz w:val="18"/>
                <w:szCs w:val="18"/>
              </w:rPr>
              <w:t>人</w:t>
            </w:r>
            <w:r>
              <w:rPr>
                <w:rFonts w:hint="eastAsia" w:ascii="仿宋_GB2312" w:hAnsi="宋体" w:eastAsia="仿宋_GB2312" w:cs="仿宋_GB2312"/>
                <w:kern w:val="0"/>
                <w:sz w:val="18"/>
                <w:szCs w:val="18"/>
                <w:lang w:bidi="ar"/>
              </w:rPr>
              <w:t>（次）</w:t>
            </w:r>
            <w:r>
              <w:rPr>
                <w:rFonts w:hint="eastAsia" w:ascii="仿宋_GB2312" w:hAnsi="宋体" w:eastAsia="仿宋_GB2312" w:cs="仿宋_GB2312"/>
                <w:sz w:val="18"/>
                <w:szCs w:val="18"/>
              </w:rPr>
              <w:t>以下的。</w:t>
            </w:r>
          </w:p>
        </w:tc>
        <w:tc>
          <w:tcPr>
            <w:tcW w:w="2655" w:type="dxa"/>
            <w:tcBorders>
              <w:tl2br w:val="nil"/>
              <w:tr2bl w:val="nil"/>
            </w:tcBorders>
            <w:shd w:val="clear" w:color="auto" w:fill="auto"/>
            <w:tcMar>
              <w:top w:w="15" w:type="dxa"/>
              <w:left w:w="15" w:type="dxa"/>
              <w:right w:w="15" w:type="dxa"/>
            </w:tcMar>
            <w:vAlign w:val="center"/>
          </w:tcPr>
          <w:p w14:paraId="0CBAE7A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处3万元以上7万元以下的罚款。</w:t>
            </w:r>
          </w:p>
        </w:tc>
      </w:tr>
      <w:tr w14:paraId="0FB733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5D8C13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4F7E92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1C4220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2E5711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14E59A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3402358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未按照规定如实告知有关的安全生产事项，涉及</w:t>
            </w:r>
            <w:r>
              <w:rPr>
                <w:rFonts w:hint="eastAsia" w:ascii="仿宋_GB2312" w:hAnsi="宋体" w:eastAsia="仿宋_GB2312" w:cs="仿宋_GB2312"/>
                <w:kern w:val="0"/>
                <w:sz w:val="18"/>
                <w:szCs w:val="18"/>
                <w:lang w:bidi="ar"/>
              </w:rPr>
              <w:t>5</w:t>
            </w:r>
            <w:r>
              <w:rPr>
                <w:rFonts w:hint="eastAsia" w:ascii="仿宋_GB2312" w:hAnsi="宋体" w:eastAsia="仿宋_GB2312" w:cs="仿宋_GB2312"/>
                <w:sz w:val="18"/>
                <w:szCs w:val="18"/>
              </w:rPr>
              <w:t>人</w:t>
            </w:r>
            <w:r>
              <w:rPr>
                <w:rFonts w:hint="eastAsia" w:ascii="仿宋_GB2312" w:hAnsi="宋体" w:eastAsia="仿宋_GB2312" w:cs="仿宋_GB2312"/>
                <w:kern w:val="0"/>
                <w:sz w:val="18"/>
                <w:szCs w:val="18"/>
                <w:lang w:bidi="ar"/>
              </w:rPr>
              <w:t>（次）</w:t>
            </w:r>
            <w:r>
              <w:rPr>
                <w:rFonts w:hint="eastAsia" w:ascii="仿宋_GB2312" w:hAnsi="宋体" w:eastAsia="仿宋_GB2312" w:cs="仿宋_GB2312"/>
                <w:sz w:val="18"/>
                <w:szCs w:val="18"/>
              </w:rPr>
              <w:t>以上的。</w:t>
            </w:r>
          </w:p>
        </w:tc>
        <w:tc>
          <w:tcPr>
            <w:tcW w:w="2655" w:type="dxa"/>
            <w:tcBorders>
              <w:tl2br w:val="nil"/>
              <w:tr2bl w:val="nil"/>
            </w:tcBorders>
            <w:shd w:val="clear" w:color="auto" w:fill="auto"/>
            <w:tcMar>
              <w:top w:w="15" w:type="dxa"/>
              <w:left w:w="15" w:type="dxa"/>
              <w:right w:w="15" w:type="dxa"/>
            </w:tcMar>
            <w:vAlign w:val="center"/>
          </w:tcPr>
          <w:p w14:paraId="4BB5529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处7万元以上10万元以下的罚款。</w:t>
            </w:r>
          </w:p>
        </w:tc>
      </w:tr>
      <w:tr w14:paraId="398123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6A015EB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1</w:t>
            </w:r>
            <w:del w:id="2839" w:author="LV" w:date="2026-07-14T16:59:19Z">
              <w:r>
                <w:rPr>
                  <w:rFonts w:hint="default" w:ascii="仿宋_GB2312" w:hAnsi="宋体" w:eastAsia="仿宋_GB2312" w:cs="仿宋_GB2312"/>
                  <w:kern w:val="0"/>
                  <w:sz w:val="18"/>
                  <w:szCs w:val="18"/>
                  <w:lang w:val="en-US" w:eastAsia="zh-CN" w:bidi="ar"/>
                </w:rPr>
                <w:delText>60</w:delText>
              </w:r>
            </w:del>
            <w:ins w:id="2840" w:author="LV" w:date="2026-07-14T16:59:20Z">
              <w:r>
                <w:rPr>
                  <w:rFonts w:hint="eastAsia" w:ascii="仿宋_GB2312" w:hAnsi="宋体" w:eastAsia="仿宋_GB2312" w:cs="仿宋_GB2312"/>
                  <w:kern w:val="0"/>
                  <w:sz w:val="18"/>
                  <w:szCs w:val="18"/>
                  <w:lang w:val="en-US" w:eastAsia="zh-CN" w:bidi="ar"/>
                </w:rPr>
                <w:t>67</w:t>
              </w:r>
            </w:ins>
          </w:p>
        </w:tc>
        <w:tc>
          <w:tcPr>
            <w:tcW w:w="1005" w:type="dxa"/>
            <w:vMerge w:val="restart"/>
            <w:tcBorders>
              <w:tl2br w:val="nil"/>
              <w:tr2bl w:val="nil"/>
            </w:tcBorders>
            <w:shd w:val="clear" w:color="auto" w:fill="auto"/>
            <w:tcMar>
              <w:top w:w="15" w:type="dxa"/>
              <w:left w:w="15" w:type="dxa"/>
              <w:right w:w="15" w:type="dxa"/>
            </w:tcMar>
            <w:vAlign w:val="center"/>
          </w:tcPr>
          <w:p w14:paraId="69527BB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highlight w:val="none"/>
                <w:lang w:val="en-US" w:eastAsia="zh-CN"/>
              </w:rPr>
            </w:pPr>
            <w:r>
              <w:rPr>
                <w:rFonts w:hint="eastAsia" w:ascii="仿宋_GB2312" w:hAnsi="宋体" w:eastAsia="仿宋_GB2312" w:cs="仿宋_GB2312"/>
                <w:kern w:val="0"/>
                <w:sz w:val="18"/>
                <w:szCs w:val="18"/>
                <w:highlight w:val="none"/>
                <w:lang w:bidi="ar"/>
              </w:rPr>
              <w:t>煤矿未按照规定如实告知有关的安全生产事项，逾期未改正</w:t>
            </w:r>
            <w:r>
              <w:rPr>
                <w:rFonts w:hint="eastAsia" w:ascii="仿宋_GB2312" w:hAnsi="宋体" w:eastAsia="仿宋_GB2312" w:cs="仿宋_GB2312"/>
                <w:kern w:val="0"/>
                <w:sz w:val="18"/>
                <w:szCs w:val="18"/>
                <w:highlight w:val="none"/>
                <w:lang w:val="en-US" w:eastAsia="zh-CN" w:bidi="ar"/>
              </w:rPr>
              <w:t>的</w:t>
            </w:r>
          </w:p>
        </w:tc>
        <w:tc>
          <w:tcPr>
            <w:tcW w:w="3667" w:type="dxa"/>
            <w:vMerge w:val="restart"/>
            <w:tcBorders>
              <w:tl2br w:val="nil"/>
              <w:tr2bl w:val="nil"/>
            </w:tcBorders>
            <w:shd w:val="clear" w:color="auto" w:fill="auto"/>
            <w:tcMar>
              <w:top w:w="15" w:type="dxa"/>
              <w:left w:w="15" w:type="dxa"/>
              <w:right w:w="15" w:type="dxa"/>
            </w:tcMar>
            <w:vAlign w:val="center"/>
          </w:tcPr>
          <w:p w14:paraId="45B3049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《安全生产法》第四十四条 生产经营单位应当教育和督促从业人员严格执行本单位的安全生产规章制度和安全操作规程；并向从业人员如实告知作业场所和工作岗位存在的危险因素、防范措施以及事故应急措施。</w:t>
            </w:r>
          </w:p>
        </w:tc>
        <w:tc>
          <w:tcPr>
            <w:tcW w:w="4082" w:type="dxa"/>
            <w:vMerge w:val="restart"/>
            <w:tcBorders>
              <w:tl2br w:val="nil"/>
              <w:tr2bl w:val="nil"/>
            </w:tcBorders>
            <w:shd w:val="clear" w:color="auto" w:fill="auto"/>
            <w:tcMar>
              <w:top w:w="15" w:type="dxa"/>
              <w:left w:w="15" w:type="dxa"/>
              <w:right w:w="15" w:type="dxa"/>
            </w:tcMar>
            <w:vAlign w:val="center"/>
          </w:tcPr>
          <w:p w14:paraId="2795D57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《安全生产法》第九十七条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三）未按照规定对从业人员、被派遣劳动者、实习学生进行安全生产教育和培训，或者未按照规定如实告知有关的安全生产事项的。</w:t>
            </w:r>
          </w:p>
          <w:p w14:paraId="14E725D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《煤矿安全生产条例》第六十二条  煤矿企业有下列行为之一的，依照《中华人民共和国安全生产法》有关规定予以处罚：（三）未按照规定进行安全生产教育和培训，未按照规定如实告知有关的安全生产事项，或者未如实记录安全生产教育和培训情况的。</w:t>
            </w:r>
          </w:p>
        </w:tc>
        <w:tc>
          <w:tcPr>
            <w:tcW w:w="459" w:type="dxa"/>
            <w:tcBorders>
              <w:tl2br w:val="nil"/>
              <w:tr2bl w:val="nil"/>
            </w:tcBorders>
            <w:shd w:val="clear" w:color="auto" w:fill="auto"/>
            <w:noWrap/>
            <w:tcMar>
              <w:top w:w="15" w:type="dxa"/>
              <w:left w:w="15" w:type="dxa"/>
              <w:right w:w="15" w:type="dxa"/>
            </w:tcMar>
            <w:vAlign w:val="center"/>
          </w:tcPr>
          <w:p w14:paraId="0402F87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10B9095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A84EAF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C683D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266312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C2F656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0FFDA3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59CB4F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A0E15E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514C446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6ACE484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0560C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8A41E6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F85E53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D8108E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0C5515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8865B9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44466D0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4B6C06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CDB71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642853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419B38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61D68B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DD24C7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C59476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7D9B9FF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未按照规定如实告知有关的安全生产事项，涉及3人</w:t>
            </w:r>
            <w:r>
              <w:rPr>
                <w:rFonts w:hint="eastAsia" w:ascii="仿宋_GB2312" w:hAnsi="宋体" w:eastAsia="仿宋_GB2312" w:cs="仿宋_GB2312"/>
                <w:kern w:val="0"/>
                <w:sz w:val="18"/>
                <w:szCs w:val="18"/>
                <w:lang w:bidi="ar"/>
              </w:rPr>
              <w:t>（次）</w:t>
            </w:r>
            <w:r>
              <w:rPr>
                <w:rFonts w:hint="eastAsia" w:ascii="仿宋_GB2312" w:hAnsi="宋体" w:eastAsia="仿宋_GB2312" w:cs="仿宋_GB2312"/>
                <w:sz w:val="18"/>
                <w:szCs w:val="18"/>
              </w:rPr>
              <w:t>以下</w:t>
            </w:r>
            <w:r>
              <w:rPr>
                <w:rFonts w:hint="eastAsia" w:ascii="仿宋_GB2312" w:hAnsi="宋体" w:eastAsia="仿宋_GB2312" w:cs="仿宋_GB2312"/>
                <w:kern w:val="0"/>
                <w:sz w:val="18"/>
                <w:szCs w:val="18"/>
                <w:lang w:bidi="ar"/>
              </w:rPr>
              <w:t>，逾期未改正涉及1人（次）以上的。</w:t>
            </w:r>
          </w:p>
        </w:tc>
        <w:tc>
          <w:tcPr>
            <w:tcW w:w="2655" w:type="dxa"/>
            <w:tcBorders>
              <w:tl2br w:val="nil"/>
              <w:tr2bl w:val="nil"/>
            </w:tcBorders>
            <w:shd w:val="clear" w:color="auto" w:fill="auto"/>
            <w:tcMar>
              <w:top w:w="15" w:type="dxa"/>
              <w:left w:w="15" w:type="dxa"/>
              <w:right w:w="15" w:type="dxa"/>
            </w:tcMar>
            <w:vAlign w:val="center"/>
          </w:tcPr>
          <w:p w14:paraId="78C90BE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责令停产停业整顿，并处10万元以上13万元以下的罚款，对其直接负责的主管人员和其他直接责任人员处2万元以上3万元以下的罚款。</w:t>
            </w:r>
          </w:p>
        </w:tc>
      </w:tr>
      <w:tr w14:paraId="2CF0DB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1DDCC6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55875C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BC2123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A5FED1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1832D5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7920B5D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未按照规定如实告知有关的安全生产事项，涉及3人</w:t>
            </w:r>
            <w:r>
              <w:rPr>
                <w:rFonts w:hint="eastAsia" w:ascii="仿宋_GB2312" w:hAnsi="宋体" w:eastAsia="仿宋_GB2312" w:cs="仿宋_GB2312"/>
                <w:kern w:val="0"/>
                <w:sz w:val="18"/>
                <w:szCs w:val="18"/>
                <w:lang w:bidi="ar"/>
              </w:rPr>
              <w:t>（次）以上5</w:t>
            </w:r>
            <w:r>
              <w:rPr>
                <w:rFonts w:hint="eastAsia" w:ascii="仿宋_GB2312" w:hAnsi="宋体" w:eastAsia="仿宋_GB2312" w:cs="仿宋_GB2312"/>
                <w:sz w:val="18"/>
                <w:szCs w:val="18"/>
              </w:rPr>
              <w:t>人</w:t>
            </w:r>
            <w:r>
              <w:rPr>
                <w:rFonts w:hint="eastAsia" w:ascii="仿宋_GB2312" w:hAnsi="宋体" w:eastAsia="仿宋_GB2312" w:cs="仿宋_GB2312"/>
                <w:kern w:val="0"/>
                <w:sz w:val="18"/>
                <w:szCs w:val="18"/>
                <w:lang w:bidi="ar"/>
              </w:rPr>
              <w:t>（次）</w:t>
            </w:r>
            <w:r>
              <w:rPr>
                <w:rFonts w:hint="eastAsia" w:ascii="仿宋_GB2312" w:hAnsi="宋体" w:eastAsia="仿宋_GB2312" w:cs="仿宋_GB2312"/>
                <w:sz w:val="18"/>
                <w:szCs w:val="18"/>
              </w:rPr>
              <w:t>以下</w:t>
            </w:r>
            <w:r>
              <w:rPr>
                <w:rFonts w:hint="eastAsia" w:ascii="仿宋_GB2312" w:hAnsi="宋体" w:eastAsia="仿宋_GB2312" w:cs="仿宋_GB2312"/>
                <w:kern w:val="0"/>
                <w:sz w:val="18"/>
                <w:szCs w:val="18"/>
                <w:lang w:bidi="ar"/>
              </w:rPr>
              <w:t>，逾期未改正涉及1人（次）以上的。</w:t>
            </w:r>
          </w:p>
        </w:tc>
        <w:tc>
          <w:tcPr>
            <w:tcW w:w="2655" w:type="dxa"/>
            <w:tcBorders>
              <w:tl2br w:val="nil"/>
              <w:tr2bl w:val="nil"/>
            </w:tcBorders>
            <w:shd w:val="clear" w:color="auto" w:fill="auto"/>
            <w:tcMar>
              <w:top w:w="15" w:type="dxa"/>
              <w:left w:w="15" w:type="dxa"/>
              <w:right w:w="15" w:type="dxa"/>
            </w:tcMar>
            <w:vAlign w:val="center"/>
          </w:tcPr>
          <w:p w14:paraId="552A6D8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责令停产停业整顿，并处13万元以上17万元以下的罚款，对直接负责的主管人员和其他直接责任人员处3万元以上4万元以下的罚款。</w:t>
            </w:r>
          </w:p>
        </w:tc>
      </w:tr>
      <w:tr w14:paraId="5E74EA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3DE7E5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8C13C3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90148B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2E733B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34366B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1A94EE6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未按照规定如实告知有关的安全生产事项，涉及5人</w:t>
            </w:r>
            <w:r>
              <w:rPr>
                <w:rFonts w:hint="eastAsia" w:ascii="仿宋_GB2312" w:hAnsi="宋体" w:eastAsia="仿宋_GB2312" w:cs="仿宋_GB2312"/>
                <w:kern w:val="0"/>
                <w:sz w:val="18"/>
                <w:szCs w:val="18"/>
                <w:lang w:bidi="ar"/>
              </w:rPr>
              <w:t>（次）</w:t>
            </w:r>
            <w:r>
              <w:rPr>
                <w:rFonts w:hint="eastAsia" w:ascii="仿宋_GB2312" w:hAnsi="宋体" w:eastAsia="仿宋_GB2312" w:cs="仿宋_GB2312"/>
                <w:sz w:val="18"/>
                <w:szCs w:val="18"/>
              </w:rPr>
              <w:t>以上</w:t>
            </w:r>
            <w:r>
              <w:rPr>
                <w:rFonts w:hint="eastAsia" w:ascii="仿宋_GB2312" w:hAnsi="宋体" w:eastAsia="仿宋_GB2312" w:cs="仿宋_GB2312"/>
                <w:kern w:val="0"/>
                <w:sz w:val="18"/>
                <w:szCs w:val="18"/>
                <w:lang w:bidi="ar"/>
              </w:rPr>
              <w:t>，逾期未改正涉及1人（次）以上的。</w:t>
            </w:r>
          </w:p>
        </w:tc>
        <w:tc>
          <w:tcPr>
            <w:tcW w:w="2655" w:type="dxa"/>
            <w:tcBorders>
              <w:tl2br w:val="nil"/>
              <w:tr2bl w:val="nil"/>
            </w:tcBorders>
            <w:shd w:val="clear" w:color="auto" w:fill="auto"/>
            <w:tcMar>
              <w:top w:w="15" w:type="dxa"/>
              <w:left w:w="15" w:type="dxa"/>
              <w:right w:w="15" w:type="dxa"/>
            </w:tcMar>
            <w:vAlign w:val="center"/>
          </w:tcPr>
          <w:p w14:paraId="07D65CB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责令停产停业整顿，并处17万元以上20万元以下的罚款，对直接负责的主管人员和其他直接责任人员处4万元以上5万元以下的罚款。</w:t>
            </w:r>
          </w:p>
        </w:tc>
      </w:tr>
      <w:tr w14:paraId="7CD1B8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0AF48E7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z w:val="18"/>
                <w:szCs w:val="18"/>
                <w:highlight w:val="none"/>
                <w:lang w:eastAsia="zh-CN"/>
              </w:rPr>
            </w:pPr>
            <w:r>
              <w:rPr>
                <w:rFonts w:hint="eastAsia" w:ascii="仿宋_GB2312" w:hAnsi="宋体" w:eastAsia="仿宋_GB2312" w:cs="仿宋_GB2312"/>
                <w:kern w:val="0"/>
                <w:sz w:val="18"/>
                <w:szCs w:val="18"/>
                <w:highlight w:val="none"/>
                <w:lang w:bidi="ar"/>
              </w:rPr>
              <w:t>16</w:t>
            </w:r>
            <w:del w:id="2841" w:author="LV" w:date="2026-07-14T16:59:46Z">
              <w:r>
                <w:rPr>
                  <w:rFonts w:hint="default" w:ascii="仿宋_GB2312" w:hAnsi="宋体" w:eastAsia="仿宋_GB2312" w:cs="仿宋_GB2312"/>
                  <w:kern w:val="0"/>
                  <w:sz w:val="18"/>
                  <w:szCs w:val="18"/>
                  <w:highlight w:val="none"/>
                  <w:lang w:val="en-US" w:bidi="ar"/>
                </w:rPr>
                <w:delText>1</w:delText>
              </w:r>
            </w:del>
            <w:ins w:id="2842" w:author="LV" w:date="2026-07-14T16:59:46Z">
              <w:r>
                <w:rPr>
                  <w:rFonts w:hint="eastAsia" w:ascii="仿宋_GB2312" w:hAnsi="宋体" w:eastAsia="仿宋_GB2312" w:cs="仿宋_GB2312"/>
                  <w:kern w:val="0"/>
                  <w:sz w:val="18"/>
                  <w:szCs w:val="18"/>
                  <w:highlight w:val="none"/>
                  <w:lang w:val="en-US" w:eastAsia="zh-CN" w:bidi="ar"/>
                </w:rPr>
                <w:t>8</w:t>
              </w:r>
            </w:ins>
          </w:p>
        </w:tc>
        <w:tc>
          <w:tcPr>
            <w:tcW w:w="1005" w:type="dxa"/>
            <w:vMerge w:val="restart"/>
            <w:tcBorders>
              <w:tl2br w:val="nil"/>
              <w:tr2bl w:val="nil"/>
            </w:tcBorders>
            <w:shd w:val="clear" w:color="auto" w:fill="auto"/>
            <w:tcMar>
              <w:top w:w="15" w:type="dxa"/>
              <w:left w:w="15" w:type="dxa"/>
              <w:right w:w="15" w:type="dxa"/>
            </w:tcMar>
            <w:vAlign w:val="center"/>
          </w:tcPr>
          <w:p w14:paraId="166DAD0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highlight w:val="none"/>
                <w:lang w:val="en-US" w:eastAsia="zh-CN"/>
              </w:rPr>
            </w:pPr>
            <w:r>
              <w:rPr>
                <w:rFonts w:hint="eastAsia" w:ascii="仿宋_GB2312" w:hAnsi="宋体" w:eastAsia="仿宋_GB2312" w:cs="仿宋_GB2312"/>
                <w:kern w:val="0"/>
                <w:sz w:val="18"/>
                <w:szCs w:val="18"/>
                <w:highlight w:val="none"/>
                <w:lang w:bidi="ar"/>
              </w:rPr>
              <w:t>煤矿未如实记录安全生产教育和培训情况</w:t>
            </w:r>
            <w:r>
              <w:rPr>
                <w:rFonts w:hint="eastAsia" w:ascii="仿宋_GB2312" w:hAnsi="宋体" w:eastAsia="仿宋_GB2312" w:cs="仿宋_GB2312"/>
                <w:kern w:val="0"/>
                <w:sz w:val="18"/>
                <w:szCs w:val="18"/>
                <w:highlight w:val="none"/>
                <w:lang w:val="en-US" w:eastAsia="zh-CN" w:bidi="ar"/>
              </w:rPr>
              <w:t>的</w:t>
            </w:r>
          </w:p>
        </w:tc>
        <w:tc>
          <w:tcPr>
            <w:tcW w:w="3667" w:type="dxa"/>
            <w:vMerge w:val="restart"/>
            <w:tcBorders>
              <w:tl2br w:val="nil"/>
              <w:tr2bl w:val="nil"/>
            </w:tcBorders>
            <w:shd w:val="clear" w:color="auto" w:fill="auto"/>
            <w:tcMar>
              <w:top w:w="15" w:type="dxa"/>
              <w:left w:w="15" w:type="dxa"/>
              <w:right w:w="15" w:type="dxa"/>
            </w:tcMar>
            <w:vAlign w:val="center"/>
          </w:tcPr>
          <w:p w14:paraId="4CF34BD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highlight w:val="none"/>
                <w:lang w:eastAsia="zh-CN"/>
              </w:rPr>
            </w:pPr>
            <w:r>
              <w:rPr>
                <w:rFonts w:hint="eastAsia" w:ascii="仿宋_GB2312" w:hAnsi="宋体" w:eastAsia="仿宋_GB2312" w:cs="仿宋_GB2312"/>
                <w:kern w:val="0"/>
                <w:sz w:val="18"/>
                <w:szCs w:val="18"/>
                <w:highlight w:val="none"/>
                <w:lang w:bidi="ar"/>
              </w:rPr>
              <w:t>《安全生产法》第二十八条 生产经营单位应当建立安全生产教育和培训档案，如实记录安全生产教育和培训的时间、内容、参加人员以及考核结果等情况</w:t>
            </w:r>
            <w:r>
              <w:rPr>
                <w:rFonts w:hint="eastAsia" w:ascii="仿宋_GB2312" w:hAnsi="宋体" w:eastAsia="仿宋_GB2312" w:cs="仿宋_GB2312"/>
                <w:kern w:val="0"/>
                <w:sz w:val="18"/>
                <w:szCs w:val="18"/>
                <w:highlight w:val="none"/>
                <w:lang w:eastAsia="zh-CN" w:bidi="ar"/>
              </w:rPr>
              <w:t>。</w:t>
            </w:r>
          </w:p>
        </w:tc>
        <w:tc>
          <w:tcPr>
            <w:tcW w:w="4082" w:type="dxa"/>
            <w:vMerge w:val="restart"/>
            <w:tcBorders>
              <w:tl2br w:val="nil"/>
              <w:tr2bl w:val="nil"/>
            </w:tcBorders>
            <w:shd w:val="clear" w:color="auto" w:fill="auto"/>
            <w:tcMar>
              <w:top w:w="15" w:type="dxa"/>
              <w:left w:w="15" w:type="dxa"/>
              <w:right w:w="15" w:type="dxa"/>
            </w:tcMar>
            <w:vAlign w:val="center"/>
          </w:tcPr>
          <w:p w14:paraId="0183C00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《安全生产法》第九十七条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四）未如实记录安全生产教育和培训情况的。</w:t>
            </w:r>
          </w:p>
          <w:p w14:paraId="1AABC7B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《煤矿安全生产条例》第六十二条第（三）项  煤矿企业有下列行为之一的，依照《中华人民共和国安全生产法》有关规定予以处罚：（三）未按照规定进行安全生产教育和培训，未按照规定如实告知有关的安全生产事项，或者未如实记录安全生产教育和培训情况的。</w:t>
            </w:r>
          </w:p>
        </w:tc>
        <w:tc>
          <w:tcPr>
            <w:tcW w:w="459" w:type="dxa"/>
            <w:tcBorders>
              <w:tl2br w:val="nil"/>
              <w:tr2bl w:val="nil"/>
            </w:tcBorders>
            <w:shd w:val="clear" w:color="auto" w:fill="auto"/>
            <w:noWrap/>
            <w:tcMar>
              <w:top w:w="15" w:type="dxa"/>
              <w:left w:w="15" w:type="dxa"/>
              <w:right w:w="15" w:type="dxa"/>
            </w:tcMar>
            <w:vAlign w:val="center"/>
          </w:tcPr>
          <w:p w14:paraId="262EE72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65BBC67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43C2DC4">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AE1AC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23EEF2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4F4CF1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712B5F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248296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45FB63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0767CFE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67DA270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64BF4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E1E227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F397B7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214094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670AA3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83680A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1935494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D662703">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C6333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3C6752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53ED05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999F24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B61ED3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03B310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364ABB8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未如实记录安全生产教育和培训情况，涉及3人（次）以下的。</w:t>
            </w:r>
          </w:p>
        </w:tc>
        <w:tc>
          <w:tcPr>
            <w:tcW w:w="2655" w:type="dxa"/>
            <w:tcBorders>
              <w:tl2br w:val="nil"/>
              <w:tr2bl w:val="nil"/>
            </w:tcBorders>
            <w:shd w:val="clear" w:color="auto" w:fill="auto"/>
            <w:tcMar>
              <w:top w:w="15" w:type="dxa"/>
              <w:left w:w="15" w:type="dxa"/>
              <w:right w:w="15" w:type="dxa"/>
            </w:tcMar>
            <w:vAlign w:val="center"/>
          </w:tcPr>
          <w:p w14:paraId="7ED38A5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处3万元以下的罚款。</w:t>
            </w:r>
          </w:p>
        </w:tc>
      </w:tr>
      <w:tr w14:paraId="10B4B1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1DE1D1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CD1D16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A0D270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6A6EF5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47C9D0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4A5E4D9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未如实记录安全生产教育和培训情况，涉及3人（次）以上5人（次）以下的。</w:t>
            </w:r>
          </w:p>
        </w:tc>
        <w:tc>
          <w:tcPr>
            <w:tcW w:w="2655" w:type="dxa"/>
            <w:tcBorders>
              <w:tl2br w:val="nil"/>
              <w:tr2bl w:val="nil"/>
            </w:tcBorders>
            <w:shd w:val="clear" w:color="auto" w:fill="auto"/>
            <w:tcMar>
              <w:top w:w="15" w:type="dxa"/>
              <w:left w:w="15" w:type="dxa"/>
              <w:right w:w="15" w:type="dxa"/>
            </w:tcMar>
            <w:vAlign w:val="center"/>
          </w:tcPr>
          <w:p w14:paraId="135AF5B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处3万元以上7万元以下的罚款。</w:t>
            </w:r>
          </w:p>
        </w:tc>
      </w:tr>
      <w:tr w14:paraId="378A21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0CC83D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55AC20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AD6877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4C86A4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4A6314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314B8A9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未如实记录安全生产教育和培训情况，涉及5人（次）上的。</w:t>
            </w:r>
          </w:p>
        </w:tc>
        <w:tc>
          <w:tcPr>
            <w:tcW w:w="2655" w:type="dxa"/>
            <w:tcBorders>
              <w:tl2br w:val="nil"/>
              <w:tr2bl w:val="nil"/>
            </w:tcBorders>
            <w:shd w:val="clear" w:color="auto" w:fill="auto"/>
            <w:tcMar>
              <w:top w:w="15" w:type="dxa"/>
              <w:left w:w="15" w:type="dxa"/>
              <w:right w:w="15" w:type="dxa"/>
            </w:tcMar>
            <w:vAlign w:val="center"/>
          </w:tcPr>
          <w:p w14:paraId="28144DF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处7万元以上10万元以下的罚款。</w:t>
            </w:r>
          </w:p>
        </w:tc>
      </w:tr>
      <w:tr w14:paraId="3646C2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1969E17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z w:val="18"/>
                <w:szCs w:val="18"/>
                <w:highlight w:val="none"/>
                <w:lang w:eastAsia="zh-CN"/>
              </w:rPr>
            </w:pPr>
            <w:r>
              <w:rPr>
                <w:rFonts w:hint="eastAsia" w:ascii="仿宋_GB2312" w:hAnsi="宋体" w:eastAsia="仿宋_GB2312" w:cs="仿宋_GB2312"/>
                <w:kern w:val="0"/>
                <w:sz w:val="18"/>
                <w:szCs w:val="18"/>
                <w:highlight w:val="none"/>
                <w:lang w:bidi="ar"/>
              </w:rPr>
              <w:t>16</w:t>
            </w:r>
            <w:del w:id="2843" w:author="LV" w:date="2026-07-14T16:59:51Z">
              <w:r>
                <w:rPr>
                  <w:rFonts w:hint="default" w:ascii="仿宋_GB2312" w:hAnsi="宋体" w:eastAsia="仿宋_GB2312" w:cs="仿宋_GB2312"/>
                  <w:kern w:val="0"/>
                  <w:sz w:val="18"/>
                  <w:szCs w:val="18"/>
                  <w:highlight w:val="none"/>
                  <w:lang w:val="en-US" w:bidi="ar"/>
                </w:rPr>
                <w:delText>2</w:delText>
              </w:r>
            </w:del>
            <w:ins w:id="2844" w:author="LV" w:date="2026-07-14T16:59:51Z">
              <w:r>
                <w:rPr>
                  <w:rFonts w:hint="eastAsia" w:ascii="仿宋_GB2312" w:hAnsi="宋体" w:eastAsia="仿宋_GB2312" w:cs="仿宋_GB2312"/>
                  <w:kern w:val="0"/>
                  <w:sz w:val="18"/>
                  <w:szCs w:val="18"/>
                  <w:highlight w:val="none"/>
                  <w:lang w:val="en-US" w:eastAsia="zh-CN" w:bidi="ar"/>
                </w:rPr>
                <w:t>9</w:t>
              </w:r>
            </w:ins>
          </w:p>
        </w:tc>
        <w:tc>
          <w:tcPr>
            <w:tcW w:w="1005" w:type="dxa"/>
            <w:vMerge w:val="restart"/>
            <w:tcBorders>
              <w:tl2br w:val="nil"/>
              <w:tr2bl w:val="nil"/>
            </w:tcBorders>
            <w:shd w:val="clear" w:color="auto" w:fill="auto"/>
            <w:tcMar>
              <w:top w:w="15" w:type="dxa"/>
              <w:left w:w="15" w:type="dxa"/>
              <w:right w:w="15" w:type="dxa"/>
            </w:tcMar>
            <w:vAlign w:val="center"/>
          </w:tcPr>
          <w:p w14:paraId="58FE744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highlight w:val="none"/>
                <w:lang w:val="en-US" w:eastAsia="zh-CN"/>
              </w:rPr>
            </w:pPr>
            <w:r>
              <w:rPr>
                <w:rFonts w:hint="eastAsia" w:ascii="仿宋_GB2312" w:hAnsi="宋体" w:eastAsia="仿宋_GB2312" w:cs="仿宋_GB2312"/>
                <w:kern w:val="0"/>
                <w:sz w:val="18"/>
                <w:szCs w:val="18"/>
                <w:highlight w:val="none"/>
                <w:lang w:bidi="ar"/>
              </w:rPr>
              <w:t>煤矿未如实记录安全生产教育和培训情况，逾期未改正</w:t>
            </w:r>
            <w:r>
              <w:rPr>
                <w:rFonts w:hint="eastAsia" w:ascii="仿宋_GB2312" w:hAnsi="宋体" w:eastAsia="仿宋_GB2312" w:cs="仿宋_GB2312"/>
                <w:kern w:val="0"/>
                <w:sz w:val="18"/>
                <w:szCs w:val="18"/>
                <w:highlight w:val="none"/>
                <w:lang w:val="en-US" w:eastAsia="zh-CN" w:bidi="ar"/>
              </w:rPr>
              <w:t>的</w:t>
            </w:r>
          </w:p>
        </w:tc>
        <w:tc>
          <w:tcPr>
            <w:tcW w:w="3667" w:type="dxa"/>
            <w:vMerge w:val="restart"/>
            <w:tcBorders>
              <w:tl2br w:val="nil"/>
              <w:tr2bl w:val="nil"/>
            </w:tcBorders>
            <w:shd w:val="clear" w:color="auto" w:fill="auto"/>
            <w:tcMar>
              <w:top w:w="15" w:type="dxa"/>
              <w:left w:w="15" w:type="dxa"/>
              <w:right w:w="15" w:type="dxa"/>
            </w:tcMar>
            <w:vAlign w:val="center"/>
          </w:tcPr>
          <w:p w14:paraId="422680D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highlight w:val="none"/>
                <w:lang w:eastAsia="zh-CN"/>
              </w:rPr>
            </w:pPr>
            <w:r>
              <w:rPr>
                <w:rFonts w:hint="eastAsia" w:ascii="仿宋_GB2312" w:hAnsi="宋体" w:eastAsia="仿宋_GB2312" w:cs="仿宋_GB2312"/>
                <w:kern w:val="0"/>
                <w:sz w:val="18"/>
                <w:szCs w:val="18"/>
                <w:highlight w:val="none"/>
                <w:lang w:bidi="ar"/>
              </w:rPr>
              <w:t>《安全生产法》第二十八条 生产经营单位应当建立安全生产教育和培训档案，如实记录安全生产教育和培训的时间、内容、参加人员以及考核结果等情况</w:t>
            </w:r>
            <w:r>
              <w:rPr>
                <w:rFonts w:hint="eastAsia" w:ascii="仿宋_GB2312" w:hAnsi="宋体" w:eastAsia="仿宋_GB2312" w:cs="仿宋_GB2312"/>
                <w:kern w:val="0"/>
                <w:sz w:val="18"/>
                <w:szCs w:val="18"/>
                <w:highlight w:val="none"/>
                <w:lang w:eastAsia="zh-CN" w:bidi="ar"/>
              </w:rPr>
              <w:t>。</w:t>
            </w:r>
          </w:p>
        </w:tc>
        <w:tc>
          <w:tcPr>
            <w:tcW w:w="4082" w:type="dxa"/>
            <w:vMerge w:val="restart"/>
            <w:tcBorders>
              <w:tl2br w:val="nil"/>
              <w:tr2bl w:val="nil"/>
            </w:tcBorders>
            <w:shd w:val="clear" w:color="auto" w:fill="auto"/>
            <w:tcMar>
              <w:top w:w="15" w:type="dxa"/>
              <w:left w:w="15" w:type="dxa"/>
              <w:right w:w="15" w:type="dxa"/>
            </w:tcMar>
            <w:vAlign w:val="center"/>
          </w:tcPr>
          <w:p w14:paraId="71E2598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《安全生产法》第九十七条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四）未如实记录安全生产教育和培训情况的。</w:t>
            </w:r>
          </w:p>
          <w:p w14:paraId="10F2FB0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《煤矿安全生产条例》第六十二条第（三）项  煤矿企业有下列行为之一的，依照《中华人民共和国安全生产法》有关规定予以处罚：（三）未按照规定进行安全生产教育和培训，未按照规定如实告知有关的安全生产事项，或者未如实记录安全生产教育和培训情况的。</w:t>
            </w:r>
          </w:p>
        </w:tc>
        <w:tc>
          <w:tcPr>
            <w:tcW w:w="459" w:type="dxa"/>
            <w:tcBorders>
              <w:tl2br w:val="nil"/>
              <w:tr2bl w:val="nil"/>
            </w:tcBorders>
            <w:shd w:val="clear" w:color="auto" w:fill="auto"/>
            <w:noWrap/>
            <w:tcMar>
              <w:top w:w="15" w:type="dxa"/>
              <w:left w:w="15" w:type="dxa"/>
              <w:right w:w="15" w:type="dxa"/>
            </w:tcMar>
            <w:vAlign w:val="center"/>
          </w:tcPr>
          <w:p w14:paraId="38E8B5D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72AC7FA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761B6FF4">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B2D21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A0235B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AC9A55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250FE1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16A24A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B6CDE7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481B952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056A93A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6D265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D92464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03FB21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FA443A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E7A113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AA6B62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4B7A250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D54E74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92856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4067C4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33FB69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0B7E7E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D830E5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3C1A6F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3CA2A58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未如实记录安全生产教育和培训情况，涉及3人（次）以下，逾期未改正的。</w:t>
            </w:r>
          </w:p>
        </w:tc>
        <w:tc>
          <w:tcPr>
            <w:tcW w:w="2655" w:type="dxa"/>
            <w:tcBorders>
              <w:tl2br w:val="nil"/>
              <w:tr2bl w:val="nil"/>
            </w:tcBorders>
            <w:shd w:val="clear" w:color="auto" w:fill="auto"/>
            <w:tcMar>
              <w:top w:w="15" w:type="dxa"/>
              <w:left w:w="15" w:type="dxa"/>
              <w:right w:w="15" w:type="dxa"/>
            </w:tcMar>
            <w:vAlign w:val="center"/>
          </w:tcPr>
          <w:p w14:paraId="4DFDC2D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责令停产停业整顿，并处10万元以上13万元以下的罚款，对直接负责的主管人员和其他直接责任人员处2万元以上3万元以下的罚款。</w:t>
            </w:r>
          </w:p>
        </w:tc>
      </w:tr>
      <w:tr w14:paraId="3F978A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9BEBF9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4DD518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48B648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BA737A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419CCB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626BBD4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未如实记录安全生产教育和培训情况，涉及的人数3人（次）以上5人（次）以下，逾期未改正涉及1人（次）以上的。</w:t>
            </w:r>
          </w:p>
        </w:tc>
        <w:tc>
          <w:tcPr>
            <w:tcW w:w="2655" w:type="dxa"/>
            <w:tcBorders>
              <w:tl2br w:val="nil"/>
              <w:tr2bl w:val="nil"/>
            </w:tcBorders>
            <w:shd w:val="clear" w:color="auto" w:fill="auto"/>
            <w:tcMar>
              <w:top w:w="15" w:type="dxa"/>
              <w:left w:w="15" w:type="dxa"/>
              <w:right w:w="15" w:type="dxa"/>
            </w:tcMar>
            <w:vAlign w:val="center"/>
          </w:tcPr>
          <w:p w14:paraId="6F001A8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责令停产停业整顿，并处13万元以上17万元以下的罚款，对直接负责的主管人员和其他直接责任人员处3万元以上4万元以下的罚款。</w:t>
            </w:r>
          </w:p>
        </w:tc>
      </w:tr>
      <w:tr w14:paraId="562D83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D29761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B1DAD1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BBFA99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EEDF60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9B3DA3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4CB2BFE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未如实记录安全生产教育和培训情况，涉及的人数5人（次）上，逾期未改正涉及1人（次）以上的。</w:t>
            </w:r>
          </w:p>
        </w:tc>
        <w:tc>
          <w:tcPr>
            <w:tcW w:w="2655" w:type="dxa"/>
            <w:tcBorders>
              <w:tl2br w:val="nil"/>
              <w:tr2bl w:val="nil"/>
            </w:tcBorders>
            <w:shd w:val="clear" w:color="auto" w:fill="auto"/>
            <w:tcMar>
              <w:top w:w="15" w:type="dxa"/>
              <w:left w:w="15" w:type="dxa"/>
              <w:right w:w="15" w:type="dxa"/>
            </w:tcMar>
            <w:vAlign w:val="center"/>
          </w:tcPr>
          <w:p w14:paraId="16A02A5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责令停产停业整顿，并处17万元以上20万元以下的罚款，对直接负责的主管人员和其他直接责任人员处4万元以上5万元以下的罚款。</w:t>
            </w:r>
          </w:p>
        </w:tc>
      </w:tr>
      <w:tr w14:paraId="1F7B5C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4FF746F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highlight w:val="none"/>
                <w:lang w:val="en-US" w:eastAsia="zh-CN"/>
              </w:rPr>
            </w:pPr>
            <w:r>
              <w:rPr>
                <w:rFonts w:hint="eastAsia" w:ascii="仿宋_GB2312" w:hAnsi="宋体" w:eastAsia="仿宋_GB2312" w:cs="仿宋_GB2312"/>
                <w:kern w:val="0"/>
                <w:sz w:val="18"/>
                <w:szCs w:val="18"/>
                <w:highlight w:val="none"/>
                <w:lang w:bidi="ar"/>
              </w:rPr>
              <w:t>1</w:t>
            </w:r>
            <w:del w:id="2845" w:author="LV" w:date="2026-07-14T16:59:55Z">
              <w:r>
                <w:rPr>
                  <w:rFonts w:hint="default" w:ascii="仿宋_GB2312" w:hAnsi="宋体" w:eastAsia="仿宋_GB2312" w:cs="仿宋_GB2312"/>
                  <w:kern w:val="0"/>
                  <w:sz w:val="18"/>
                  <w:szCs w:val="18"/>
                  <w:highlight w:val="none"/>
                  <w:lang w:val="en-US" w:bidi="ar"/>
                </w:rPr>
                <w:delText>6</w:delText>
              </w:r>
            </w:del>
            <w:del w:id="2846" w:author="LV" w:date="2026-07-14T16:59:55Z">
              <w:r>
                <w:rPr>
                  <w:rFonts w:hint="default" w:ascii="仿宋_GB2312" w:hAnsi="宋体" w:eastAsia="仿宋_GB2312" w:cs="仿宋_GB2312"/>
                  <w:kern w:val="0"/>
                  <w:sz w:val="18"/>
                  <w:szCs w:val="18"/>
                  <w:highlight w:val="none"/>
                  <w:lang w:val="en-US" w:eastAsia="zh-CN" w:bidi="ar"/>
                </w:rPr>
                <w:delText>3</w:delText>
              </w:r>
            </w:del>
            <w:ins w:id="2847" w:author="LV" w:date="2026-07-14T16:59:55Z">
              <w:r>
                <w:rPr>
                  <w:rFonts w:hint="eastAsia" w:ascii="仿宋_GB2312" w:hAnsi="宋体" w:eastAsia="仿宋_GB2312" w:cs="仿宋_GB2312"/>
                  <w:kern w:val="0"/>
                  <w:sz w:val="18"/>
                  <w:szCs w:val="18"/>
                  <w:highlight w:val="none"/>
                  <w:lang w:val="en-US" w:eastAsia="zh-CN" w:bidi="ar"/>
                </w:rPr>
                <w:t>70</w:t>
              </w:r>
            </w:ins>
          </w:p>
        </w:tc>
        <w:tc>
          <w:tcPr>
            <w:tcW w:w="1005" w:type="dxa"/>
            <w:vMerge w:val="restart"/>
            <w:tcBorders>
              <w:tl2br w:val="nil"/>
              <w:tr2bl w:val="nil"/>
            </w:tcBorders>
            <w:shd w:val="clear" w:color="auto" w:fill="auto"/>
            <w:tcMar>
              <w:top w:w="15" w:type="dxa"/>
              <w:left w:w="15" w:type="dxa"/>
              <w:right w:w="15" w:type="dxa"/>
            </w:tcMar>
            <w:vAlign w:val="center"/>
          </w:tcPr>
          <w:p w14:paraId="6DC1408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highlight w:val="none"/>
                <w:lang w:val="en-US" w:eastAsia="zh-CN"/>
              </w:rPr>
            </w:pPr>
            <w:r>
              <w:rPr>
                <w:rFonts w:hint="eastAsia" w:ascii="仿宋_GB2312" w:hAnsi="宋体" w:eastAsia="仿宋_GB2312" w:cs="仿宋_GB2312"/>
                <w:kern w:val="0"/>
                <w:sz w:val="18"/>
                <w:szCs w:val="18"/>
                <w:highlight w:val="none"/>
                <w:lang w:bidi="ar"/>
              </w:rPr>
              <w:t>煤矿特种作业人员未按照规定经专门的安全作业培训并取得相应资格上岗作业</w:t>
            </w:r>
            <w:r>
              <w:rPr>
                <w:rFonts w:hint="eastAsia" w:ascii="仿宋_GB2312" w:hAnsi="宋体" w:eastAsia="仿宋_GB2312" w:cs="仿宋_GB2312"/>
                <w:kern w:val="0"/>
                <w:sz w:val="18"/>
                <w:szCs w:val="18"/>
                <w:highlight w:val="none"/>
                <w:lang w:val="en-US" w:eastAsia="zh-CN" w:bidi="ar"/>
              </w:rPr>
              <w:t>的</w:t>
            </w:r>
          </w:p>
        </w:tc>
        <w:tc>
          <w:tcPr>
            <w:tcW w:w="3667" w:type="dxa"/>
            <w:vMerge w:val="restart"/>
            <w:tcBorders>
              <w:tl2br w:val="nil"/>
              <w:tr2bl w:val="nil"/>
            </w:tcBorders>
            <w:shd w:val="clear" w:color="auto" w:fill="auto"/>
            <w:tcMar>
              <w:top w:w="15" w:type="dxa"/>
              <w:left w:w="15" w:type="dxa"/>
              <w:right w:w="15" w:type="dxa"/>
            </w:tcMar>
            <w:vAlign w:val="center"/>
          </w:tcPr>
          <w:p w14:paraId="68988A5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highlight w:val="none"/>
                <w:lang w:bidi="ar"/>
              </w:rPr>
            </w:pPr>
            <w:r>
              <w:rPr>
                <w:rFonts w:hint="eastAsia" w:ascii="仿宋_GB2312" w:hAnsi="宋体" w:eastAsia="仿宋_GB2312" w:cs="仿宋_GB2312"/>
                <w:kern w:val="0"/>
                <w:sz w:val="18"/>
                <w:szCs w:val="18"/>
                <w:highlight w:val="none"/>
                <w:lang w:bidi="ar"/>
              </w:rPr>
              <w:t>《安全生产法》第三十条 生产经营单位的特种作业人员必须按照国家有关规定经专门的安全作业培训，取得相应资格，方可上岗作业。</w:t>
            </w:r>
            <w:r>
              <w:rPr>
                <w:rFonts w:hint="eastAsia" w:ascii="仿宋_GB2312" w:hAnsi="宋体" w:eastAsia="仿宋_GB2312" w:cs="仿宋_GB2312"/>
                <w:kern w:val="0"/>
                <w:sz w:val="18"/>
                <w:szCs w:val="18"/>
                <w:highlight w:val="none"/>
                <w:lang w:bidi="ar"/>
              </w:rPr>
              <w:br w:type="textWrapping"/>
            </w:r>
            <w:r>
              <w:rPr>
                <w:rFonts w:hint="eastAsia" w:ascii="仿宋_GB2312" w:hAnsi="宋体" w:eastAsia="仿宋_GB2312" w:cs="仿宋_GB2312"/>
                <w:kern w:val="0"/>
                <w:sz w:val="18"/>
                <w:szCs w:val="18"/>
                <w:highlight w:val="none"/>
                <w:lang w:bidi="ar"/>
              </w:rPr>
              <w:t>特种作业人员的范围由国务院应急管理部门会同国务院有关部门确定。</w:t>
            </w:r>
          </w:p>
          <w:p w14:paraId="7490BB1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highlight w:val="none"/>
                <w:lang w:bidi="ar"/>
              </w:rPr>
            </w:pPr>
            <w:r>
              <w:rPr>
                <w:rFonts w:hint="eastAsia" w:ascii="仿宋_GB2312" w:hAnsi="宋体" w:eastAsia="仿宋_GB2312" w:cs="仿宋_GB2312"/>
                <w:kern w:val="0"/>
                <w:sz w:val="18"/>
                <w:szCs w:val="18"/>
                <w:highlight w:val="none"/>
                <w:lang w:bidi="ar"/>
              </w:rPr>
              <w:t>《特种作业人员安全技术培训考核管理规定》第四条　特种作业人员必须经专门的安全技术培训并考核合格，取得《中华人民共和国特种作业操作证》（以下简称特种作业操作证）后，方可上岗作业。</w:t>
            </w:r>
          </w:p>
          <w:p w14:paraId="3B24532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highlight w:val="none"/>
                <w:lang w:bidi="ar"/>
              </w:rPr>
            </w:pPr>
            <w:r>
              <w:rPr>
                <w:rFonts w:hint="eastAsia" w:ascii="仿宋_GB2312" w:hAnsi="宋体" w:eastAsia="仿宋_GB2312" w:cs="仿宋_GB2312"/>
                <w:kern w:val="0"/>
                <w:sz w:val="18"/>
                <w:szCs w:val="18"/>
                <w:highlight w:val="none"/>
                <w:lang w:bidi="ar"/>
              </w:rPr>
              <w:t>《煤矿安全生产条例》第二十一条第二款  煤矿企业从业人员经安全生产教育和培训合格，方可上岗作业。煤矿企业特种作业人员应当按照国家有关规定经专门的安全技术培训和考核合格，并取得相应资格。</w:t>
            </w:r>
          </w:p>
        </w:tc>
        <w:tc>
          <w:tcPr>
            <w:tcW w:w="4082" w:type="dxa"/>
            <w:vMerge w:val="restart"/>
            <w:tcBorders>
              <w:tl2br w:val="nil"/>
              <w:tr2bl w:val="nil"/>
            </w:tcBorders>
            <w:shd w:val="clear" w:color="auto" w:fill="auto"/>
            <w:tcMar>
              <w:top w:w="15" w:type="dxa"/>
              <w:left w:w="15" w:type="dxa"/>
              <w:right w:w="15" w:type="dxa"/>
            </w:tcMar>
            <w:vAlign w:val="center"/>
          </w:tcPr>
          <w:p w14:paraId="0B213A0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《安全生产法》第九十七条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七）特种作业人员未按照规定经专门的安全作业培训并取得相应资格，上岗作业的。</w:t>
            </w:r>
          </w:p>
          <w:p w14:paraId="7FA2967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《特种作业人员安全技术培训考核管理规定》第四十条　生产经营单位使用未取得特种作业操作证的特种作业人员上岗作业的，依照《中华人民共和国安全生产法》的规定，责令限期改正，处10万元以下的罚款；逾期未改正的，责令停产停业整顿，并处10万元以上20万元以下的罚款，对其直接负责的主管人员和其他直接责任人员处2万元以上5万元以下的罚款。</w:t>
            </w:r>
          </w:p>
          <w:p w14:paraId="4D672B8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《煤矿安全生产条例》第六十二条  煤矿企业有下列行为之一的，依照《中华人民共和国安全生产法》有关规定予以处罚：（四）特种作业人员未按照规定经专门的安全作业培训并取得相应资格，上岗作业的。</w:t>
            </w:r>
          </w:p>
        </w:tc>
        <w:tc>
          <w:tcPr>
            <w:tcW w:w="459" w:type="dxa"/>
            <w:tcBorders>
              <w:tl2br w:val="nil"/>
              <w:tr2bl w:val="nil"/>
            </w:tcBorders>
            <w:shd w:val="clear" w:color="auto" w:fill="auto"/>
            <w:noWrap/>
            <w:tcMar>
              <w:top w:w="15" w:type="dxa"/>
              <w:left w:w="15" w:type="dxa"/>
              <w:right w:w="15" w:type="dxa"/>
            </w:tcMar>
            <w:vAlign w:val="center"/>
          </w:tcPr>
          <w:p w14:paraId="4A77185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7A06DE7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744884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3B48D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535382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25A16A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7E068E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AB6BD3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E14CEB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5C8A18B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4225D9B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E27E6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6D226A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3F677B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9B79AE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319557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C7A708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5833D91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60AC84E">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D33F9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71F50D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0AC483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2A2D7C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8FE663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7CC5DC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0188959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特种作业人员未按照规定经专门的安全作业培训并取得相应资格上岗作业，涉及1人（次）的。</w:t>
            </w:r>
          </w:p>
        </w:tc>
        <w:tc>
          <w:tcPr>
            <w:tcW w:w="2655" w:type="dxa"/>
            <w:tcBorders>
              <w:tl2br w:val="nil"/>
              <w:tr2bl w:val="nil"/>
            </w:tcBorders>
            <w:shd w:val="clear" w:color="auto" w:fill="auto"/>
            <w:tcMar>
              <w:top w:w="15" w:type="dxa"/>
              <w:left w:w="15" w:type="dxa"/>
              <w:right w:w="15" w:type="dxa"/>
            </w:tcMar>
            <w:vAlign w:val="center"/>
          </w:tcPr>
          <w:p w14:paraId="34BDC75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处3万元以下的罚款。</w:t>
            </w:r>
          </w:p>
        </w:tc>
      </w:tr>
      <w:tr w14:paraId="6DE8EF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4A9FF0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694623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49358B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593705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BC4192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0DC55C2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特种作业人员未按照规定经专门的安全作业培训并取得相应资格上岗作业，涉及2人（次）的。</w:t>
            </w:r>
          </w:p>
        </w:tc>
        <w:tc>
          <w:tcPr>
            <w:tcW w:w="2655" w:type="dxa"/>
            <w:tcBorders>
              <w:tl2br w:val="nil"/>
              <w:tr2bl w:val="nil"/>
            </w:tcBorders>
            <w:shd w:val="clear" w:color="auto" w:fill="auto"/>
            <w:tcMar>
              <w:top w:w="15" w:type="dxa"/>
              <w:left w:w="15" w:type="dxa"/>
              <w:right w:w="15" w:type="dxa"/>
            </w:tcMar>
            <w:vAlign w:val="center"/>
          </w:tcPr>
          <w:p w14:paraId="3553379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处3万元以上7万元以下的罚款。</w:t>
            </w:r>
          </w:p>
        </w:tc>
      </w:tr>
      <w:tr w14:paraId="50D778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A07423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B21A32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BD8FD0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B7E2E1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A1824E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18550F0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特种作业人员未按照规定经专门的安全作业培训并取得相应资格上岗作业，涉及3人（次）以上的。</w:t>
            </w:r>
          </w:p>
        </w:tc>
        <w:tc>
          <w:tcPr>
            <w:tcW w:w="2655" w:type="dxa"/>
            <w:tcBorders>
              <w:tl2br w:val="nil"/>
              <w:tr2bl w:val="nil"/>
            </w:tcBorders>
            <w:shd w:val="clear" w:color="auto" w:fill="auto"/>
            <w:tcMar>
              <w:top w:w="15" w:type="dxa"/>
              <w:left w:w="15" w:type="dxa"/>
              <w:right w:w="15" w:type="dxa"/>
            </w:tcMar>
            <w:vAlign w:val="center"/>
          </w:tcPr>
          <w:p w14:paraId="406CD53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处7万元以上10万元以下的罚款。</w:t>
            </w:r>
          </w:p>
        </w:tc>
      </w:tr>
      <w:tr w14:paraId="77A12D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1609EB2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highlight w:val="none"/>
                <w:lang w:val="en-US" w:eastAsia="zh-CN"/>
              </w:rPr>
            </w:pPr>
            <w:r>
              <w:rPr>
                <w:rFonts w:hint="eastAsia" w:ascii="仿宋_GB2312" w:hAnsi="宋体" w:eastAsia="仿宋_GB2312" w:cs="仿宋_GB2312"/>
                <w:kern w:val="0"/>
                <w:sz w:val="18"/>
                <w:szCs w:val="18"/>
                <w:highlight w:val="none"/>
                <w:lang w:bidi="ar"/>
              </w:rPr>
              <w:t>1</w:t>
            </w:r>
            <w:del w:id="2848" w:author="LV" w:date="2026-07-14T17:00:01Z">
              <w:r>
                <w:rPr>
                  <w:rFonts w:hint="default" w:ascii="仿宋_GB2312" w:hAnsi="宋体" w:eastAsia="仿宋_GB2312" w:cs="仿宋_GB2312"/>
                  <w:kern w:val="0"/>
                  <w:sz w:val="18"/>
                  <w:szCs w:val="18"/>
                  <w:highlight w:val="none"/>
                  <w:lang w:val="en-US" w:bidi="ar"/>
                </w:rPr>
                <w:delText>6</w:delText>
              </w:r>
            </w:del>
            <w:del w:id="2849" w:author="LV" w:date="2026-07-14T17:00:01Z">
              <w:r>
                <w:rPr>
                  <w:rFonts w:hint="default" w:ascii="仿宋_GB2312" w:hAnsi="宋体" w:eastAsia="仿宋_GB2312" w:cs="仿宋_GB2312"/>
                  <w:kern w:val="0"/>
                  <w:sz w:val="18"/>
                  <w:szCs w:val="18"/>
                  <w:highlight w:val="none"/>
                  <w:lang w:val="en-US" w:eastAsia="zh-CN" w:bidi="ar"/>
                </w:rPr>
                <w:delText>4</w:delText>
              </w:r>
            </w:del>
            <w:ins w:id="2850" w:author="LV" w:date="2026-07-14T17:00:01Z">
              <w:r>
                <w:rPr>
                  <w:rFonts w:hint="eastAsia" w:ascii="仿宋_GB2312" w:hAnsi="宋体" w:eastAsia="仿宋_GB2312" w:cs="仿宋_GB2312"/>
                  <w:kern w:val="0"/>
                  <w:sz w:val="18"/>
                  <w:szCs w:val="18"/>
                  <w:highlight w:val="none"/>
                  <w:lang w:val="en-US" w:eastAsia="zh-CN" w:bidi="ar"/>
                </w:rPr>
                <w:t>71</w:t>
              </w:r>
            </w:ins>
          </w:p>
        </w:tc>
        <w:tc>
          <w:tcPr>
            <w:tcW w:w="1005" w:type="dxa"/>
            <w:vMerge w:val="restart"/>
            <w:tcBorders>
              <w:tl2br w:val="nil"/>
              <w:tr2bl w:val="nil"/>
            </w:tcBorders>
            <w:shd w:val="clear" w:color="auto" w:fill="auto"/>
            <w:tcMar>
              <w:top w:w="15" w:type="dxa"/>
              <w:left w:w="15" w:type="dxa"/>
              <w:right w:w="15" w:type="dxa"/>
            </w:tcMar>
            <w:vAlign w:val="center"/>
          </w:tcPr>
          <w:p w14:paraId="4223F78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highlight w:val="none"/>
                <w:lang w:val="en-US" w:eastAsia="zh-CN"/>
              </w:rPr>
            </w:pPr>
            <w:r>
              <w:rPr>
                <w:rFonts w:hint="eastAsia" w:ascii="仿宋_GB2312" w:hAnsi="宋体" w:eastAsia="仿宋_GB2312" w:cs="仿宋_GB2312"/>
                <w:kern w:val="0"/>
                <w:sz w:val="18"/>
                <w:szCs w:val="18"/>
                <w:highlight w:val="none"/>
                <w:lang w:bidi="ar"/>
              </w:rPr>
              <w:t>煤矿特种作业人员未按照规定经专门的安全作业培训并取得相应资格上岗作业，逾期未改正</w:t>
            </w:r>
            <w:r>
              <w:rPr>
                <w:rFonts w:hint="eastAsia" w:ascii="仿宋_GB2312" w:hAnsi="宋体" w:eastAsia="仿宋_GB2312" w:cs="仿宋_GB2312"/>
                <w:kern w:val="0"/>
                <w:sz w:val="18"/>
                <w:szCs w:val="18"/>
                <w:highlight w:val="none"/>
                <w:lang w:val="en-US" w:eastAsia="zh-CN" w:bidi="ar"/>
              </w:rPr>
              <w:t>的</w:t>
            </w:r>
          </w:p>
        </w:tc>
        <w:tc>
          <w:tcPr>
            <w:tcW w:w="3667" w:type="dxa"/>
            <w:vMerge w:val="restart"/>
            <w:tcBorders>
              <w:tl2br w:val="nil"/>
              <w:tr2bl w:val="nil"/>
            </w:tcBorders>
            <w:shd w:val="clear" w:color="auto" w:fill="auto"/>
            <w:tcMar>
              <w:top w:w="15" w:type="dxa"/>
              <w:left w:w="15" w:type="dxa"/>
              <w:right w:w="15" w:type="dxa"/>
            </w:tcMar>
            <w:vAlign w:val="center"/>
          </w:tcPr>
          <w:p w14:paraId="62D1F43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highlight w:val="none"/>
                <w:lang w:bidi="ar"/>
              </w:rPr>
            </w:pPr>
            <w:r>
              <w:rPr>
                <w:rFonts w:hint="eastAsia" w:ascii="仿宋_GB2312" w:hAnsi="宋体" w:eastAsia="仿宋_GB2312" w:cs="仿宋_GB2312"/>
                <w:kern w:val="0"/>
                <w:sz w:val="18"/>
                <w:szCs w:val="18"/>
                <w:highlight w:val="none"/>
                <w:lang w:bidi="ar"/>
              </w:rPr>
              <w:t>《安全生产法》第三十条 生产经营单位的特种作业人员必须按照国家有关规定经专门的安全作业培训，取得相应资格，方可上岗作业。</w:t>
            </w:r>
            <w:r>
              <w:rPr>
                <w:rFonts w:hint="eastAsia" w:ascii="仿宋_GB2312" w:hAnsi="宋体" w:eastAsia="仿宋_GB2312" w:cs="仿宋_GB2312"/>
                <w:kern w:val="0"/>
                <w:sz w:val="18"/>
                <w:szCs w:val="18"/>
                <w:highlight w:val="none"/>
                <w:lang w:bidi="ar"/>
              </w:rPr>
              <w:br w:type="textWrapping"/>
            </w:r>
            <w:r>
              <w:rPr>
                <w:rFonts w:hint="eastAsia" w:ascii="仿宋_GB2312" w:hAnsi="宋体" w:eastAsia="仿宋_GB2312" w:cs="仿宋_GB2312"/>
                <w:kern w:val="0"/>
                <w:sz w:val="18"/>
                <w:szCs w:val="18"/>
                <w:highlight w:val="none"/>
                <w:lang w:bidi="ar"/>
              </w:rPr>
              <w:t>特种作业人员的范围由国务院应急管理部门会同国务院有关部门确定。</w:t>
            </w:r>
          </w:p>
          <w:p w14:paraId="336FB43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highlight w:val="none"/>
                <w:lang w:bidi="ar"/>
              </w:rPr>
            </w:pPr>
            <w:r>
              <w:rPr>
                <w:rFonts w:hint="eastAsia" w:ascii="仿宋_GB2312" w:hAnsi="宋体" w:eastAsia="仿宋_GB2312" w:cs="仿宋_GB2312"/>
                <w:kern w:val="0"/>
                <w:sz w:val="18"/>
                <w:szCs w:val="18"/>
                <w:highlight w:val="none"/>
                <w:lang w:bidi="ar"/>
              </w:rPr>
              <w:t>《特种作业人员安全技术培训考核管理规定》第四条　特种作业人员必须经专门的安全技术培训并考核合格，取得《中华人民共和国特种作业操作证》（以下简称特种作业操作证）后，方可上岗作业。</w:t>
            </w:r>
          </w:p>
          <w:p w14:paraId="3735935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highlight w:val="none"/>
                <w:lang w:bidi="ar"/>
              </w:rPr>
            </w:pPr>
            <w:r>
              <w:rPr>
                <w:rFonts w:hint="eastAsia" w:ascii="仿宋_GB2312" w:hAnsi="宋体" w:eastAsia="仿宋_GB2312" w:cs="仿宋_GB2312"/>
                <w:kern w:val="0"/>
                <w:sz w:val="18"/>
                <w:szCs w:val="18"/>
                <w:highlight w:val="none"/>
                <w:lang w:bidi="ar"/>
              </w:rPr>
              <w:t>《煤矿安全生产条例》第二十一条第二款  煤矿企业从业人员经安全生产教育和培训合格，方可上岗作业。煤矿企业特种作业人员应当按照国家有关规定经专门的安全技术培训和考核合格，并取得相应资格。</w:t>
            </w:r>
          </w:p>
        </w:tc>
        <w:tc>
          <w:tcPr>
            <w:tcW w:w="4082" w:type="dxa"/>
            <w:vMerge w:val="restart"/>
            <w:tcBorders>
              <w:tl2br w:val="nil"/>
              <w:tr2bl w:val="nil"/>
            </w:tcBorders>
            <w:shd w:val="clear" w:color="auto" w:fill="auto"/>
            <w:tcMar>
              <w:top w:w="15" w:type="dxa"/>
              <w:left w:w="15" w:type="dxa"/>
              <w:right w:w="15" w:type="dxa"/>
            </w:tcMar>
            <w:vAlign w:val="center"/>
          </w:tcPr>
          <w:p w14:paraId="4F8AEB4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《安全生产法》第九十七条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七）特种作业人员未按照规定经专门的安全作业培训并取得相应资格，上岗作业的。</w:t>
            </w:r>
          </w:p>
          <w:p w14:paraId="0EFF72E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《特种作业人员安全技术培训考核管理规定》第四十条　生产经营单位使用未取得特种作业操作证的特种作业人员上岗作业的，依照《中华人民共和国安全生产法》的规定，责令限期改正，处10万元以下的罚款；逾期未改正的，责令停产停业整顿，并处10万元以上20万元以下的罚款，对其直接负责的主管人员和其他直接责任人员处2万元以上5万元以下的罚款。</w:t>
            </w:r>
          </w:p>
          <w:p w14:paraId="01F6A45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《煤矿安全生产条例》第六十二条  煤矿企业有下列行为之一的，依照《中华人民共和国安全生产法》有关规定予以处罚：（四）特种作业人员未按照规定经专门的安全作业培训并取得相应资格，上岗作业的。</w:t>
            </w:r>
          </w:p>
        </w:tc>
        <w:tc>
          <w:tcPr>
            <w:tcW w:w="459" w:type="dxa"/>
            <w:tcBorders>
              <w:tl2br w:val="nil"/>
              <w:tr2bl w:val="nil"/>
            </w:tcBorders>
            <w:shd w:val="clear" w:color="auto" w:fill="auto"/>
            <w:noWrap/>
            <w:tcMar>
              <w:top w:w="15" w:type="dxa"/>
              <w:left w:w="15" w:type="dxa"/>
              <w:right w:w="15" w:type="dxa"/>
            </w:tcMar>
            <w:vAlign w:val="center"/>
          </w:tcPr>
          <w:p w14:paraId="5679B0D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4F72E94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75A191A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306BE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A4CAA1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F588E2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54CE25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D5E15C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CDA731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12C3D41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12BA9766">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0DF2B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2F4BEC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9E7D7F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1B1AC9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034E6E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D95DDC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35FE00F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75E4DF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2BD66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668EF7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6BDFA6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FF2FB0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EDC7A7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6E79A3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1EB71DB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特种作业人员未按照规定经专门的安全作业培训并取得相应资格上岗作业，涉及1人（次）,逾期未改正的。</w:t>
            </w:r>
          </w:p>
        </w:tc>
        <w:tc>
          <w:tcPr>
            <w:tcW w:w="2655" w:type="dxa"/>
            <w:tcBorders>
              <w:tl2br w:val="nil"/>
              <w:tr2bl w:val="nil"/>
            </w:tcBorders>
            <w:shd w:val="clear" w:color="auto" w:fill="auto"/>
            <w:tcMar>
              <w:top w:w="15" w:type="dxa"/>
              <w:left w:w="15" w:type="dxa"/>
              <w:right w:w="15" w:type="dxa"/>
            </w:tcMar>
            <w:vAlign w:val="center"/>
          </w:tcPr>
          <w:p w14:paraId="43CB7BA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责令停产停业整顿，并处10万元以上13万元以下的罚款，对直接负责的主管人员和其他直接责任人员处2万元以上3万元以下的罚款。</w:t>
            </w:r>
          </w:p>
        </w:tc>
      </w:tr>
      <w:tr w14:paraId="06AE0C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5785D3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A51B3F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891CBB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B02EAC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66F0F7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2FB3E43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特种作业人员未按照规定经专门的安全作业培训并取得相应资格上岗作业，涉及2人（次）,逾期未改正涉及1人（次）以上的。</w:t>
            </w:r>
          </w:p>
        </w:tc>
        <w:tc>
          <w:tcPr>
            <w:tcW w:w="2655" w:type="dxa"/>
            <w:tcBorders>
              <w:tl2br w:val="nil"/>
              <w:tr2bl w:val="nil"/>
            </w:tcBorders>
            <w:shd w:val="clear" w:color="auto" w:fill="auto"/>
            <w:tcMar>
              <w:top w:w="15" w:type="dxa"/>
              <w:left w:w="15" w:type="dxa"/>
              <w:right w:w="15" w:type="dxa"/>
            </w:tcMar>
            <w:vAlign w:val="center"/>
          </w:tcPr>
          <w:p w14:paraId="0F449C3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责令停产停业整顿，并处13万元以上17万元以下的罚款，对直接负责的主管人员和其他直接责任人员处3万元以上4万元以下的罚款。</w:t>
            </w:r>
          </w:p>
        </w:tc>
      </w:tr>
      <w:tr w14:paraId="0ECFBB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9583C0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1D4DCB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3FEC20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37A814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92D1E5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5E6E017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特种作业人员未按照规定经专门的安全作业培训并取得相应资格上岗作业，涉及3人（次）以上,逾期未改正涉及1人（次）以上的。</w:t>
            </w:r>
          </w:p>
        </w:tc>
        <w:tc>
          <w:tcPr>
            <w:tcW w:w="2655" w:type="dxa"/>
            <w:tcBorders>
              <w:tl2br w:val="nil"/>
              <w:tr2bl w:val="nil"/>
            </w:tcBorders>
            <w:shd w:val="clear" w:color="auto" w:fill="auto"/>
            <w:tcMar>
              <w:top w:w="15" w:type="dxa"/>
              <w:left w:w="15" w:type="dxa"/>
              <w:right w:w="15" w:type="dxa"/>
            </w:tcMar>
            <w:vAlign w:val="center"/>
          </w:tcPr>
          <w:p w14:paraId="60B0017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责令停产停业整顿，并处17万元以上20万元以下的罚款，对直接负责的主管人员和其他直接责任人员处4万元以上5万元以下的罚款。</w:t>
            </w:r>
          </w:p>
        </w:tc>
      </w:tr>
      <w:tr w14:paraId="514222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6C1B3A4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highlight w:val="none"/>
                <w:lang w:val="en-US" w:eastAsia="zh-CN"/>
              </w:rPr>
            </w:pPr>
            <w:r>
              <w:rPr>
                <w:rFonts w:hint="eastAsia" w:ascii="仿宋_GB2312" w:hAnsi="宋体" w:eastAsia="仿宋_GB2312" w:cs="仿宋_GB2312"/>
                <w:kern w:val="0"/>
                <w:sz w:val="18"/>
                <w:szCs w:val="18"/>
                <w:highlight w:val="none"/>
                <w:lang w:bidi="ar"/>
              </w:rPr>
              <w:t>1</w:t>
            </w:r>
            <w:del w:id="2851" w:author="LV" w:date="2026-07-14T17:00:06Z">
              <w:r>
                <w:rPr>
                  <w:rFonts w:hint="default" w:ascii="仿宋_GB2312" w:hAnsi="宋体" w:eastAsia="仿宋_GB2312" w:cs="仿宋_GB2312"/>
                  <w:kern w:val="0"/>
                  <w:sz w:val="18"/>
                  <w:szCs w:val="18"/>
                  <w:highlight w:val="none"/>
                  <w:lang w:val="en-US" w:eastAsia="zh-CN" w:bidi="ar"/>
                </w:rPr>
                <w:delText>65</w:delText>
              </w:r>
            </w:del>
            <w:ins w:id="2852" w:author="LV" w:date="2026-07-14T17:00:06Z">
              <w:r>
                <w:rPr>
                  <w:rFonts w:hint="eastAsia" w:ascii="仿宋_GB2312" w:hAnsi="宋体" w:eastAsia="仿宋_GB2312" w:cs="仿宋_GB2312"/>
                  <w:kern w:val="0"/>
                  <w:sz w:val="18"/>
                  <w:szCs w:val="18"/>
                  <w:highlight w:val="none"/>
                  <w:lang w:val="en-US" w:eastAsia="zh-CN" w:bidi="ar"/>
                </w:rPr>
                <w:t>7</w:t>
              </w:r>
            </w:ins>
            <w:ins w:id="2853" w:author="LV" w:date="2026-07-14T17:00:07Z">
              <w:r>
                <w:rPr>
                  <w:rFonts w:hint="eastAsia" w:ascii="仿宋_GB2312" w:hAnsi="宋体" w:eastAsia="仿宋_GB2312" w:cs="仿宋_GB2312"/>
                  <w:kern w:val="0"/>
                  <w:sz w:val="18"/>
                  <w:szCs w:val="18"/>
                  <w:highlight w:val="none"/>
                  <w:lang w:val="en-US" w:eastAsia="zh-CN" w:bidi="ar"/>
                </w:rPr>
                <w:t>2</w:t>
              </w:r>
            </w:ins>
          </w:p>
        </w:tc>
        <w:tc>
          <w:tcPr>
            <w:tcW w:w="1005" w:type="dxa"/>
            <w:vMerge w:val="restart"/>
            <w:tcBorders>
              <w:tl2br w:val="nil"/>
              <w:tr2bl w:val="nil"/>
            </w:tcBorders>
            <w:shd w:val="clear" w:color="auto" w:fill="auto"/>
            <w:tcMar>
              <w:top w:w="15" w:type="dxa"/>
              <w:left w:w="15" w:type="dxa"/>
              <w:right w:w="15" w:type="dxa"/>
            </w:tcMar>
            <w:vAlign w:val="center"/>
          </w:tcPr>
          <w:p w14:paraId="29C521C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highlight w:val="none"/>
                <w:lang w:val="en-US" w:eastAsia="zh-CN"/>
              </w:rPr>
            </w:pPr>
            <w:r>
              <w:rPr>
                <w:rFonts w:hint="eastAsia" w:ascii="仿宋_GB2312" w:hAnsi="宋体" w:eastAsia="仿宋_GB2312" w:cs="仿宋_GB2312"/>
                <w:kern w:val="0"/>
                <w:sz w:val="18"/>
                <w:szCs w:val="18"/>
                <w:highlight w:val="none"/>
                <w:lang w:bidi="ar"/>
              </w:rPr>
              <w:t>煤矿未建立健全特种作业人员档案</w:t>
            </w:r>
            <w:r>
              <w:rPr>
                <w:rFonts w:hint="eastAsia" w:ascii="仿宋_GB2312" w:hAnsi="宋体" w:eastAsia="仿宋_GB2312" w:cs="仿宋_GB2312"/>
                <w:kern w:val="0"/>
                <w:sz w:val="18"/>
                <w:szCs w:val="18"/>
                <w:highlight w:val="none"/>
                <w:lang w:val="en-US" w:eastAsia="zh-CN" w:bidi="ar"/>
              </w:rPr>
              <w:t>的</w:t>
            </w:r>
          </w:p>
        </w:tc>
        <w:tc>
          <w:tcPr>
            <w:tcW w:w="3667" w:type="dxa"/>
            <w:vMerge w:val="restart"/>
            <w:tcBorders>
              <w:tl2br w:val="nil"/>
              <w:tr2bl w:val="nil"/>
            </w:tcBorders>
            <w:shd w:val="clear" w:color="auto" w:fill="auto"/>
            <w:tcMar>
              <w:top w:w="15" w:type="dxa"/>
              <w:left w:w="15" w:type="dxa"/>
              <w:right w:w="15" w:type="dxa"/>
            </w:tcMar>
            <w:vAlign w:val="center"/>
          </w:tcPr>
          <w:p w14:paraId="7F8B009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《安全生产法》第二十八条第三款 生产经营单位应当建立安全生产教育和培训档案，如实记录安全生产教育和培训的时间、内容、参加人员以及考核结果等情况。</w:t>
            </w:r>
          </w:p>
          <w:p w14:paraId="22D2EBF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《特种作业人员安全技术培训考核管理规定》第三十四条 生产经营单位应当加强对本单位特种作业人员的管理，建立健全特种作业人员培训、复审档案，做好申报、培训、考核、复审的组织工作和日常的检查工作。</w:t>
            </w:r>
          </w:p>
          <w:p w14:paraId="00DB433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《特种作业人员安全技术培训考核管理规定》第三十六条　生产经营单位应当对本单位特种作业人员严格管理，核查其特种作业操作证的真实性、有效性，建立健全特种作业人员管理档案，做好培训、报考、换证的组织工作。</w:t>
            </w:r>
          </w:p>
        </w:tc>
        <w:tc>
          <w:tcPr>
            <w:tcW w:w="4082" w:type="dxa"/>
            <w:vMerge w:val="restart"/>
            <w:tcBorders>
              <w:tl2br w:val="nil"/>
              <w:tr2bl w:val="nil"/>
            </w:tcBorders>
            <w:shd w:val="clear" w:color="auto" w:fill="auto"/>
            <w:tcMar>
              <w:top w:w="15" w:type="dxa"/>
              <w:left w:w="15" w:type="dxa"/>
              <w:right w:w="15" w:type="dxa"/>
            </w:tcMar>
            <w:vAlign w:val="center"/>
          </w:tcPr>
          <w:p w14:paraId="63DCF5D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《特种作业人员安全技术培训考核管理规定》第三十九条　生产经营单位未建立健全特种作业人员管理档案的，责令限期改正，处2万元以下的罚款；逾期未改正的，处2万元以上5万元以下的罚款。</w:t>
            </w:r>
          </w:p>
        </w:tc>
        <w:tc>
          <w:tcPr>
            <w:tcW w:w="459" w:type="dxa"/>
            <w:tcBorders>
              <w:tl2br w:val="nil"/>
              <w:tr2bl w:val="nil"/>
            </w:tcBorders>
            <w:shd w:val="clear" w:color="auto" w:fill="auto"/>
            <w:noWrap/>
            <w:tcMar>
              <w:top w:w="15" w:type="dxa"/>
              <w:left w:w="15" w:type="dxa"/>
              <w:right w:w="15" w:type="dxa"/>
            </w:tcMar>
            <w:vAlign w:val="center"/>
          </w:tcPr>
          <w:p w14:paraId="3586F92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5321BA8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4F3FA3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10395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06183F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B32EBC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3974F3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0E8D53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E47C0D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09DAD13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0BECD57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3F606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55D905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0EDB66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454A4E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E78170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0664AD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1993843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D3F8E3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A630E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E64610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634577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6122D2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9EAA0F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F52742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0AD77F7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lang w:eastAsia="zh-CN"/>
              </w:rPr>
            </w:pPr>
            <w:r>
              <w:rPr>
                <w:rFonts w:hint="eastAsia" w:ascii="仿宋_GB2312" w:hAnsi="宋体" w:eastAsia="仿宋_GB2312" w:cs="仿宋_GB2312"/>
                <w:sz w:val="18"/>
                <w:szCs w:val="18"/>
              </w:rPr>
              <w:t>未建立健全特种作业人员档案，涉及的人数3人（次）以下</w:t>
            </w:r>
            <w:r>
              <w:rPr>
                <w:rFonts w:hint="eastAsia" w:ascii="仿宋_GB2312" w:hAnsi="宋体" w:eastAsia="仿宋_GB2312" w:cs="仿宋_GB2312"/>
                <w:sz w:val="18"/>
                <w:szCs w:val="18"/>
                <w:lang w:val="en-US" w:eastAsia="zh-CN"/>
              </w:rPr>
              <w:t>的。</w:t>
            </w:r>
          </w:p>
        </w:tc>
        <w:tc>
          <w:tcPr>
            <w:tcW w:w="2655" w:type="dxa"/>
            <w:tcBorders>
              <w:tl2br w:val="nil"/>
              <w:tr2bl w:val="nil"/>
            </w:tcBorders>
            <w:shd w:val="clear" w:color="auto" w:fill="auto"/>
            <w:tcMar>
              <w:top w:w="15" w:type="dxa"/>
              <w:left w:w="15" w:type="dxa"/>
              <w:right w:w="15" w:type="dxa"/>
            </w:tcMar>
            <w:vAlign w:val="center"/>
          </w:tcPr>
          <w:p w14:paraId="1CAFABD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val="en-US" w:eastAsia="zh-CN" w:bidi="ar"/>
              </w:rPr>
              <w:t>处5</w:t>
            </w:r>
            <w:r>
              <w:rPr>
                <w:rFonts w:hint="eastAsia" w:ascii="仿宋_GB2312" w:hAnsi="宋体" w:eastAsia="仿宋_GB2312" w:cs="仿宋_GB2312"/>
                <w:kern w:val="0"/>
                <w:sz w:val="18"/>
                <w:szCs w:val="18"/>
                <w:lang w:bidi="ar"/>
              </w:rPr>
              <w:t>000元以下的罚款。</w:t>
            </w:r>
          </w:p>
        </w:tc>
      </w:tr>
      <w:tr w14:paraId="25679D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5C0D03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2AF91D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88EDC3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42E9F1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A86386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25313AF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未建立健全特种作业人员档案，涉及的人数3人（次）以上5人（次）以下的。</w:t>
            </w:r>
          </w:p>
        </w:tc>
        <w:tc>
          <w:tcPr>
            <w:tcW w:w="2655" w:type="dxa"/>
            <w:tcBorders>
              <w:tl2br w:val="nil"/>
              <w:tr2bl w:val="nil"/>
            </w:tcBorders>
            <w:shd w:val="clear" w:color="auto" w:fill="auto"/>
            <w:tcMar>
              <w:top w:w="15" w:type="dxa"/>
              <w:left w:w="15" w:type="dxa"/>
              <w:right w:w="15" w:type="dxa"/>
            </w:tcMar>
            <w:vAlign w:val="center"/>
          </w:tcPr>
          <w:p w14:paraId="6B0FD46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处5000元以上1.5万元以下</w:t>
            </w:r>
            <w:r>
              <w:rPr>
                <w:rFonts w:hint="eastAsia" w:ascii="仿宋_GB2312" w:hAnsi="宋体" w:eastAsia="仿宋_GB2312" w:cs="仿宋_GB2312"/>
                <w:sz w:val="18"/>
                <w:szCs w:val="18"/>
                <w:lang w:val="en-US" w:eastAsia="zh-CN"/>
              </w:rPr>
              <w:t>的</w:t>
            </w:r>
            <w:r>
              <w:rPr>
                <w:rFonts w:hint="eastAsia" w:ascii="仿宋_GB2312" w:hAnsi="宋体" w:eastAsia="仿宋_GB2312" w:cs="仿宋_GB2312"/>
                <w:sz w:val="18"/>
                <w:szCs w:val="18"/>
              </w:rPr>
              <w:t>罚款</w:t>
            </w:r>
            <w:r>
              <w:rPr>
                <w:rFonts w:hint="eastAsia" w:ascii="仿宋_GB2312" w:hAnsi="宋体" w:eastAsia="仿宋_GB2312" w:cs="仿宋_GB2312"/>
                <w:sz w:val="18"/>
                <w:szCs w:val="18"/>
                <w:lang w:eastAsia="zh-CN"/>
              </w:rPr>
              <w:t>。</w:t>
            </w:r>
          </w:p>
        </w:tc>
      </w:tr>
      <w:tr w14:paraId="4EBB9C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4DAFB0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B8E0AD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A1ABB5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28C684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6094E0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0186C4F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未建立健全特种作业人员档案，涉及人数5人（次）以上的。</w:t>
            </w:r>
          </w:p>
        </w:tc>
        <w:tc>
          <w:tcPr>
            <w:tcW w:w="2655" w:type="dxa"/>
            <w:tcBorders>
              <w:tl2br w:val="nil"/>
              <w:tr2bl w:val="nil"/>
            </w:tcBorders>
            <w:shd w:val="clear" w:color="auto" w:fill="auto"/>
            <w:tcMar>
              <w:top w:w="15" w:type="dxa"/>
              <w:left w:w="15" w:type="dxa"/>
              <w:right w:w="15" w:type="dxa"/>
            </w:tcMar>
            <w:vAlign w:val="center"/>
          </w:tcPr>
          <w:p w14:paraId="2479902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处1.5万元以上</w:t>
            </w:r>
            <w:r>
              <w:rPr>
                <w:rFonts w:hint="eastAsia" w:ascii="仿宋_GB2312" w:hAnsi="宋体" w:eastAsia="仿宋_GB2312" w:cs="仿宋_GB2312"/>
                <w:sz w:val="18"/>
                <w:szCs w:val="18"/>
                <w:lang w:val="en-US" w:eastAsia="zh-CN"/>
              </w:rPr>
              <w:t>2万元以下的</w:t>
            </w:r>
            <w:r>
              <w:rPr>
                <w:rFonts w:hint="eastAsia" w:ascii="仿宋_GB2312" w:hAnsi="宋体" w:eastAsia="仿宋_GB2312" w:cs="仿宋_GB2312"/>
                <w:sz w:val="18"/>
                <w:szCs w:val="18"/>
              </w:rPr>
              <w:t>罚款。</w:t>
            </w:r>
          </w:p>
        </w:tc>
      </w:tr>
      <w:tr w14:paraId="22525E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404CE1F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hint="default" w:ascii="仿宋_GB2312" w:hAnsi="宋体" w:eastAsia="仿宋_GB2312" w:cs="仿宋_GB2312"/>
                <w:sz w:val="18"/>
                <w:szCs w:val="18"/>
                <w:lang w:val="en-US" w:eastAsia="zh-CN"/>
              </w:rPr>
            </w:pPr>
            <w:r>
              <w:rPr>
                <w:rFonts w:hint="eastAsia" w:ascii="仿宋_GB2312" w:hAnsi="宋体" w:eastAsia="仿宋_GB2312" w:cs="仿宋_GB2312"/>
                <w:sz w:val="18"/>
                <w:szCs w:val="18"/>
                <w:lang w:val="en-US" w:eastAsia="zh-CN"/>
              </w:rPr>
              <w:t>1</w:t>
            </w:r>
            <w:del w:id="2854" w:author="LV" w:date="2026-07-14T17:00:12Z">
              <w:r>
                <w:rPr>
                  <w:rFonts w:hint="default" w:ascii="仿宋_GB2312" w:hAnsi="宋体" w:eastAsia="仿宋_GB2312" w:cs="仿宋_GB2312"/>
                  <w:sz w:val="18"/>
                  <w:szCs w:val="18"/>
                  <w:lang w:val="en-US" w:eastAsia="zh-CN"/>
                </w:rPr>
                <w:delText>66</w:delText>
              </w:r>
            </w:del>
            <w:ins w:id="2855" w:author="LV" w:date="2026-07-14T17:00:12Z">
              <w:r>
                <w:rPr>
                  <w:rFonts w:hint="eastAsia" w:ascii="仿宋_GB2312" w:hAnsi="宋体" w:eastAsia="仿宋_GB2312" w:cs="仿宋_GB2312"/>
                  <w:sz w:val="18"/>
                  <w:szCs w:val="18"/>
                  <w:lang w:val="en-US" w:eastAsia="zh-CN"/>
                </w:rPr>
                <w:t>73</w:t>
              </w:r>
            </w:ins>
          </w:p>
        </w:tc>
        <w:tc>
          <w:tcPr>
            <w:tcW w:w="1005" w:type="dxa"/>
            <w:vMerge w:val="restart"/>
            <w:tcBorders>
              <w:tl2br w:val="nil"/>
              <w:tr2bl w:val="nil"/>
            </w:tcBorders>
            <w:shd w:val="clear" w:color="auto" w:fill="auto"/>
            <w:tcMar>
              <w:top w:w="15" w:type="dxa"/>
              <w:left w:w="15" w:type="dxa"/>
              <w:right w:w="15" w:type="dxa"/>
            </w:tcMar>
            <w:vAlign w:val="center"/>
          </w:tcPr>
          <w:p w14:paraId="362E094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hint="eastAsia" w:ascii="仿宋_GB2312" w:hAnsi="宋体" w:eastAsia="仿宋_GB2312" w:cs="仿宋_GB2312"/>
                <w:sz w:val="18"/>
                <w:szCs w:val="18"/>
              </w:rPr>
              <w:t>煤矿未建立健全特种作业人员档案，逾期未改正的。</w:t>
            </w:r>
          </w:p>
        </w:tc>
        <w:tc>
          <w:tcPr>
            <w:tcW w:w="3667" w:type="dxa"/>
            <w:vMerge w:val="restart"/>
            <w:tcBorders>
              <w:tl2br w:val="nil"/>
              <w:tr2bl w:val="nil"/>
            </w:tcBorders>
            <w:shd w:val="clear" w:color="auto" w:fill="auto"/>
            <w:tcMar>
              <w:top w:w="15" w:type="dxa"/>
              <w:left w:w="15" w:type="dxa"/>
              <w:right w:w="15" w:type="dxa"/>
            </w:tcMar>
            <w:vAlign w:val="center"/>
          </w:tcPr>
          <w:p w14:paraId="196A895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hint="eastAsia" w:ascii="仿宋_GB2312" w:hAnsi="宋体" w:eastAsia="仿宋_GB2312" w:cs="仿宋_GB2312"/>
                <w:sz w:val="18"/>
                <w:szCs w:val="18"/>
              </w:rPr>
              <w:t>《安全生产法》第二十八条第三款  生产经营单位应当建立安全生产教育和培训档案，如实记录安全生产教育和培训的时间、内容、参加人员以及考核结果等情况。</w:t>
            </w:r>
          </w:p>
        </w:tc>
        <w:tc>
          <w:tcPr>
            <w:tcW w:w="4082" w:type="dxa"/>
            <w:vMerge w:val="restart"/>
            <w:tcBorders>
              <w:tl2br w:val="nil"/>
              <w:tr2bl w:val="nil"/>
            </w:tcBorders>
            <w:shd w:val="clear" w:color="auto" w:fill="auto"/>
            <w:tcMar>
              <w:top w:w="15" w:type="dxa"/>
              <w:left w:w="15" w:type="dxa"/>
              <w:right w:w="15" w:type="dxa"/>
            </w:tcMar>
            <w:vAlign w:val="center"/>
          </w:tcPr>
          <w:p w14:paraId="4C73853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hint="eastAsia" w:ascii="仿宋_GB2312" w:hAnsi="宋体" w:eastAsia="仿宋_GB2312" w:cs="仿宋_GB2312"/>
                <w:sz w:val="18"/>
                <w:szCs w:val="18"/>
              </w:rPr>
              <w:t>《特种作业人员安全技术培训考核管理规定》第三十九条　生产经营单位未建立健全特种作业人员管理档案的，责令限期改正，处2万元以下的罚款；逾期未改正的，处2万元以上5万元以下的罚款。</w:t>
            </w:r>
          </w:p>
        </w:tc>
        <w:tc>
          <w:tcPr>
            <w:tcW w:w="459" w:type="dxa"/>
            <w:tcBorders>
              <w:tl2br w:val="nil"/>
              <w:tr2bl w:val="nil"/>
            </w:tcBorders>
            <w:shd w:val="clear" w:color="auto" w:fill="auto"/>
            <w:noWrap/>
            <w:tcMar>
              <w:top w:w="15" w:type="dxa"/>
              <w:left w:w="15" w:type="dxa"/>
              <w:right w:w="15" w:type="dxa"/>
            </w:tcMar>
            <w:vAlign w:val="center"/>
          </w:tcPr>
          <w:p w14:paraId="705C6DE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50035F9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F81625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1FBB77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040528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13909E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77CE9F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CB1D27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4CE768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09530D0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555D54CE">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67CF16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CD4B0B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CAAF74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65377E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B83AA8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385F39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1D36ED3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136E211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77815E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818B27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C81557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03EDFE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D7BCF4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4181E3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0FECF89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sz w:val="18"/>
                <w:szCs w:val="18"/>
                <w:rPrChange w:id="2856" w:author="LV" w:date="2026-07-14T17:00:19Z">
                  <w:rPr>
                    <w:rFonts w:hint="eastAsia" w:ascii="仿宋_GB2312" w:hAnsi="宋体" w:eastAsia="仿宋_GB2312" w:cs="仿宋_GB2312"/>
                    <w:color w:val="FF0000"/>
                    <w:sz w:val="18"/>
                    <w:szCs w:val="18"/>
                  </w:rPr>
                </w:rPrChange>
              </w:rPr>
            </w:pPr>
            <w:r>
              <w:rPr>
                <w:rFonts w:hint="eastAsia" w:ascii="仿宋_GB2312" w:hAnsi="宋体" w:eastAsia="仿宋_GB2312" w:cs="仿宋_GB2312"/>
                <w:color w:val="auto"/>
                <w:sz w:val="18"/>
                <w:szCs w:val="18"/>
                <w:rPrChange w:id="2857" w:author="LV" w:date="2026-07-14T17:00:19Z">
                  <w:rPr>
                    <w:rFonts w:hint="eastAsia" w:ascii="仿宋_GB2312" w:hAnsi="宋体" w:eastAsia="仿宋_GB2312" w:cs="仿宋_GB2312"/>
                    <w:color w:val="FF0000"/>
                    <w:sz w:val="18"/>
                    <w:szCs w:val="18"/>
                  </w:rPr>
                </w:rPrChange>
              </w:rPr>
              <w:t>未建立健全特种作业人员档案，逾期未改正涉及1人（次）的</w:t>
            </w:r>
          </w:p>
        </w:tc>
        <w:tc>
          <w:tcPr>
            <w:tcW w:w="2655" w:type="dxa"/>
            <w:tcBorders>
              <w:tl2br w:val="nil"/>
              <w:tr2bl w:val="nil"/>
            </w:tcBorders>
            <w:shd w:val="clear" w:color="auto" w:fill="auto"/>
            <w:tcMar>
              <w:top w:w="15" w:type="dxa"/>
              <w:left w:w="15" w:type="dxa"/>
              <w:right w:w="15" w:type="dxa"/>
            </w:tcMar>
            <w:vAlign w:val="center"/>
          </w:tcPr>
          <w:p w14:paraId="6245B20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处2万元以上3万元以下罚款。</w:t>
            </w:r>
          </w:p>
        </w:tc>
      </w:tr>
      <w:tr w14:paraId="3E4EE4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A6DBA3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D8CAA4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EABA23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0267D9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F70457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49D2459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sz w:val="18"/>
                <w:szCs w:val="18"/>
                <w:rPrChange w:id="2858" w:author="LV" w:date="2026-07-14T17:00:19Z">
                  <w:rPr>
                    <w:rFonts w:hint="eastAsia" w:ascii="仿宋_GB2312" w:hAnsi="宋体" w:eastAsia="仿宋_GB2312" w:cs="仿宋_GB2312"/>
                    <w:color w:val="FF0000"/>
                    <w:sz w:val="18"/>
                    <w:szCs w:val="18"/>
                  </w:rPr>
                </w:rPrChange>
              </w:rPr>
            </w:pPr>
            <w:r>
              <w:rPr>
                <w:rFonts w:hint="eastAsia" w:ascii="仿宋_GB2312" w:hAnsi="宋体" w:eastAsia="仿宋_GB2312" w:cs="仿宋_GB2312"/>
                <w:color w:val="auto"/>
                <w:sz w:val="18"/>
                <w:szCs w:val="18"/>
                <w:rPrChange w:id="2859" w:author="LV" w:date="2026-07-14T17:00:19Z">
                  <w:rPr>
                    <w:rFonts w:hint="eastAsia" w:ascii="仿宋_GB2312" w:hAnsi="宋体" w:eastAsia="仿宋_GB2312" w:cs="仿宋_GB2312"/>
                    <w:color w:val="FF0000"/>
                    <w:sz w:val="18"/>
                    <w:szCs w:val="18"/>
                  </w:rPr>
                </w:rPrChange>
              </w:rPr>
              <w:t>未建立健全特种作业人员档案，逾期未改正涉及1人（次）以上3人（次）以下的</w:t>
            </w:r>
          </w:p>
        </w:tc>
        <w:tc>
          <w:tcPr>
            <w:tcW w:w="2655" w:type="dxa"/>
            <w:tcBorders>
              <w:tl2br w:val="nil"/>
              <w:tr2bl w:val="nil"/>
            </w:tcBorders>
            <w:shd w:val="clear" w:color="auto" w:fill="auto"/>
            <w:tcMar>
              <w:top w:w="15" w:type="dxa"/>
              <w:left w:w="15" w:type="dxa"/>
              <w:right w:w="15" w:type="dxa"/>
            </w:tcMar>
            <w:vAlign w:val="center"/>
          </w:tcPr>
          <w:p w14:paraId="72E465B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处3万元以上4万元以下罚款。</w:t>
            </w:r>
          </w:p>
        </w:tc>
      </w:tr>
      <w:tr w14:paraId="2FDFC6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456D75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38E688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6007FB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32066B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95C08B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5A079A5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sz w:val="18"/>
                <w:szCs w:val="18"/>
                <w:rPrChange w:id="2860" w:author="LV" w:date="2026-07-14T17:00:19Z">
                  <w:rPr>
                    <w:rFonts w:hint="eastAsia" w:ascii="仿宋_GB2312" w:hAnsi="宋体" w:eastAsia="仿宋_GB2312" w:cs="仿宋_GB2312"/>
                    <w:color w:val="FF0000"/>
                    <w:sz w:val="18"/>
                    <w:szCs w:val="18"/>
                  </w:rPr>
                </w:rPrChange>
              </w:rPr>
            </w:pPr>
            <w:r>
              <w:rPr>
                <w:rFonts w:hint="eastAsia" w:ascii="仿宋_GB2312" w:hAnsi="宋体" w:eastAsia="仿宋_GB2312" w:cs="仿宋_GB2312"/>
                <w:color w:val="auto"/>
                <w:sz w:val="18"/>
                <w:szCs w:val="18"/>
                <w:rPrChange w:id="2861" w:author="LV" w:date="2026-07-14T17:00:19Z">
                  <w:rPr>
                    <w:rFonts w:hint="eastAsia" w:ascii="仿宋_GB2312" w:hAnsi="宋体" w:eastAsia="仿宋_GB2312" w:cs="仿宋_GB2312"/>
                    <w:color w:val="FF0000"/>
                    <w:sz w:val="18"/>
                    <w:szCs w:val="18"/>
                  </w:rPr>
                </w:rPrChange>
              </w:rPr>
              <w:t>未建立健全特种作业人员档案，逾期未改正涉及3人（次）以上的</w:t>
            </w:r>
          </w:p>
        </w:tc>
        <w:tc>
          <w:tcPr>
            <w:tcW w:w="2655" w:type="dxa"/>
            <w:tcBorders>
              <w:tl2br w:val="nil"/>
              <w:tr2bl w:val="nil"/>
            </w:tcBorders>
            <w:shd w:val="clear" w:color="auto" w:fill="auto"/>
            <w:tcMar>
              <w:top w:w="15" w:type="dxa"/>
              <w:left w:w="15" w:type="dxa"/>
              <w:right w:w="15" w:type="dxa"/>
            </w:tcMar>
            <w:vAlign w:val="center"/>
          </w:tcPr>
          <w:p w14:paraId="1A6F34C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处4万元以上5万元以下罚款。</w:t>
            </w:r>
          </w:p>
        </w:tc>
      </w:tr>
      <w:tr w14:paraId="712BC1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4E3DEDA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highlight w:val="none"/>
                <w:lang w:val="en-US" w:eastAsia="zh-CN"/>
              </w:rPr>
            </w:pPr>
            <w:r>
              <w:rPr>
                <w:rFonts w:hint="eastAsia" w:ascii="仿宋_GB2312" w:hAnsi="宋体" w:eastAsia="仿宋_GB2312" w:cs="仿宋_GB2312"/>
                <w:kern w:val="0"/>
                <w:sz w:val="18"/>
                <w:szCs w:val="18"/>
                <w:highlight w:val="none"/>
                <w:lang w:bidi="ar"/>
              </w:rPr>
              <w:t>1</w:t>
            </w:r>
            <w:del w:id="2862" w:author="LV" w:date="2026-07-14T17:00:28Z">
              <w:r>
                <w:rPr>
                  <w:rFonts w:hint="default" w:ascii="仿宋_GB2312" w:hAnsi="宋体" w:eastAsia="仿宋_GB2312" w:cs="仿宋_GB2312"/>
                  <w:kern w:val="0"/>
                  <w:sz w:val="18"/>
                  <w:szCs w:val="18"/>
                  <w:highlight w:val="none"/>
                  <w:lang w:val="en-US" w:bidi="ar"/>
                </w:rPr>
                <w:delText>67</w:delText>
              </w:r>
            </w:del>
            <w:ins w:id="2863" w:author="LV" w:date="2026-07-14T17:00:28Z">
              <w:r>
                <w:rPr>
                  <w:rFonts w:hint="eastAsia" w:ascii="仿宋_GB2312" w:hAnsi="宋体" w:eastAsia="仿宋_GB2312" w:cs="仿宋_GB2312"/>
                  <w:kern w:val="0"/>
                  <w:sz w:val="18"/>
                  <w:szCs w:val="18"/>
                  <w:highlight w:val="none"/>
                  <w:lang w:val="en-US" w:eastAsia="zh-CN" w:bidi="ar"/>
                </w:rPr>
                <w:t>74</w:t>
              </w:r>
            </w:ins>
          </w:p>
        </w:tc>
        <w:tc>
          <w:tcPr>
            <w:tcW w:w="1005" w:type="dxa"/>
            <w:vMerge w:val="restart"/>
            <w:tcBorders>
              <w:tl2br w:val="nil"/>
              <w:tr2bl w:val="nil"/>
            </w:tcBorders>
            <w:shd w:val="clear" w:color="auto" w:fill="auto"/>
            <w:tcMar>
              <w:top w:w="15" w:type="dxa"/>
              <w:left w:w="15" w:type="dxa"/>
              <w:right w:w="15" w:type="dxa"/>
            </w:tcMar>
            <w:vAlign w:val="center"/>
          </w:tcPr>
          <w:p w14:paraId="53BE23B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highlight w:val="none"/>
                <w:lang w:val="en-US" w:eastAsia="zh-CN"/>
              </w:rPr>
            </w:pPr>
            <w:r>
              <w:rPr>
                <w:rFonts w:hint="eastAsia" w:ascii="仿宋_GB2312" w:hAnsi="宋体" w:eastAsia="仿宋_GB2312" w:cs="仿宋_GB2312"/>
                <w:sz w:val="18"/>
                <w:szCs w:val="18"/>
                <w:highlight w:val="none"/>
                <w:lang w:val="en-US" w:eastAsia="zh-CN"/>
              </w:rPr>
              <w:t>生产经营单位未严格核查本单位特种作业人员特种作业操作证的真实性、有效性，安排使用伪造、变造的特种作业操作证或者使用他人的特种作业操作证的人员进行特种作业的</w:t>
            </w:r>
          </w:p>
        </w:tc>
        <w:tc>
          <w:tcPr>
            <w:tcW w:w="3667" w:type="dxa"/>
            <w:vMerge w:val="restart"/>
            <w:tcBorders>
              <w:tl2br w:val="nil"/>
              <w:tr2bl w:val="nil"/>
            </w:tcBorders>
            <w:shd w:val="clear" w:color="auto" w:fill="auto"/>
            <w:tcMar>
              <w:top w:w="15" w:type="dxa"/>
              <w:left w:w="15" w:type="dxa"/>
              <w:right w:w="15" w:type="dxa"/>
            </w:tcMar>
            <w:vAlign w:val="center"/>
          </w:tcPr>
          <w:p w14:paraId="1EB1E4C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rPr>
            </w:pPr>
            <w:r>
              <w:rPr>
                <w:rFonts w:hint="eastAsia" w:ascii="仿宋_GB2312" w:hAnsi="宋体" w:eastAsia="仿宋_GB2312" w:cs="仿宋_GB2312"/>
                <w:sz w:val="18"/>
                <w:szCs w:val="18"/>
              </w:rPr>
              <w:t>《特种作业人员安全技术培训考核管理规定》第三十七条  任何单位和个人不得伪造、变造或者买卖特种作业操作证，不得买卖或者使用伪造、变造的特种作业操作证。</w:t>
            </w:r>
          </w:p>
          <w:p w14:paraId="1F65C05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rPr>
            </w:pPr>
            <w:r>
              <w:rPr>
                <w:rFonts w:hint="eastAsia" w:ascii="仿宋_GB2312" w:hAnsi="宋体" w:eastAsia="仿宋_GB2312" w:cs="仿宋_GB2312"/>
                <w:sz w:val="18"/>
                <w:szCs w:val="18"/>
              </w:rPr>
              <w:t>特种作业人员不得出租、出借特种作业操作证，不得非法使用他人的特种作业操作证。</w:t>
            </w:r>
          </w:p>
          <w:p w14:paraId="396BE3D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生产经营单位不得安排使用伪造、变造的特种作业操作证或者使用他人的特种作业操作证的人员进行特种作业。</w:t>
            </w:r>
          </w:p>
        </w:tc>
        <w:tc>
          <w:tcPr>
            <w:tcW w:w="4082" w:type="dxa"/>
            <w:vMerge w:val="restart"/>
            <w:tcBorders>
              <w:tl2br w:val="nil"/>
              <w:tr2bl w:val="nil"/>
            </w:tcBorders>
            <w:shd w:val="clear" w:color="auto" w:fill="auto"/>
            <w:tcMar>
              <w:top w:w="15" w:type="dxa"/>
              <w:left w:w="15" w:type="dxa"/>
              <w:right w:w="15" w:type="dxa"/>
            </w:tcMar>
            <w:vAlign w:val="center"/>
          </w:tcPr>
          <w:p w14:paraId="3D42A14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rPr>
            </w:pPr>
            <w:r>
              <w:rPr>
                <w:rFonts w:hint="eastAsia" w:ascii="仿宋_GB2312" w:hAnsi="宋体" w:eastAsia="仿宋_GB2312" w:cs="仿宋_GB2312"/>
                <w:sz w:val="18"/>
                <w:szCs w:val="18"/>
              </w:rPr>
              <w:t>《特种作业人员安全技术培训考核管理规定》第四十条  生产经营单位使用未取得特种作业操作证的特种作业人员上岗作业的，依照《中华人民共和国安全生产法》的规定，责令限期改正，处10万元以下的罚款；逾期未改正的，责令停产停业整顿，并处10万元以上20万元以下的罚款，对其直接负责的主管人员和其他直接责任人员处2万元以上5万元以下的罚款。</w:t>
            </w:r>
          </w:p>
          <w:p w14:paraId="13C06EF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生产经营单位未严格核查本单位特种作业人员特种作业操作证的真实性、有效性，安排使用伪造、变造的特种作业操作证或者使用他人的特种作业操作证的人员进行特种作业的，依照前款规定处罚。</w:t>
            </w:r>
          </w:p>
        </w:tc>
        <w:tc>
          <w:tcPr>
            <w:tcW w:w="459" w:type="dxa"/>
            <w:tcBorders>
              <w:tl2br w:val="nil"/>
              <w:tr2bl w:val="nil"/>
            </w:tcBorders>
            <w:shd w:val="clear" w:color="auto" w:fill="auto"/>
            <w:noWrap/>
            <w:tcMar>
              <w:top w:w="15" w:type="dxa"/>
              <w:left w:w="15" w:type="dxa"/>
              <w:right w:w="15" w:type="dxa"/>
            </w:tcMar>
            <w:vAlign w:val="center"/>
          </w:tcPr>
          <w:p w14:paraId="5B3B4920">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1FFEBFED">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D33AFE3">
            <w:pPr>
              <w:keepNext w:val="0"/>
              <w:keepLines w:val="0"/>
              <w:pageBreakBefore w:val="0"/>
              <w:widowControl w:val="0"/>
              <w:kinsoku/>
              <w:wordWrap/>
              <w:overflowPunct w:val="0"/>
              <w:topLinePunct w:val="0"/>
              <w:autoSpaceDE/>
              <w:autoSpaceDN/>
              <w:bidi w:val="0"/>
              <w:adjustRightInd/>
              <w:snapToGrid/>
              <w:spacing w:line="24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9D507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911914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570735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DAFB17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529AE2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001D066">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1322866D">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不适用总则规定</w:t>
            </w:r>
          </w:p>
        </w:tc>
        <w:tc>
          <w:tcPr>
            <w:tcW w:w="2655" w:type="dxa"/>
            <w:tcBorders>
              <w:tl2br w:val="nil"/>
              <w:tr2bl w:val="nil"/>
            </w:tcBorders>
            <w:shd w:val="clear" w:color="auto" w:fill="auto"/>
            <w:tcMar>
              <w:top w:w="15" w:type="dxa"/>
              <w:left w:w="15" w:type="dxa"/>
              <w:right w:w="15" w:type="dxa"/>
            </w:tcMar>
            <w:vAlign w:val="center"/>
          </w:tcPr>
          <w:p w14:paraId="2D13B4C2">
            <w:pPr>
              <w:keepNext w:val="0"/>
              <w:keepLines w:val="0"/>
              <w:pageBreakBefore w:val="0"/>
              <w:widowControl w:val="0"/>
              <w:kinsoku/>
              <w:wordWrap/>
              <w:overflowPunct w:val="0"/>
              <w:topLinePunct w:val="0"/>
              <w:autoSpaceDE/>
              <w:autoSpaceDN/>
              <w:bidi w:val="0"/>
              <w:adjustRightInd/>
              <w:snapToGrid/>
              <w:spacing w:line="24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18D03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DBBFF7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AEC5E6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44A511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CDD3BA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D9B2117">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5153F857">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DCF73E4">
            <w:pPr>
              <w:keepNext w:val="0"/>
              <w:keepLines w:val="0"/>
              <w:pageBreakBefore w:val="0"/>
              <w:widowControl w:val="0"/>
              <w:kinsoku/>
              <w:wordWrap/>
              <w:overflowPunct w:val="0"/>
              <w:topLinePunct w:val="0"/>
              <w:autoSpaceDE/>
              <w:autoSpaceDN/>
              <w:bidi w:val="0"/>
              <w:adjustRightInd/>
              <w:snapToGrid/>
              <w:spacing w:line="24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D51C8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F9F1D1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9A41FE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140331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0F440D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EB4905B">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2BD9B948">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安排使用伪造、编造的特种作业操作证或者使用他人的特种作业操作证，涉及人数</w:t>
            </w:r>
            <w:r>
              <w:rPr>
                <w:rFonts w:hint="eastAsia" w:ascii="仿宋_GB2312" w:hAnsi="宋体" w:eastAsia="仿宋_GB2312" w:cs="仿宋_GB2312"/>
                <w:sz w:val="18"/>
                <w:szCs w:val="18"/>
                <w:lang w:val="en-US" w:eastAsia="zh-CN"/>
              </w:rPr>
              <w:t>3</w:t>
            </w:r>
            <w:r>
              <w:rPr>
                <w:rFonts w:hint="eastAsia" w:ascii="仿宋_GB2312" w:hAnsi="宋体" w:eastAsia="仿宋_GB2312" w:cs="仿宋_GB2312"/>
                <w:sz w:val="18"/>
                <w:szCs w:val="18"/>
              </w:rPr>
              <w:t>人（次）</w:t>
            </w:r>
            <w:r>
              <w:rPr>
                <w:rFonts w:hint="eastAsia" w:ascii="仿宋_GB2312" w:hAnsi="宋体" w:eastAsia="仿宋_GB2312" w:cs="仿宋_GB2312"/>
                <w:sz w:val="18"/>
                <w:szCs w:val="18"/>
                <w:lang w:val="en-US" w:eastAsia="zh-CN"/>
              </w:rPr>
              <w:t>以下</w:t>
            </w:r>
            <w:r>
              <w:rPr>
                <w:rFonts w:hint="eastAsia" w:ascii="仿宋_GB2312" w:hAnsi="宋体" w:eastAsia="仿宋_GB2312" w:cs="仿宋_GB2312"/>
                <w:sz w:val="18"/>
                <w:szCs w:val="18"/>
              </w:rPr>
              <w:t>的</w:t>
            </w:r>
          </w:p>
        </w:tc>
        <w:tc>
          <w:tcPr>
            <w:tcW w:w="2655" w:type="dxa"/>
            <w:tcBorders>
              <w:tl2br w:val="nil"/>
              <w:tr2bl w:val="nil"/>
            </w:tcBorders>
            <w:shd w:val="clear" w:color="auto" w:fill="auto"/>
            <w:tcMar>
              <w:top w:w="15" w:type="dxa"/>
              <w:left w:w="15" w:type="dxa"/>
              <w:right w:w="15" w:type="dxa"/>
            </w:tcMar>
            <w:vAlign w:val="center"/>
          </w:tcPr>
          <w:p w14:paraId="376934B0">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处3万元以下罚款。</w:t>
            </w:r>
          </w:p>
        </w:tc>
      </w:tr>
      <w:tr w14:paraId="6C35AF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ADB17D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A5A134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C39EC8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07419C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28105EA">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178AC1BC">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安排使用伪造、编造的特种作业操作证或者使用他人的特种作业操作证，涉及人数3人（次）以上，5人（次）以下的</w:t>
            </w:r>
          </w:p>
        </w:tc>
        <w:tc>
          <w:tcPr>
            <w:tcW w:w="2655" w:type="dxa"/>
            <w:tcBorders>
              <w:tl2br w:val="nil"/>
              <w:tr2bl w:val="nil"/>
            </w:tcBorders>
            <w:shd w:val="clear" w:color="auto" w:fill="auto"/>
            <w:tcMar>
              <w:top w:w="15" w:type="dxa"/>
              <w:left w:w="15" w:type="dxa"/>
              <w:right w:w="15" w:type="dxa"/>
            </w:tcMar>
            <w:vAlign w:val="center"/>
          </w:tcPr>
          <w:p w14:paraId="35465D25">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处3万元以上7万元以下罚款。</w:t>
            </w:r>
          </w:p>
        </w:tc>
      </w:tr>
      <w:tr w14:paraId="6F7B17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DD7B71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716612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9A7CF7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99B446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612C62E">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0925904A">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安排使用伪造、编造的特种作业操作证或者使用他人的特种作业操作证，涉及人数5人（次）以上的</w:t>
            </w:r>
          </w:p>
        </w:tc>
        <w:tc>
          <w:tcPr>
            <w:tcW w:w="2655" w:type="dxa"/>
            <w:tcBorders>
              <w:tl2br w:val="nil"/>
              <w:tr2bl w:val="nil"/>
            </w:tcBorders>
            <w:shd w:val="clear" w:color="auto" w:fill="auto"/>
            <w:tcMar>
              <w:top w:w="15" w:type="dxa"/>
              <w:left w:w="15" w:type="dxa"/>
              <w:right w:w="15" w:type="dxa"/>
            </w:tcMar>
            <w:vAlign w:val="center"/>
          </w:tcPr>
          <w:p w14:paraId="082CAFD0">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处7万元以上10万元以下罚款。</w:t>
            </w:r>
          </w:p>
        </w:tc>
      </w:tr>
      <w:tr w14:paraId="4BFD23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2B02FDF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hint="default" w:ascii="仿宋_GB2312" w:hAnsi="宋体" w:eastAsia="仿宋_GB2312" w:cs="仿宋_GB2312"/>
                <w:sz w:val="18"/>
                <w:szCs w:val="18"/>
                <w:lang w:val="en-US" w:eastAsia="zh-CN"/>
              </w:rPr>
            </w:pPr>
            <w:r>
              <w:rPr>
                <w:rFonts w:hint="eastAsia" w:ascii="仿宋_GB2312" w:hAnsi="宋体" w:eastAsia="仿宋_GB2312" w:cs="仿宋_GB2312"/>
                <w:sz w:val="18"/>
                <w:szCs w:val="18"/>
                <w:lang w:val="en-US" w:eastAsia="zh-CN"/>
              </w:rPr>
              <w:t>1</w:t>
            </w:r>
            <w:del w:id="2864" w:author="LV" w:date="2026-07-14T17:00:32Z">
              <w:r>
                <w:rPr>
                  <w:rFonts w:hint="default" w:ascii="仿宋_GB2312" w:hAnsi="宋体" w:eastAsia="仿宋_GB2312" w:cs="仿宋_GB2312"/>
                  <w:sz w:val="18"/>
                  <w:szCs w:val="18"/>
                  <w:lang w:val="en-US" w:eastAsia="zh-CN"/>
                </w:rPr>
                <w:delText>68</w:delText>
              </w:r>
            </w:del>
            <w:ins w:id="2865" w:author="LV" w:date="2026-07-14T17:00:32Z">
              <w:r>
                <w:rPr>
                  <w:rFonts w:hint="eastAsia" w:ascii="仿宋_GB2312" w:hAnsi="宋体" w:eastAsia="仿宋_GB2312" w:cs="仿宋_GB2312"/>
                  <w:sz w:val="18"/>
                  <w:szCs w:val="18"/>
                  <w:lang w:val="en-US" w:eastAsia="zh-CN"/>
                </w:rPr>
                <w:t>7</w:t>
              </w:r>
            </w:ins>
            <w:ins w:id="2866" w:author="LV" w:date="2026-07-14T17:00:33Z">
              <w:r>
                <w:rPr>
                  <w:rFonts w:hint="eastAsia" w:ascii="仿宋_GB2312" w:hAnsi="宋体" w:eastAsia="仿宋_GB2312" w:cs="仿宋_GB2312"/>
                  <w:sz w:val="18"/>
                  <w:szCs w:val="18"/>
                  <w:lang w:val="en-US" w:eastAsia="zh-CN"/>
                </w:rPr>
                <w:t>5</w:t>
              </w:r>
            </w:ins>
          </w:p>
        </w:tc>
        <w:tc>
          <w:tcPr>
            <w:tcW w:w="1005" w:type="dxa"/>
            <w:vMerge w:val="restart"/>
            <w:tcBorders>
              <w:tl2br w:val="nil"/>
              <w:tr2bl w:val="nil"/>
            </w:tcBorders>
            <w:shd w:val="clear" w:color="auto" w:fill="auto"/>
            <w:tcMar>
              <w:top w:w="15" w:type="dxa"/>
              <w:left w:w="15" w:type="dxa"/>
              <w:right w:w="15" w:type="dxa"/>
            </w:tcMar>
            <w:vAlign w:val="center"/>
          </w:tcPr>
          <w:p w14:paraId="66C7527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hint="eastAsia" w:ascii="仿宋_GB2312" w:hAnsi="宋体" w:eastAsia="仿宋_GB2312" w:cs="仿宋_GB2312"/>
                <w:sz w:val="18"/>
                <w:szCs w:val="18"/>
              </w:rPr>
              <w:t>生产经营单位非法印制、伪造、倒卖特种作业操作证，或者使用非法印制、伪造、倒卖的特种作业操作证的，逾期未改正的</w:t>
            </w:r>
          </w:p>
        </w:tc>
        <w:tc>
          <w:tcPr>
            <w:tcW w:w="3667" w:type="dxa"/>
            <w:vMerge w:val="restart"/>
            <w:tcBorders>
              <w:tl2br w:val="nil"/>
              <w:tr2bl w:val="nil"/>
            </w:tcBorders>
            <w:shd w:val="clear" w:color="auto" w:fill="auto"/>
            <w:tcMar>
              <w:top w:w="15" w:type="dxa"/>
              <w:left w:w="15" w:type="dxa"/>
              <w:right w:w="15" w:type="dxa"/>
            </w:tcMar>
            <w:vAlign w:val="center"/>
          </w:tcPr>
          <w:p w14:paraId="6DF54462">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sz w:val="18"/>
                <w:szCs w:val="18"/>
              </w:rPr>
            </w:pPr>
            <w:r>
              <w:rPr>
                <w:rFonts w:hint="eastAsia" w:ascii="仿宋_GB2312" w:hAnsi="宋体" w:eastAsia="仿宋_GB2312" w:cs="仿宋_GB2312"/>
                <w:sz w:val="18"/>
                <w:szCs w:val="18"/>
              </w:rPr>
              <w:t>《特种作业人员安全技术培训考核管理规定》第三十七条  任何单位和个人不得伪造、变造或者买卖特种作业操作证，不得买卖或者使用伪造、变造的特种作业操作证。</w:t>
            </w:r>
          </w:p>
          <w:p w14:paraId="35CD9F9E">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sz w:val="18"/>
                <w:szCs w:val="18"/>
              </w:rPr>
            </w:pPr>
            <w:r>
              <w:rPr>
                <w:rFonts w:hint="eastAsia" w:ascii="仿宋_GB2312" w:hAnsi="宋体" w:eastAsia="仿宋_GB2312" w:cs="仿宋_GB2312"/>
                <w:sz w:val="18"/>
                <w:szCs w:val="18"/>
              </w:rPr>
              <w:t>特种作业人员不得出租、出借特种作业操作证，不得非法使用他人的特种作业操作证。</w:t>
            </w:r>
          </w:p>
          <w:p w14:paraId="0F790D3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hint="eastAsia" w:ascii="仿宋_GB2312" w:hAnsi="宋体" w:eastAsia="仿宋_GB2312" w:cs="仿宋_GB2312"/>
                <w:sz w:val="18"/>
                <w:szCs w:val="18"/>
              </w:rPr>
              <w:t>生产经营单位不得安排使用伪造、变造的特种作业操作证或者使用他人的特种作业操作证的人员进行特种作业。</w:t>
            </w:r>
          </w:p>
        </w:tc>
        <w:tc>
          <w:tcPr>
            <w:tcW w:w="4082" w:type="dxa"/>
            <w:vMerge w:val="restart"/>
            <w:tcBorders>
              <w:tl2br w:val="nil"/>
              <w:tr2bl w:val="nil"/>
            </w:tcBorders>
            <w:shd w:val="clear" w:color="auto" w:fill="auto"/>
            <w:tcMar>
              <w:top w:w="15" w:type="dxa"/>
              <w:left w:w="15" w:type="dxa"/>
              <w:right w:w="15" w:type="dxa"/>
            </w:tcMar>
            <w:vAlign w:val="center"/>
          </w:tcPr>
          <w:p w14:paraId="7E3FECA3">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sz w:val="18"/>
                <w:szCs w:val="18"/>
              </w:rPr>
            </w:pPr>
            <w:r>
              <w:rPr>
                <w:rFonts w:hint="eastAsia" w:ascii="仿宋_GB2312" w:hAnsi="宋体" w:eastAsia="仿宋_GB2312" w:cs="仿宋_GB2312"/>
                <w:sz w:val="18"/>
                <w:szCs w:val="18"/>
              </w:rPr>
              <w:t>《特种作业人员安全技术培训考核管理规定》第四十条  生产经营单位使用未取得特种作业操作证的特种作业人员上岗作业的，依照《中华人民共和国安全生产法》的规定，责令限期改正，处10万元以下的罚款；逾期未改正的，责令停产停业整顿，并处10万元以上20万元以下的罚款，对其直接负责的主管人员和其他直接责任人员处2万元以上5万元以下的罚款。</w:t>
            </w:r>
          </w:p>
          <w:p w14:paraId="6A94EF2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hint="eastAsia" w:ascii="仿宋_GB2312" w:hAnsi="宋体" w:eastAsia="仿宋_GB2312" w:cs="仿宋_GB2312"/>
                <w:sz w:val="18"/>
                <w:szCs w:val="18"/>
              </w:rPr>
              <w:t>生产经营单位未严格核查本单位特种作业人员特种作业操作证的真实性、有效性，安排使用伪造、变造的特种作业操作证或者使用他人的特种作业操作证的人员进行特种作业的，依照前款规定处罚。</w:t>
            </w:r>
          </w:p>
        </w:tc>
        <w:tc>
          <w:tcPr>
            <w:tcW w:w="459" w:type="dxa"/>
            <w:tcBorders>
              <w:tl2br w:val="nil"/>
              <w:tr2bl w:val="nil"/>
            </w:tcBorders>
            <w:shd w:val="clear" w:color="auto" w:fill="auto"/>
            <w:noWrap/>
            <w:tcMar>
              <w:top w:w="15" w:type="dxa"/>
              <w:left w:w="15" w:type="dxa"/>
              <w:right w:w="15" w:type="dxa"/>
            </w:tcMar>
            <w:vAlign w:val="center"/>
          </w:tcPr>
          <w:p w14:paraId="5547596A">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4078D50A">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A103257">
            <w:pPr>
              <w:keepNext w:val="0"/>
              <w:keepLines w:val="0"/>
              <w:pageBreakBefore w:val="0"/>
              <w:widowControl w:val="0"/>
              <w:kinsoku/>
              <w:wordWrap/>
              <w:overflowPunct w:val="0"/>
              <w:topLinePunct w:val="0"/>
              <w:autoSpaceDE/>
              <w:autoSpaceDN/>
              <w:bidi w:val="0"/>
              <w:adjustRightInd/>
              <w:snapToGrid/>
              <w:spacing w:line="24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77B837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7D63AA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4BE65E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3EA826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D02980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97BBFF5">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44C5802F">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不适用总则规定</w:t>
            </w:r>
          </w:p>
        </w:tc>
        <w:tc>
          <w:tcPr>
            <w:tcW w:w="2655" w:type="dxa"/>
            <w:tcBorders>
              <w:tl2br w:val="nil"/>
              <w:tr2bl w:val="nil"/>
            </w:tcBorders>
            <w:shd w:val="clear" w:color="auto" w:fill="auto"/>
            <w:tcMar>
              <w:top w:w="15" w:type="dxa"/>
              <w:left w:w="15" w:type="dxa"/>
              <w:right w:w="15" w:type="dxa"/>
            </w:tcMar>
            <w:vAlign w:val="center"/>
          </w:tcPr>
          <w:p w14:paraId="2BAF76E5">
            <w:pPr>
              <w:keepNext w:val="0"/>
              <w:keepLines w:val="0"/>
              <w:pageBreakBefore w:val="0"/>
              <w:widowControl w:val="0"/>
              <w:kinsoku/>
              <w:wordWrap/>
              <w:overflowPunct w:val="0"/>
              <w:topLinePunct w:val="0"/>
              <w:autoSpaceDE/>
              <w:autoSpaceDN/>
              <w:bidi w:val="0"/>
              <w:adjustRightInd/>
              <w:snapToGrid/>
              <w:spacing w:line="24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541444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8E64A8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5AD4F3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7945D6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6572A4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7BD7852">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458C65FB">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C9954B7">
            <w:pPr>
              <w:keepNext w:val="0"/>
              <w:keepLines w:val="0"/>
              <w:pageBreakBefore w:val="0"/>
              <w:widowControl w:val="0"/>
              <w:kinsoku/>
              <w:wordWrap/>
              <w:overflowPunct w:val="0"/>
              <w:topLinePunct w:val="0"/>
              <w:autoSpaceDE/>
              <w:autoSpaceDN/>
              <w:bidi w:val="0"/>
              <w:adjustRightInd/>
              <w:snapToGrid/>
              <w:spacing w:line="24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0EAE6F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2192FE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E9ED40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534A07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882020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EDAC6B9">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1613A6E5">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sz w:val="18"/>
                <w:szCs w:val="18"/>
              </w:rPr>
            </w:pPr>
            <w:r>
              <w:rPr>
                <w:rFonts w:hint="eastAsia" w:ascii="仿宋_GB2312" w:hAnsi="宋体" w:eastAsia="仿宋_GB2312" w:cs="仿宋_GB2312"/>
                <w:sz w:val="18"/>
                <w:szCs w:val="18"/>
              </w:rPr>
              <w:t>安排使用伪造、编造的特种作业操作证或者使用他人的特种作业操作证，涉及人数</w:t>
            </w:r>
            <w:r>
              <w:rPr>
                <w:rFonts w:hint="eastAsia" w:ascii="仿宋_GB2312" w:hAnsi="宋体" w:eastAsia="仿宋_GB2312" w:cs="仿宋_GB2312"/>
                <w:sz w:val="18"/>
                <w:szCs w:val="18"/>
                <w:lang w:val="en-US" w:eastAsia="zh-CN"/>
              </w:rPr>
              <w:t>3</w:t>
            </w:r>
            <w:r>
              <w:rPr>
                <w:rFonts w:hint="eastAsia" w:ascii="仿宋_GB2312" w:hAnsi="宋体" w:eastAsia="仿宋_GB2312" w:cs="仿宋_GB2312"/>
                <w:sz w:val="18"/>
                <w:szCs w:val="18"/>
              </w:rPr>
              <w:t>人（次）</w:t>
            </w:r>
            <w:r>
              <w:rPr>
                <w:rFonts w:hint="eastAsia" w:ascii="仿宋_GB2312" w:hAnsi="宋体" w:eastAsia="仿宋_GB2312" w:cs="仿宋_GB2312"/>
                <w:sz w:val="18"/>
                <w:szCs w:val="18"/>
                <w:lang w:val="en-US" w:eastAsia="zh-CN"/>
              </w:rPr>
              <w:t>以下</w:t>
            </w:r>
            <w:r>
              <w:rPr>
                <w:rFonts w:hint="eastAsia" w:ascii="仿宋_GB2312" w:hAnsi="宋体" w:eastAsia="仿宋_GB2312" w:cs="仿宋_GB2312"/>
                <w:sz w:val="18"/>
                <w:szCs w:val="18"/>
              </w:rPr>
              <w:t>逾期未改正的</w:t>
            </w:r>
          </w:p>
        </w:tc>
        <w:tc>
          <w:tcPr>
            <w:tcW w:w="2655" w:type="dxa"/>
            <w:tcBorders>
              <w:tl2br w:val="nil"/>
              <w:tr2bl w:val="nil"/>
            </w:tcBorders>
            <w:shd w:val="clear" w:color="auto" w:fill="auto"/>
            <w:tcMar>
              <w:top w:w="15" w:type="dxa"/>
              <w:left w:w="15" w:type="dxa"/>
              <w:right w:w="15" w:type="dxa"/>
            </w:tcMar>
            <w:vAlign w:val="center"/>
          </w:tcPr>
          <w:p w14:paraId="28F47CF0">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sz w:val="18"/>
                <w:szCs w:val="18"/>
              </w:rPr>
            </w:pPr>
            <w:r>
              <w:rPr>
                <w:rFonts w:hint="eastAsia" w:ascii="仿宋_GB2312" w:hAnsi="宋体" w:eastAsia="仿宋_GB2312" w:cs="仿宋_GB2312"/>
                <w:sz w:val="18"/>
                <w:szCs w:val="18"/>
              </w:rPr>
              <w:t>处10万元以上13万元以下罚款。</w:t>
            </w:r>
          </w:p>
        </w:tc>
      </w:tr>
      <w:tr w14:paraId="0D4FF7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CB954F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7E1A41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D65B43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FB98EC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3ADAC12">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5E264DF0">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sz w:val="18"/>
                <w:szCs w:val="18"/>
              </w:rPr>
            </w:pPr>
            <w:r>
              <w:rPr>
                <w:rFonts w:hint="eastAsia" w:ascii="仿宋_GB2312" w:hAnsi="宋体" w:eastAsia="仿宋_GB2312" w:cs="仿宋_GB2312"/>
                <w:sz w:val="18"/>
                <w:szCs w:val="18"/>
              </w:rPr>
              <w:t>安排使用伪造、编造的特种作业操作证或者使用他人的特种作业操作证，涉及人数</w:t>
            </w:r>
            <w:r>
              <w:rPr>
                <w:rFonts w:hint="eastAsia" w:ascii="仿宋_GB2312" w:hAnsi="宋体" w:eastAsia="仿宋_GB2312" w:cs="仿宋_GB2312"/>
                <w:sz w:val="18"/>
                <w:szCs w:val="18"/>
                <w:lang w:val="en-US" w:eastAsia="zh-CN"/>
              </w:rPr>
              <w:t>3</w:t>
            </w:r>
            <w:r>
              <w:rPr>
                <w:rFonts w:hint="eastAsia" w:ascii="仿宋_GB2312" w:hAnsi="宋体" w:eastAsia="仿宋_GB2312" w:cs="仿宋_GB2312"/>
                <w:sz w:val="18"/>
                <w:szCs w:val="18"/>
              </w:rPr>
              <w:t>人（次）以上，</w:t>
            </w:r>
            <w:r>
              <w:rPr>
                <w:rFonts w:hint="eastAsia" w:ascii="仿宋_GB2312" w:hAnsi="宋体" w:eastAsia="仿宋_GB2312" w:cs="仿宋_GB2312"/>
                <w:sz w:val="18"/>
                <w:szCs w:val="18"/>
                <w:lang w:val="en-US" w:eastAsia="zh-CN"/>
              </w:rPr>
              <w:t>5</w:t>
            </w:r>
            <w:r>
              <w:rPr>
                <w:rFonts w:hint="eastAsia" w:ascii="仿宋_GB2312" w:hAnsi="宋体" w:eastAsia="仿宋_GB2312" w:cs="仿宋_GB2312"/>
                <w:sz w:val="18"/>
                <w:szCs w:val="18"/>
              </w:rPr>
              <w:t>人（次）以下逾期未改正的</w:t>
            </w:r>
          </w:p>
        </w:tc>
        <w:tc>
          <w:tcPr>
            <w:tcW w:w="2655" w:type="dxa"/>
            <w:tcBorders>
              <w:tl2br w:val="nil"/>
              <w:tr2bl w:val="nil"/>
            </w:tcBorders>
            <w:shd w:val="clear" w:color="auto" w:fill="auto"/>
            <w:tcMar>
              <w:top w:w="15" w:type="dxa"/>
              <w:left w:w="15" w:type="dxa"/>
              <w:right w:w="15" w:type="dxa"/>
            </w:tcMar>
            <w:vAlign w:val="center"/>
          </w:tcPr>
          <w:p w14:paraId="0AFEEC07">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sz w:val="18"/>
                <w:szCs w:val="18"/>
              </w:rPr>
            </w:pPr>
            <w:r>
              <w:rPr>
                <w:rFonts w:hint="eastAsia" w:ascii="仿宋_GB2312" w:hAnsi="宋体" w:eastAsia="仿宋_GB2312" w:cs="仿宋_GB2312"/>
                <w:sz w:val="18"/>
                <w:szCs w:val="18"/>
              </w:rPr>
              <w:t>处13万元以上17万元以下罚款。</w:t>
            </w:r>
          </w:p>
        </w:tc>
      </w:tr>
      <w:tr w14:paraId="7B1659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7608E6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646976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74D006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0A2271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C32985F">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54262869">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sz w:val="18"/>
                <w:szCs w:val="18"/>
              </w:rPr>
            </w:pPr>
            <w:r>
              <w:rPr>
                <w:rFonts w:hint="eastAsia" w:ascii="仿宋_GB2312" w:hAnsi="宋体" w:eastAsia="仿宋_GB2312" w:cs="仿宋_GB2312"/>
                <w:sz w:val="18"/>
                <w:szCs w:val="18"/>
              </w:rPr>
              <w:t>安排使用伪造、编造的特种作业操作证或者使用他人的特种作业操作证，涉及人数</w:t>
            </w:r>
            <w:r>
              <w:rPr>
                <w:rFonts w:hint="eastAsia" w:ascii="仿宋_GB2312" w:hAnsi="宋体" w:eastAsia="仿宋_GB2312" w:cs="仿宋_GB2312"/>
                <w:sz w:val="18"/>
                <w:szCs w:val="18"/>
                <w:lang w:val="en-US" w:eastAsia="zh-CN"/>
              </w:rPr>
              <w:t>5</w:t>
            </w:r>
            <w:r>
              <w:rPr>
                <w:rFonts w:hint="eastAsia" w:ascii="仿宋_GB2312" w:hAnsi="宋体" w:eastAsia="仿宋_GB2312" w:cs="仿宋_GB2312"/>
                <w:sz w:val="18"/>
                <w:szCs w:val="18"/>
              </w:rPr>
              <w:t>人（次）以上逾期未改正的</w:t>
            </w:r>
          </w:p>
        </w:tc>
        <w:tc>
          <w:tcPr>
            <w:tcW w:w="2655" w:type="dxa"/>
            <w:tcBorders>
              <w:tl2br w:val="nil"/>
              <w:tr2bl w:val="nil"/>
            </w:tcBorders>
            <w:shd w:val="clear" w:color="auto" w:fill="auto"/>
            <w:tcMar>
              <w:top w:w="15" w:type="dxa"/>
              <w:left w:w="15" w:type="dxa"/>
              <w:right w:w="15" w:type="dxa"/>
            </w:tcMar>
            <w:vAlign w:val="center"/>
          </w:tcPr>
          <w:p w14:paraId="3C1C432B">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sz w:val="18"/>
                <w:szCs w:val="18"/>
              </w:rPr>
            </w:pPr>
            <w:r>
              <w:rPr>
                <w:rFonts w:hint="eastAsia" w:ascii="仿宋_GB2312" w:hAnsi="宋体" w:eastAsia="仿宋_GB2312" w:cs="仿宋_GB2312"/>
                <w:sz w:val="18"/>
                <w:szCs w:val="18"/>
              </w:rPr>
              <w:t>处17万元以上20万元以下罚款。</w:t>
            </w:r>
          </w:p>
        </w:tc>
      </w:tr>
      <w:tr w14:paraId="40BB6A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544AE72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highlight w:val="none"/>
                <w:lang w:val="en-US" w:eastAsia="zh-CN"/>
              </w:rPr>
            </w:pPr>
            <w:r>
              <w:rPr>
                <w:rFonts w:hint="eastAsia" w:ascii="仿宋_GB2312" w:hAnsi="宋体" w:eastAsia="仿宋_GB2312" w:cs="仿宋_GB2312"/>
                <w:kern w:val="0"/>
                <w:sz w:val="18"/>
                <w:szCs w:val="18"/>
                <w:highlight w:val="none"/>
                <w:lang w:bidi="ar"/>
              </w:rPr>
              <w:t>1</w:t>
            </w:r>
            <w:del w:id="2867" w:author="LV" w:date="2026-07-14T17:00:38Z">
              <w:r>
                <w:rPr>
                  <w:rFonts w:hint="default" w:ascii="仿宋_GB2312" w:hAnsi="宋体" w:eastAsia="仿宋_GB2312" w:cs="仿宋_GB2312"/>
                  <w:kern w:val="0"/>
                  <w:sz w:val="18"/>
                  <w:szCs w:val="18"/>
                  <w:highlight w:val="none"/>
                  <w:lang w:val="en-US" w:eastAsia="zh-CN" w:bidi="ar"/>
                </w:rPr>
                <w:delText>69</w:delText>
              </w:r>
            </w:del>
            <w:ins w:id="2868" w:author="LV" w:date="2026-07-14T17:00:38Z">
              <w:r>
                <w:rPr>
                  <w:rFonts w:hint="eastAsia" w:ascii="仿宋_GB2312" w:hAnsi="宋体" w:eastAsia="仿宋_GB2312" w:cs="仿宋_GB2312"/>
                  <w:kern w:val="0"/>
                  <w:sz w:val="18"/>
                  <w:szCs w:val="18"/>
                  <w:highlight w:val="none"/>
                  <w:lang w:val="en-US" w:eastAsia="zh-CN" w:bidi="ar"/>
                </w:rPr>
                <w:t>7</w:t>
              </w:r>
            </w:ins>
            <w:ins w:id="2869" w:author="LV" w:date="2026-07-14T17:00:39Z">
              <w:r>
                <w:rPr>
                  <w:rFonts w:hint="eastAsia" w:ascii="仿宋_GB2312" w:hAnsi="宋体" w:eastAsia="仿宋_GB2312" w:cs="仿宋_GB2312"/>
                  <w:kern w:val="0"/>
                  <w:sz w:val="18"/>
                  <w:szCs w:val="18"/>
                  <w:highlight w:val="none"/>
                  <w:lang w:val="en-US" w:eastAsia="zh-CN" w:bidi="ar"/>
                </w:rPr>
                <w:t>6</w:t>
              </w:r>
            </w:ins>
          </w:p>
        </w:tc>
        <w:tc>
          <w:tcPr>
            <w:tcW w:w="1005" w:type="dxa"/>
            <w:vMerge w:val="restart"/>
            <w:tcBorders>
              <w:tl2br w:val="nil"/>
              <w:tr2bl w:val="nil"/>
            </w:tcBorders>
            <w:shd w:val="clear" w:color="auto" w:fill="auto"/>
            <w:tcMar>
              <w:top w:w="15" w:type="dxa"/>
              <w:left w:w="15" w:type="dxa"/>
              <w:right w:w="15" w:type="dxa"/>
            </w:tcMar>
            <w:vAlign w:val="center"/>
          </w:tcPr>
          <w:p w14:paraId="38F1EA3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highlight w:val="none"/>
                <w:lang w:val="en-US" w:eastAsia="zh-CN"/>
              </w:rPr>
            </w:pPr>
            <w:r>
              <w:rPr>
                <w:rFonts w:hint="eastAsia" w:ascii="仿宋_GB2312" w:hAnsi="宋体" w:eastAsia="仿宋_GB2312" w:cs="仿宋_GB2312"/>
                <w:kern w:val="0"/>
                <w:sz w:val="18"/>
                <w:szCs w:val="18"/>
                <w:highlight w:val="none"/>
                <w:lang w:bidi="ar"/>
              </w:rPr>
              <w:t>煤矿从业人员进行安全培训期间生产经营单位未支付工资并承担安全培训费用</w:t>
            </w:r>
            <w:r>
              <w:rPr>
                <w:rFonts w:hint="eastAsia" w:ascii="仿宋_GB2312" w:hAnsi="宋体" w:eastAsia="仿宋_GB2312" w:cs="仿宋_GB2312"/>
                <w:kern w:val="0"/>
                <w:sz w:val="18"/>
                <w:szCs w:val="18"/>
                <w:highlight w:val="none"/>
                <w:lang w:val="en-US" w:eastAsia="zh-CN" w:bidi="ar"/>
              </w:rPr>
              <w:t>的</w:t>
            </w:r>
          </w:p>
        </w:tc>
        <w:tc>
          <w:tcPr>
            <w:tcW w:w="3667" w:type="dxa"/>
            <w:vMerge w:val="restart"/>
            <w:tcBorders>
              <w:tl2br w:val="nil"/>
              <w:tr2bl w:val="nil"/>
            </w:tcBorders>
            <w:shd w:val="clear" w:color="auto" w:fill="auto"/>
            <w:tcMar>
              <w:top w:w="15" w:type="dxa"/>
              <w:left w:w="15" w:type="dxa"/>
              <w:right w:w="15" w:type="dxa"/>
            </w:tcMar>
            <w:vAlign w:val="center"/>
          </w:tcPr>
          <w:p w14:paraId="109652C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《生产经营单位安全培训规定》第二十三条  生产经营单位安排从业人员进行安全培训期间，应当支付工资和必要的费用</w:t>
            </w:r>
            <w:r>
              <w:rPr>
                <w:rFonts w:ascii="仿宋_GB2312" w:hAnsi="宋体" w:eastAsia="仿宋_GB2312" w:cs="仿宋_GB2312"/>
                <w:kern w:val="0"/>
                <w:sz w:val="18"/>
                <w:szCs w:val="18"/>
                <w:lang w:bidi="ar"/>
              </w:rPr>
              <w:t>。</w:t>
            </w:r>
          </w:p>
        </w:tc>
        <w:tc>
          <w:tcPr>
            <w:tcW w:w="4082" w:type="dxa"/>
            <w:vMerge w:val="restart"/>
            <w:tcBorders>
              <w:tl2br w:val="nil"/>
              <w:tr2bl w:val="nil"/>
            </w:tcBorders>
            <w:shd w:val="clear" w:color="auto" w:fill="auto"/>
            <w:tcMar>
              <w:top w:w="15" w:type="dxa"/>
              <w:left w:w="15" w:type="dxa"/>
              <w:right w:w="15" w:type="dxa"/>
            </w:tcMar>
            <w:vAlign w:val="center"/>
          </w:tcPr>
          <w:p w14:paraId="0514B7F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《生产经营单位安全培训规定》第二十九条 生产经营单位有下列行为之一的，由安全生产监管监察部门责令其限期改正，可以处1万元以上3万元以下的罚款：（二）从业人员进行安全培训期间未支付工资并承担安全培训费用的。</w:t>
            </w:r>
          </w:p>
        </w:tc>
        <w:tc>
          <w:tcPr>
            <w:tcW w:w="459" w:type="dxa"/>
            <w:tcBorders>
              <w:tl2br w:val="nil"/>
              <w:tr2bl w:val="nil"/>
            </w:tcBorders>
            <w:shd w:val="clear" w:color="auto" w:fill="auto"/>
            <w:noWrap/>
            <w:tcMar>
              <w:top w:w="15" w:type="dxa"/>
              <w:left w:w="15" w:type="dxa"/>
              <w:right w:w="15" w:type="dxa"/>
            </w:tcMar>
            <w:vAlign w:val="center"/>
          </w:tcPr>
          <w:p w14:paraId="02F09893">
            <w:pPr>
              <w:keepNext w:val="0"/>
              <w:keepLines w:val="0"/>
              <w:pageBreakBefore w:val="0"/>
              <w:widowControl w:val="0"/>
              <w:kinsoku/>
              <w:wordWrap/>
              <w:overflowPunct w:val="0"/>
              <w:topLinePunct w:val="0"/>
              <w:autoSpaceDE/>
              <w:autoSpaceDN/>
              <w:bidi w:val="0"/>
              <w:adjustRightInd/>
              <w:snapToGrid/>
              <w:spacing w:line="23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08FA63EB">
            <w:pPr>
              <w:keepNext w:val="0"/>
              <w:keepLines w:val="0"/>
              <w:pageBreakBefore w:val="0"/>
              <w:widowControl w:val="0"/>
              <w:kinsoku/>
              <w:wordWrap/>
              <w:overflowPunct w:val="0"/>
              <w:topLinePunct w:val="0"/>
              <w:autoSpaceDE/>
              <w:autoSpaceDN/>
              <w:bidi w:val="0"/>
              <w:adjustRightInd/>
              <w:snapToGrid/>
              <w:spacing w:line="23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75E6E0D">
            <w:pPr>
              <w:keepNext w:val="0"/>
              <w:keepLines w:val="0"/>
              <w:pageBreakBefore w:val="0"/>
              <w:widowControl w:val="0"/>
              <w:kinsoku/>
              <w:wordWrap/>
              <w:overflowPunct w:val="0"/>
              <w:topLinePunct w:val="0"/>
              <w:autoSpaceDE/>
              <w:autoSpaceDN/>
              <w:bidi w:val="0"/>
              <w:adjustRightInd/>
              <w:snapToGrid/>
              <w:spacing w:line="23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8B567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9C3D7E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BCDA96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4E6A8E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6243F7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D9264F1">
            <w:pPr>
              <w:keepNext w:val="0"/>
              <w:keepLines w:val="0"/>
              <w:pageBreakBefore w:val="0"/>
              <w:widowControl w:val="0"/>
              <w:kinsoku/>
              <w:wordWrap/>
              <w:overflowPunct w:val="0"/>
              <w:topLinePunct w:val="0"/>
              <w:autoSpaceDE/>
              <w:autoSpaceDN/>
              <w:bidi w:val="0"/>
              <w:adjustRightInd/>
              <w:snapToGrid/>
              <w:spacing w:line="23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3D2D9C30">
            <w:pPr>
              <w:keepNext w:val="0"/>
              <w:keepLines w:val="0"/>
              <w:pageBreakBefore w:val="0"/>
              <w:widowControl w:val="0"/>
              <w:kinsoku/>
              <w:wordWrap/>
              <w:overflowPunct w:val="0"/>
              <w:topLinePunct w:val="0"/>
              <w:autoSpaceDE/>
              <w:autoSpaceDN/>
              <w:bidi w:val="0"/>
              <w:adjustRightInd/>
              <w:snapToGrid/>
              <w:spacing w:line="23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56AD8B75">
            <w:pPr>
              <w:keepNext w:val="0"/>
              <w:keepLines w:val="0"/>
              <w:pageBreakBefore w:val="0"/>
              <w:widowControl w:val="0"/>
              <w:kinsoku/>
              <w:wordWrap/>
              <w:overflowPunct w:val="0"/>
              <w:topLinePunct w:val="0"/>
              <w:autoSpaceDE/>
              <w:autoSpaceDN/>
              <w:bidi w:val="0"/>
              <w:adjustRightInd/>
              <w:snapToGrid/>
              <w:spacing w:line="23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64657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45A1FB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77A8F7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F9A257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C708EB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1B10867">
            <w:pPr>
              <w:keepNext w:val="0"/>
              <w:keepLines w:val="0"/>
              <w:pageBreakBefore w:val="0"/>
              <w:widowControl w:val="0"/>
              <w:kinsoku/>
              <w:wordWrap/>
              <w:overflowPunct w:val="0"/>
              <w:topLinePunct w:val="0"/>
              <w:autoSpaceDE/>
              <w:autoSpaceDN/>
              <w:bidi w:val="0"/>
              <w:adjustRightInd/>
              <w:snapToGrid/>
              <w:spacing w:line="23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66389F5E">
            <w:pPr>
              <w:keepNext w:val="0"/>
              <w:keepLines w:val="0"/>
              <w:pageBreakBefore w:val="0"/>
              <w:widowControl w:val="0"/>
              <w:kinsoku/>
              <w:wordWrap/>
              <w:overflowPunct w:val="0"/>
              <w:topLinePunct w:val="0"/>
              <w:autoSpaceDE/>
              <w:autoSpaceDN/>
              <w:bidi w:val="0"/>
              <w:adjustRightInd/>
              <w:snapToGrid/>
              <w:spacing w:line="23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F6CDB21">
            <w:pPr>
              <w:keepNext w:val="0"/>
              <w:keepLines w:val="0"/>
              <w:pageBreakBefore w:val="0"/>
              <w:widowControl w:val="0"/>
              <w:kinsoku/>
              <w:wordWrap/>
              <w:overflowPunct w:val="0"/>
              <w:topLinePunct w:val="0"/>
              <w:autoSpaceDE/>
              <w:autoSpaceDN/>
              <w:bidi w:val="0"/>
              <w:adjustRightInd/>
              <w:snapToGrid/>
              <w:spacing w:line="23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6A578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F99DDA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27E7C1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52FDA2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742D4A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0965190">
            <w:pPr>
              <w:keepNext w:val="0"/>
              <w:keepLines w:val="0"/>
              <w:pageBreakBefore w:val="0"/>
              <w:widowControl w:val="0"/>
              <w:kinsoku/>
              <w:wordWrap/>
              <w:overflowPunct w:val="0"/>
              <w:topLinePunct w:val="0"/>
              <w:autoSpaceDE/>
              <w:autoSpaceDN/>
              <w:bidi w:val="0"/>
              <w:adjustRightInd/>
              <w:snapToGrid/>
              <w:spacing w:line="23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07EA618A">
            <w:pPr>
              <w:keepNext w:val="0"/>
              <w:keepLines w:val="0"/>
              <w:pageBreakBefore w:val="0"/>
              <w:widowControl w:val="0"/>
              <w:kinsoku/>
              <w:wordWrap/>
              <w:overflowPunct w:val="0"/>
              <w:topLinePunct w:val="0"/>
              <w:autoSpaceDE/>
              <w:autoSpaceDN/>
              <w:bidi w:val="0"/>
              <w:adjustRightInd/>
              <w:snapToGrid/>
              <w:spacing w:line="23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从业人员进行安全培训期间未支付工资并承担安全培训费用，涉及3人（次）以下的。</w:t>
            </w:r>
          </w:p>
        </w:tc>
        <w:tc>
          <w:tcPr>
            <w:tcW w:w="2655" w:type="dxa"/>
            <w:tcBorders>
              <w:tl2br w:val="nil"/>
              <w:tr2bl w:val="nil"/>
            </w:tcBorders>
            <w:shd w:val="clear" w:color="auto" w:fill="auto"/>
            <w:tcMar>
              <w:top w:w="15" w:type="dxa"/>
              <w:left w:w="15" w:type="dxa"/>
              <w:right w:w="15" w:type="dxa"/>
            </w:tcMar>
            <w:vAlign w:val="center"/>
          </w:tcPr>
          <w:p w14:paraId="5C58FC6B">
            <w:pPr>
              <w:keepNext w:val="0"/>
              <w:keepLines w:val="0"/>
              <w:pageBreakBefore w:val="0"/>
              <w:widowControl w:val="0"/>
              <w:kinsoku/>
              <w:wordWrap/>
              <w:overflowPunct w:val="0"/>
              <w:topLinePunct w:val="0"/>
              <w:autoSpaceDE/>
              <w:autoSpaceDN/>
              <w:bidi w:val="0"/>
              <w:adjustRightInd/>
              <w:snapToGrid/>
              <w:spacing w:line="23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可以处1万元以上1.5万元以下的罚款。</w:t>
            </w:r>
          </w:p>
        </w:tc>
      </w:tr>
      <w:tr w14:paraId="26A1E9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F66196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AFA13A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EB4ACF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E5B5C3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96C332C">
            <w:pPr>
              <w:keepNext w:val="0"/>
              <w:keepLines w:val="0"/>
              <w:pageBreakBefore w:val="0"/>
              <w:widowControl w:val="0"/>
              <w:kinsoku/>
              <w:wordWrap/>
              <w:overflowPunct w:val="0"/>
              <w:topLinePunct w:val="0"/>
              <w:autoSpaceDE/>
              <w:autoSpaceDN/>
              <w:bidi w:val="0"/>
              <w:adjustRightInd/>
              <w:snapToGrid/>
              <w:spacing w:line="23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702FE423">
            <w:pPr>
              <w:keepNext w:val="0"/>
              <w:keepLines w:val="0"/>
              <w:pageBreakBefore w:val="0"/>
              <w:widowControl w:val="0"/>
              <w:kinsoku/>
              <w:wordWrap/>
              <w:overflowPunct w:val="0"/>
              <w:topLinePunct w:val="0"/>
              <w:autoSpaceDE/>
              <w:autoSpaceDN/>
              <w:bidi w:val="0"/>
              <w:adjustRightInd/>
              <w:snapToGrid/>
              <w:spacing w:line="23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从业人员进行安全培训期间未支付工资并承担安全培训费用，涉及3人（次）以上5人（次）以下的。</w:t>
            </w:r>
          </w:p>
        </w:tc>
        <w:tc>
          <w:tcPr>
            <w:tcW w:w="2655" w:type="dxa"/>
            <w:tcBorders>
              <w:tl2br w:val="nil"/>
              <w:tr2bl w:val="nil"/>
            </w:tcBorders>
            <w:shd w:val="clear" w:color="auto" w:fill="auto"/>
            <w:tcMar>
              <w:top w:w="15" w:type="dxa"/>
              <w:left w:w="15" w:type="dxa"/>
              <w:right w:w="15" w:type="dxa"/>
            </w:tcMar>
            <w:vAlign w:val="center"/>
          </w:tcPr>
          <w:p w14:paraId="41C7F870">
            <w:pPr>
              <w:keepNext w:val="0"/>
              <w:keepLines w:val="0"/>
              <w:pageBreakBefore w:val="0"/>
              <w:widowControl w:val="0"/>
              <w:kinsoku/>
              <w:wordWrap/>
              <w:overflowPunct w:val="0"/>
              <w:topLinePunct w:val="0"/>
              <w:autoSpaceDE/>
              <w:autoSpaceDN/>
              <w:bidi w:val="0"/>
              <w:adjustRightInd/>
              <w:snapToGrid/>
              <w:spacing w:line="23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可以处1.5万元以上2.5万元以下的罚款。</w:t>
            </w:r>
          </w:p>
        </w:tc>
      </w:tr>
      <w:tr w14:paraId="26BF7D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57D57E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6DE070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B17F23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2E7B4A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DAF9543">
            <w:pPr>
              <w:keepNext w:val="0"/>
              <w:keepLines w:val="0"/>
              <w:pageBreakBefore w:val="0"/>
              <w:widowControl w:val="0"/>
              <w:kinsoku/>
              <w:wordWrap/>
              <w:overflowPunct w:val="0"/>
              <w:topLinePunct w:val="0"/>
              <w:autoSpaceDE/>
              <w:autoSpaceDN/>
              <w:bidi w:val="0"/>
              <w:adjustRightInd/>
              <w:snapToGrid/>
              <w:spacing w:line="23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690330C6">
            <w:pPr>
              <w:keepNext w:val="0"/>
              <w:keepLines w:val="0"/>
              <w:pageBreakBefore w:val="0"/>
              <w:widowControl w:val="0"/>
              <w:kinsoku/>
              <w:wordWrap/>
              <w:overflowPunct w:val="0"/>
              <w:topLinePunct w:val="0"/>
              <w:autoSpaceDE/>
              <w:autoSpaceDN/>
              <w:bidi w:val="0"/>
              <w:adjustRightInd/>
              <w:snapToGrid/>
              <w:spacing w:line="23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从业人员进行安全培训期间未支付工资并承担安全培训费用，涉及5人（次）上的。</w:t>
            </w:r>
          </w:p>
        </w:tc>
        <w:tc>
          <w:tcPr>
            <w:tcW w:w="2655" w:type="dxa"/>
            <w:tcBorders>
              <w:tl2br w:val="nil"/>
              <w:tr2bl w:val="nil"/>
            </w:tcBorders>
            <w:shd w:val="clear" w:color="auto" w:fill="auto"/>
            <w:tcMar>
              <w:top w:w="15" w:type="dxa"/>
              <w:left w:w="15" w:type="dxa"/>
              <w:right w:w="15" w:type="dxa"/>
            </w:tcMar>
            <w:vAlign w:val="center"/>
          </w:tcPr>
          <w:p w14:paraId="7B8D1EF2">
            <w:pPr>
              <w:keepNext w:val="0"/>
              <w:keepLines w:val="0"/>
              <w:pageBreakBefore w:val="0"/>
              <w:widowControl w:val="0"/>
              <w:kinsoku/>
              <w:wordWrap/>
              <w:overflowPunct w:val="0"/>
              <w:topLinePunct w:val="0"/>
              <w:autoSpaceDE/>
              <w:autoSpaceDN/>
              <w:bidi w:val="0"/>
              <w:adjustRightInd/>
              <w:snapToGrid/>
              <w:spacing w:line="23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可以处2.5万元以上3万元以下的罚款。</w:t>
            </w:r>
          </w:p>
        </w:tc>
      </w:tr>
      <w:tr w14:paraId="23B73E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5896CC8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z w:val="18"/>
                <w:szCs w:val="18"/>
                <w:highlight w:val="none"/>
                <w:lang w:eastAsia="zh-CN"/>
              </w:rPr>
            </w:pPr>
            <w:r>
              <w:rPr>
                <w:rFonts w:hint="eastAsia" w:ascii="仿宋_GB2312" w:hAnsi="宋体" w:eastAsia="仿宋_GB2312" w:cs="仿宋_GB2312"/>
                <w:kern w:val="0"/>
                <w:sz w:val="18"/>
                <w:szCs w:val="18"/>
                <w:highlight w:val="none"/>
                <w:lang w:bidi="ar"/>
              </w:rPr>
              <w:t>17</w:t>
            </w:r>
            <w:del w:id="2870" w:author="LV" w:date="2026-07-14T17:00:44Z">
              <w:r>
                <w:rPr>
                  <w:rFonts w:hint="default" w:ascii="仿宋_GB2312" w:hAnsi="宋体" w:eastAsia="仿宋_GB2312" w:cs="仿宋_GB2312"/>
                  <w:kern w:val="0"/>
                  <w:sz w:val="18"/>
                  <w:szCs w:val="18"/>
                  <w:highlight w:val="none"/>
                  <w:lang w:val="en-US" w:eastAsia="zh-CN" w:bidi="ar"/>
                </w:rPr>
                <w:delText>0</w:delText>
              </w:r>
            </w:del>
            <w:ins w:id="2871" w:author="LV" w:date="2026-07-14T17:00:44Z">
              <w:r>
                <w:rPr>
                  <w:rFonts w:hint="eastAsia" w:ascii="仿宋_GB2312" w:hAnsi="宋体" w:eastAsia="仿宋_GB2312" w:cs="仿宋_GB2312"/>
                  <w:kern w:val="0"/>
                  <w:sz w:val="18"/>
                  <w:szCs w:val="18"/>
                  <w:highlight w:val="none"/>
                  <w:lang w:val="en-US" w:eastAsia="zh-CN" w:bidi="ar"/>
                </w:rPr>
                <w:t>7</w:t>
              </w:r>
            </w:ins>
          </w:p>
        </w:tc>
        <w:tc>
          <w:tcPr>
            <w:tcW w:w="1005" w:type="dxa"/>
            <w:vMerge w:val="restart"/>
            <w:tcBorders>
              <w:tl2br w:val="nil"/>
              <w:tr2bl w:val="nil"/>
            </w:tcBorders>
            <w:shd w:val="clear" w:color="auto" w:fill="auto"/>
            <w:tcMar>
              <w:top w:w="15" w:type="dxa"/>
              <w:left w:w="15" w:type="dxa"/>
              <w:right w:w="15" w:type="dxa"/>
            </w:tcMar>
            <w:vAlign w:val="center"/>
          </w:tcPr>
          <w:p w14:paraId="112745F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highlight w:val="none"/>
                <w:lang w:val="en-US" w:eastAsia="zh-CN"/>
              </w:rPr>
            </w:pPr>
            <w:r>
              <w:rPr>
                <w:rFonts w:hint="eastAsia" w:ascii="仿宋_GB2312" w:hAnsi="宋体" w:eastAsia="仿宋_GB2312" w:cs="仿宋_GB2312"/>
                <w:kern w:val="0"/>
                <w:sz w:val="18"/>
                <w:szCs w:val="18"/>
                <w:highlight w:val="none"/>
                <w:lang w:bidi="ar"/>
              </w:rPr>
              <w:t>煤矿未将安全培训工作纳入本单位工作计划并保证安全培训工作所需资金</w:t>
            </w:r>
            <w:r>
              <w:rPr>
                <w:rFonts w:hint="eastAsia" w:ascii="仿宋_GB2312" w:hAnsi="宋体" w:eastAsia="仿宋_GB2312" w:cs="仿宋_GB2312"/>
                <w:kern w:val="0"/>
                <w:sz w:val="18"/>
                <w:szCs w:val="18"/>
                <w:highlight w:val="none"/>
                <w:lang w:val="en-US" w:eastAsia="zh-CN" w:bidi="ar"/>
              </w:rPr>
              <w:t>的</w:t>
            </w:r>
          </w:p>
        </w:tc>
        <w:tc>
          <w:tcPr>
            <w:tcW w:w="3667" w:type="dxa"/>
            <w:vMerge w:val="restart"/>
            <w:tcBorders>
              <w:tl2br w:val="nil"/>
              <w:tr2bl w:val="nil"/>
            </w:tcBorders>
            <w:shd w:val="clear" w:color="auto" w:fill="auto"/>
            <w:tcMar>
              <w:top w:w="15" w:type="dxa"/>
              <w:left w:w="15" w:type="dxa"/>
              <w:right w:w="15" w:type="dxa"/>
            </w:tcMar>
            <w:vAlign w:val="center"/>
          </w:tcPr>
          <w:p w14:paraId="69DDFF7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《生产经营单位安全培训规定》第二十一条    生产经营单位应当将安全培训工作纳入本单位年度工作计划。保证本单位安全培训工作所需资金。生产经营单位的主要负责人负责组织制定并实施本单位安全培训计划。</w:t>
            </w:r>
          </w:p>
        </w:tc>
        <w:tc>
          <w:tcPr>
            <w:tcW w:w="4082" w:type="dxa"/>
            <w:vMerge w:val="restart"/>
            <w:tcBorders>
              <w:tl2br w:val="nil"/>
              <w:tr2bl w:val="nil"/>
            </w:tcBorders>
            <w:shd w:val="clear" w:color="auto" w:fill="auto"/>
            <w:tcMar>
              <w:top w:w="15" w:type="dxa"/>
              <w:left w:w="15" w:type="dxa"/>
              <w:right w:w="15" w:type="dxa"/>
            </w:tcMar>
            <w:vAlign w:val="center"/>
          </w:tcPr>
          <w:p w14:paraId="109A299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《生产经营单位安全培训规定》第二十九条 生产经营单位有下列行为之一的，由安全生产监管监察部门责令其限期改正，可以处1万元以上3万元以下的罚款：（一）未将安全培训工作纳入本单位工作计划并保证安全培训工作所需资金的。</w:t>
            </w:r>
          </w:p>
        </w:tc>
        <w:tc>
          <w:tcPr>
            <w:tcW w:w="459" w:type="dxa"/>
            <w:tcBorders>
              <w:tl2br w:val="nil"/>
              <w:tr2bl w:val="nil"/>
            </w:tcBorders>
            <w:shd w:val="clear" w:color="auto" w:fill="auto"/>
            <w:noWrap/>
            <w:tcMar>
              <w:top w:w="15" w:type="dxa"/>
              <w:left w:w="15" w:type="dxa"/>
              <w:right w:w="15" w:type="dxa"/>
            </w:tcMar>
            <w:vAlign w:val="center"/>
          </w:tcPr>
          <w:p w14:paraId="26235F0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58464F1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63C96A0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4771B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621D0D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6BCC21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B177B2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D02D45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00D55C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25F89FF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72708EE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366B7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4406BA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BCC50A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17E419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99BD63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AE8787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3BEC42C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66EE549F">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97352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1732D5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DB9AA7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6067D3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D28A38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5D0838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1725E81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未将安全培训工作纳入本单位工作计划，或未保证安全培训工作所需资金，情节轻微的。</w:t>
            </w:r>
          </w:p>
        </w:tc>
        <w:tc>
          <w:tcPr>
            <w:tcW w:w="2655" w:type="dxa"/>
            <w:tcBorders>
              <w:tl2br w:val="nil"/>
              <w:tr2bl w:val="nil"/>
            </w:tcBorders>
            <w:shd w:val="clear" w:color="auto" w:fill="auto"/>
            <w:tcMar>
              <w:top w:w="15" w:type="dxa"/>
              <w:left w:w="15" w:type="dxa"/>
              <w:right w:w="15" w:type="dxa"/>
            </w:tcMar>
            <w:vAlign w:val="center"/>
          </w:tcPr>
          <w:p w14:paraId="238F493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可以处1万元以上1.5万元以下的罚款。</w:t>
            </w:r>
          </w:p>
        </w:tc>
      </w:tr>
      <w:tr w14:paraId="7B5607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423D1B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70BB27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488771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0F50BD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F61D17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7BEA73C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未将安全培训工作纳入本单位工作计划，或未保证安全培训工作所需资金的。</w:t>
            </w:r>
          </w:p>
        </w:tc>
        <w:tc>
          <w:tcPr>
            <w:tcW w:w="2655" w:type="dxa"/>
            <w:tcBorders>
              <w:tl2br w:val="nil"/>
              <w:tr2bl w:val="nil"/>
            </w:tcBorders>
            <w:shd w:val="clear" w:color="auto" w:fill="auto"/>
            <w:tcMar>
              <w:top w:w="15" w:type="dxa"/>
              <w:left w:w="15" w:type="dxa"/>
              <w:right w:w="15" w:type="dxa"/>
            </w:tcMar>
            <w:vAlign w:val="center"/>
          </w:tcPr>
          <w:p w14:paraId="17EF1F6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可以处1.5万元以上2.5万元以下的罚款。</w:t>
            </w:r>
          </w:p>
        </w:tc>
      </w:tr>
      <w:tr w14:paraId="67C40D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067ADF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FE8AA8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1C3118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8DFE62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BAF099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3CC2EEC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既未将安全培训工作纳入本单位工作计划的，也未保证安全培训工作所需资金的。</w:t>
            </w:r>
          </w:p>
        </w:tc>
        <w:tc>
          <w:tcPr>
            <w:tcW w:w="2655" w:type="dxa"/>
            <w:tcBorders>
              <w:tl2br w:val="nil"/>
              <w:tr2bl w:val="nil"/>
            </w:tcBorders>
            <w:shd w:val="clear" w:color="auto" w:fill="auto"/>
            <w:tcMar>
              <w:top w:w="15" w:type="dxa"/>
              <w:left w:w="15" w:type="dxa"/>
              <w:right w:w="15" w:type="dxa"/>
            </w:tcMar>
            <w:vAlign w:val="center"/>
          </w:tcPr>
          <w:p w14:paraId="6AC90E7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可以处2.5万元以上3万元以下的罚款。</w:t>
            </w:r>
          </w:p>
        </w:tc>
      </w:tr>
      <w:tr w14:paraId="5490C1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74CF687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z w:val="18"/>
                <w:szCs w:val="18"/>
                <w:highlight w:val="none"/>
                <w:lang w:eastAsia="zh-CN"/>
              </w:rPr>
            </w:pPr>
            <w:r>
              <w:rPr>
                <w:rFonts w:hint="eastAsia" w:ascii="仿宋_GB2312" w:hAnsi="宋体" w:eastAsia="仿宋_GB2312" w:cs="仿宋_GB2312"/>
                <w:kern w:val="0"/>
                <w:sz w:val="18"/>
                <w:szCs w:val="18"/>
                <w:highlight w:val="none"/>
                <w:lang w:bidi="ar"/>
              </w:rPr>
              <w:t>17</w:t>
            </w:r>
            <w:del w:id="2872" w:author="LV" w:date="2026-07-14T17:00:48Z">
              <w:r>
                <w:rPr>
                  <w:rFonts w:hint="default" w:ascii="仿宋_GB2312" w:hAnsi="宋体" w:eastAsia="仿宋_GB2312" w:cs="仿宋_GB2312"/>
                  <w:kern w:val="0"/>
                  <w:sz w:val="18"/>
                  <w:szCs w:val="18"/>
                  <w:highlight w:val="none"/>
                  <w:lang w:val="en-US" w:eastAsia="zh-CN" w:bidi="ar"/>
                </w:rPr>
                <w:delText>1</w:delText>
              </w:r>
            </w:del>
            <w:ins w:id="2873" w:author="LV" w:date="2026-07-14T17:00:48Z">
              <w:r>
                <w:rPr>
                  <w:rFonts w:hint="eastAsia" w:ascii="仿宋_GB2312" w:hAnsi="宋体" w:eastAsia="仿宋_GB2312" w:cs="仿宋_GB2312"/>
                  <w:kern w:val="0"/>
                  <w:sz w:val="18"/>
                  <w:szCs w:val="18"/>
                  <w:highlight w:val="none"/>
                  <w:lang w:val="en-US" w:eastAsia="zh-CN" w:bidi="ar"/>
                </w:rPr>
                <w:t>8</w:t>
              </w:r>
            </w:ins>
          </w:p>
        </w:tc>
        <w:tc>
          <w:tcPr>
            <w:tcW w:w="1005" w:type="dxa"/>
            <w:vMerge w:val="restart"/>
            <w:tcBorders>
              <w:tl2br w:val="nil"/>
              <w:tr2bl w:val="nil"/>
            </w:tcBorders>
            <w:shd w:val="clear" w:color="auto" w:fill="auto"/>
            <w:tcMar>
              <w:top w:w="15" w:type="dxa"/>
              <w:left w:w="15" w:type="dxa"/>
              <w:right w:w="15" w:type="dxa"/>
            </w:tcMar>
            <w:vAlign w:val="center"/>
          </w:tcPr>
          <w:p w14:paraId="148DDDB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highlight w:val="none"/>
                <w:lang w:val="en-US" w:eastAsia="zh-CN"/>
              </w:rPr>
            </w:pPr>
            <w:r>
              <w:rPr>
                <w:rFonts w:hint="eastAsia" w:ascii="仿宋_GB2312" w:hAnsi="宋体" w:eastAsia="仿宋_GB2312" w:cs="仿宋_GB2312"/>
                <w:kern w:val="0"/>
                <w:sz w:val="18"/>
                <w:szCs w:val="18"/>
                <w:highlight w:val="none"/>
                <w:lang w:bidi="ar"/>
              </w:rPr>
              <w:t>煤矿未建立安全培训管理制度</w:t>
            </w:r>
            <w:r>
              <w:rPr>
                <w:rFonts w:hint="eastAsia" w:ascii="仿宋_GB2312" w:hAnsi="宋体" w:eastAsia="仿宋_GB2312" w:cs="仿宋_GB2312"/>
                <w:kern w:val="0"/>
                <w:sz w:val="18"/>
                <w:szCs w:val="18"/>
                <w:highlight w:val="none"/>
                <w:lang w:val="en-US" w:eastAsia="zh-CN" w:bidi="ar"/>
              </w:rPr>
              <w:t>的</w:t>
            </w:r>
          </w:p>
        </w:tc>
        <w:tc>
          <w:tcPr>
            <w:tcW w:w="3667" w:type="dxa"/>
            <w:vMerge w:val="restart"/>
            <w:tcBorders>
              <w:tl2br w:val="nil"/>
              <w:tr2bl w:val="nil"/>
            </w:tcBorders>
            <w:shd w:val="clear" w:color="auto" w:fill="auto"/>
            <w:tcMar>
              <w:top w:w="15" w:type="dxa"/>
              <w:left w:w="15" w:type="dxa"/>
              <w:right w:w="15" w:type="dxa"/>
            </w:tcMar>
            <w:vAlign w:val="center"/>
          </w:tcPr>
          <w:p w14:paraId="7AA5737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《安全生产法》第二十一条</w:t>
            </w:r>
            <w:r>
              <w:rPr>
                <w:rFonts w:ascii="仿宋_GB2312" w:hAnsi="宋体" w:eastAsia="仿宋_GB2312" w:cs="仿宋_GB2312"/>
                <w:kern w:val="0"/>
                <w:sz w:val="18"/>
                <w:szCs w:val="18"/>
                <w:lang w:bidi="ar"/>
              </w:rPr>
              <w:t xml:space="preserve"> </w:t>
            </w:r>
            <w:r>
              <w:rPr>
                <w:rFonts w:hint="eastAsia" w:ascii="仿宋_GB2312" w:hAnsi="宋体" w:eastAsia="仿宋_GB2312" w:cs="仿宋_GB2312"/>
                <w:kern w:val="0"/>
                <w:sz w:val="18"/>
                <w:szCs w:val="18"/>
                <w:lang w:bidi="ar"/>
              </w:rPr>
              <w:t>生产经营单位的主要负责人对本单位安全生产工作负有下列职责：（二）组织制定并实施本单位安全生产规章制度和操作规程；（三）组织制定并实施本单位安全生产教育和培训计划。</w:t>
            </w:r>
          </w:p>
          <w:p w14:paraId="738D61A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《煤矿安全培训规定》第六条 煤矿企业应当建立完善安全培训管理制度，制定年度安全培训计划，明确负责安全培训工作的机构，配备专职或者兼职安全培训管理人员，按照国家规定的比例提取教育培训经费。其中，用于安全培训的资金不得低于教育培训经费总额的百分之四十。</w:t>
            </w:r>
          </w:p>
          <w:p w14:paraId="12A1BFE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《煤矿安全生产条例》第六条  煤矿企业应当建立完善安全培训管理制度，制定年度安全培训计划，明确负责安全培训工作的机构，配备专职或者兼职安全培训管理人员，按照国家规定的比例提取教育培训经费。其中，用于安全培训的资金不得低于教育培训经费总额的百分之四十。</w:t>
            </w:r>
          </w:p>
          <w:p w14:paraId="014524D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第十八条  煤矿企业主要负责人对本企业安全生产工作负有下列职责：（二）组织制定并实施安全生产规章制度和作业规程、操作规程。</w:t>
            </w:r>
          </w:p>
        </w:tc>
        <w:tc>
          <w:tcPr>
            <w:tcW w:w="4082" w:type="dxa"/>
            <w:vMerge w:val="restart"/>
            <w:tcBorders>
              <w:tl2br w:val="nil"/>
              <w:tr2bl w:val="nil"/>
            </w:tcBorders>
            <w:shd w:val="clear" w:color="auto" w:fill="auto"/>
            <w:tcMar>
              <w:top w:w="15" w:type="dxa"/>
              <w:left w:w="15" w:type="dxa"/>
              <w:right w:w="15" w:type="dxa"/>
            </w:tcMar>
            <w:vAlign w:val="center"/>
          </w:tcPr>
          <w:p w14:paraId="564016B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 xml:space="preserve">《煤矿安全生产条例》第六十三条  煤矿企业有下列行为之一的，责令限期改正，处10万元以上20万元以下的罚款；逾期未改正的，责令停产整顿，并处20万元以上50万元以下的罚款，对其直接负责的主管人员和其他直接责任人员处3万元以上5万元以下的罚款：（一）未按照规定制定并落实全员安全生产责任制和领导带班等安全生产规章制度的。 </w:t>
            </w:r>
          </w:p>
          <w:p w14:paraId="644D0D2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2039E3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26E132B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8D0065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59942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83B248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523A31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7A7ECB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A1A053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DAA627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45E9D95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45832494">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BD0A8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6C6427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63D722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671D1F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E82CC9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86E40D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0A1055E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C3F36D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7BA0B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555EAC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E046D2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A72DCB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F114B5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73EA54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741C29E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已建立安全培训管理制度但缺少1项主要内容的</w:t>
            </w:r>
          </w:p>
        </w:tc>
        <w:tc>
          <w:tcPr>
            <w:tcW w:w="2655" w:type="dxa"/>
            <w:tcBorders>
              <w:tl2br w:val="nil"/>
              <w:tr2bl w:val="nil"/>
            </w:tcBorders>
            <w:shd w:val="clear" w:color="auto" w:fill="auto"/>
            <w:tcMar>
              <w:top w:w="15" w:type="dxa"/>
              <w:left w:w="15" w:type="dxa"/>
              <w:right w:w="15" w:type="dxa"/>
            </w:tcMar>
            <w:vAlign w:val="center"/>
          </w:tcPr>
          <w:p w14:paraId="470DED0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处10万元以上13万元以下罚款。</w:t>
            </w:r>
          </w:p>
        </w:tc>
      </w:tr>
      <w:tr w14:paraId="6FF333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83CE22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F8BC80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AFBA78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2759D2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6A547F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3E47B77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已建立安全培训管理制度但缺少2项主要内容的</w:t>
            </w:r>
          </w:p>
        </w:tc>
        <w:tc>
          <w:tcPr>
            <w:tcW w:w="2655" w:type="dxa"/>
            <w:tcBorders>
              <w:tl2br w:val="nil"/>
              <w:tr2bl w:val="nil"/>
            </w:tcBorders>
            <w:shd w:val="clear" w:color="auto" w:fill="auto"/>
            <w:tcMar>
              <w:top w:w="15" w:type="dxa"/>
              <w:left w:w="15" w:type="dxa"/>
              <w:right w:w="15" w:type="dxa"/>
            </w:tcMar>
            <w:vAlign w:val="center"/>
          </w:tcPr>
          <w:p w14:paraId="4D9130D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处13万元以上17万元以下罚款。</w:t>
            </w:r>
          </w:p>
        </w:tc>
      </w:tr>
      <w:tr w14:paraId="694F99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232BAB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D5BBDF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2AA1BD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932AC2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6EF79C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4CC29A1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已建立安全培训管理制度但缺少3项以上主要内容或未建立安全培训管理制度的</w:t>
            </w:r>
          </w:p>
        </w:tc>
        <w:tc>
          <w:tcPr>
            <w:tcW w:w="2655" w:type="dxa"/>
            <w:tcBorders>
              <w:tl2br w:val="nil"/>
              <w:tr2bl w:val="nil"/>
            </w:tcBorders>
            <w:shd w:val="clear" w:color="auto" w:fill="auto"/>
            <w:tcMar>
              <w:top w:w="15" w:type="dxa"/>
              <w:left w:w="15" w:type="dxa"/>
              <w:right w:w="15" w:type="dxa"/>
            </w:tcMar>
            <w:vAlign w:val="center"/>
          </w:tcPr>
          <w:p w14:paraId="44B459D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处17万元以上20万元以下罚款。</w:t>
            </w:r>
          </w:p>
        </w:tc>
      </w:tr>
      <w:tr w14:paraId="33FEE1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3844A5A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hint="default" w:ascii="仿宋_GB2312" w:hAnsi="宋体" w:eastAsia="仿宋_GB2312" w:cs="仿宋_GB2312"/>
                <w:sz w:val="18"/>
                <w:szCs w:val="18"/>
                <w:lang w:val="en-US" w:eastAsia="zh-CN"/>
              </w:rPr>
            </w:pPr>
            <w:r>
              <w:rPr>
                <w:rFonts w:hint="eastAsia" w:ascii="仿宋_GB2312" w:hAnsi="宋体" w:eastAsia="仿宋_GB2312" w:cs="仿宋_GB2312"/>
                <w:sz w:val="18"/>
                <w:szCs w:val="18"/>
                <w:lang w:val="en-US" w:eastAsia="zh-CN"/>
              </w:rPr>
              <w:t>17</w:t>
            </w:r>
            <w:del w:id="2874" w:author="LV" w:date="2026-07-14T17:01:20Z">
              <w:r>
                <w:rPr>
                  <w:rFonts w:hint="default" w:ascii="仿宋_GB2312" w:hAnsi="宋体" w:eastAsia="仿宋_GB2312" w:cs="仿宋_GB2312"/>
                  <w:sz w:val="18"/>
                  <w:szCs w:val="18"/>
                  <w:lang w:val="en-US" w:eastAsia="zh-CN"/>
                </w:rPr>
                <w:delText>2</w:delText>
              </w:r>
            </w:del>
            <w:ins w:id="2875" w:author="LV" w:date="2026-07-14T17:01:20Z">
              <w:r>
                <w:rPr>
                  <w:rFonts w:hint="eastAsia" w:ascii="仿宋_GB2312" w:hAnsi="宋体" w:eastAsia="仿宋_GB2312" w:cs="仿宋_GB2312"/>
                  <w:sz w:val="18"/>
                  <w:szCs w:val="18"/>
                  <w:lang w:val="en-US" w:eastAsia="zh-CN"/>
                </w:rPr>
                <w:t>9</w:t>
              </w:r>
            </w:ins>
          </w:p>
        </w:tc>
        <w:tc>
          <w:tcPr>
            <w:tcW w:w="1005" w:type="dxa"/>
            <w:vMerge w:val="restart"/>
            <w:tcBorders>
              <w:tl2br w:val="nil"/>
              <w:tr2bl w:val="nil"/>
            </w:tcBorders>
            <w:shd w:val="clear" w:color="auto" w:fill="auto"/>
            <w:tcMar>
              <w:top w:w="15" w:type="dxa"/>
              <w:left w:w="15" w:type="dxa"/>
              <w:right w:w="15" w:type="dxa"/>
            </w:tcMar>
            <w:vAlign w:val="center"/>
          </w:tcPr>
          <w:p w14:paraId="5F0DD0B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hint="eastAsia" w:ascii="仿宋_GB2312" w:hAnsi="宋体" w:eastAsia="仿宋_GB2312" w:cs="仿宋_GB2312"/>
                <w:sz w:val="18"/>
                <w:szCs w:val="18"/>
              </w:rPr>
              <w:t>煤矿未建立安全培训管理制度的，逾期未改正的。</w:t>
            </w:r>
          </w:p>
        </w:tc>
        <w:tc>
          <w:tcPr>
            <w:tcW w:w="3667" w:type="dxa"/>
            <w:vMerge w:val="restart"/>
            <w:tcBorders>
              <w:tl2br w:val="nil"/>
              <w:tr2bl w:val="nil"/>
            </w:tcBorders>
            <w:shd w:val="clear" w:color="auto" w:fill="auto"/>
            <w:tcMar>
              <w:top w:w="15" w:type="dxa"/>
              <w:left w:w="15" w:type="dxa"/>
              <w:right w:w="15" w:type="dxa"/>
            </w:tcMar>
            <w:vAlign w:val="center"/>
          </w:tcPr>
          <w:p w14:paraId="726C702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hint="eastAsia" w:ascii="仿宋_GB2312" w:hAnsi="宋体" w:eastAsia="仿宋_GB2312" w:cs="仿宋_GB2312"/>
                <w:sz w:val="18"/>
                <w:szCs w:val="18"/>
              </w:rPr>
              <w:t>《煤矿安全生产条例》第六十三条  煤矿企业有下列行为之一的，责令限期改正，处10万元以上 20万元以下的罚款；逾期未改正的，责令停产整顿，并处 20万元以上50万元以下的罚款，对其直接负责的主管人员和其他直接责任人员处3万元以上5万元以下的罚款：（一）未按照规定制定并落实全员安全生产责任制和领导带班等安全生产规章制度的。</w:t>
            </w:r>
          </w:p>
        </w:tc>
        <w:tc>
          <w:tcPr>
            <w:tcW w:w="4082" w:type="dxa"/>
            <w:vMerge w:val="restart"/>
            <w:tcBorders>
              <w:tl2br w:val="nil"/>
              <w:tr2bl w:val="nil"/>
            </w:tcBorders>
            <w:shd w:val="clear" w:color="auto" w:fill="auto"/>
            <w:tcMar>
              <w:top w:w="15" w:type="dxa"/>
              <w:left w:w="15" w:type="dxa"/>
              <w:right w:w="15" w:type="dxa"/>
            </w:tcMar>
            <w:vAlign w:val="center"/>
          </w:tcPr>
          <w:p w14:paraId="30EB0548">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sz w:val="18"/>
                <w:szCs w:val="18"/>
              </w:rPr>
            </w:pPr>
            <w:r>
              <w:rPr>
                <w:rFonts w:hint="eastAsia" w:ascii="仿宋_GB2312" w:hAnsi="宋体" w:eastAsia="仿宋_GB2312" w:cs="仿宋_GB2312"/>
                <w:sz w:val="18"/>
                <w:szCs w:val="18"/>
              </w:rPr>
              <w:t xml:space="preserve">《煤矿安全生产条例》第六十三条  煤矿企业有下列行为之一的，责令限期改正，处10万元以上 20万元以下的罚款；逾期未改正的，责令停产整顿，并处 20万元以上50万元以下的罚款，对其直接负责的主管人员和其他直接责任人员处3万元以上5万元以下的罚款： （一）未按照规定制定并落实全员安全生产责任制和领导带班等安全生产规章制度的。 </w:t>
            </w:r>
          </w:p>
          <w:p w14:paraId="5F5C7E0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53088F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73320F3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63F3144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6622F1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67355B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1F83D7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0983A0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2FC23E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54C8B9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12A12CA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1F942C6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7B0F9F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3C2663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084F52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F942B0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012ECB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8B4866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3F2CAD4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14C67B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5A7CB8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FCC469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8CB8C2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7E8CE8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CAE03A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7B7172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249D205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sz w:val="18"/>
                <w:szCs w:val="18"/>
                <w:rPrChange w:id="2876" w:author="LV" w:date="2026-07-14T17:00:56Z">
                  <w:rPr>
                    <w:rFonts w:hint="eastAsia" w:ascii="仿宋_GB2312" w:hAnsi="宋体" w:eastAsia="仿宋_GB2312" w:cs="仿宋_GB2312"/>
                    <w:color w:val="FF0000"/>
                    <w:sz w:val="18"/>
                    <w:szCs w:val="18"/>
                  </w:rPr>
                </w:rPrChange>
              </w:rPr>
            </w:pPr>
            <w:r>
              <w:rPr>
                <w:rFonts w:hint="eastAsia" w:ascii="仿宋_GB2312" w:hAnsi="宋体" w:eastAsia="仿宋_GB2312" w:cs="仿宋_GB2312"/>
                <w:color w:val="auto"/>
                <w:sz w:val="18"/>
                <w:szCs w:val="18"/>
                <w:rPrChange w:id="2877" w:author="LV" w:date="2026-07-14T17:00:56Z">
                  <w:rPr>
                    <w:rFonts w:hint="eastAsia" w:ascii="仿宋_GB2312" w:hAnsi="宋体" w:eastAsia="仿宋_GB2312" w:cs="仿宋_GB2312"/>
                    <w:color w:val="FF0000"/>
                    <w:sz w:val="18"/>
                    <w:szCs w:val="18"/>
                  </w:rPr>
                </w:rPrChange>
              </w:rPr>
              <w:t>逾期未改正已建立安全培训管理制度但缺少1项主要内容的，或者超过责令改正期限5日以下的</w:t>
            </w:r>
          </w:p>
        </w:tc>
        <w:tc>
          <w:tcPr>
            <w:tcW w:w="2655" w:type="dxa"/>
            <w:tcBorders>
              <w:tl2br w:val="nil"/>
              <w:tr2bl w:val="nil"/>
            </w:tcBorders>
            <w:shd w:val="clear" w:color="auto" w:fill="auto"/>
            <w:tcMar>
              <w:top w:w="15" w:type="dxa"/>
              <w:left w:w="15" w:type="dxa"/>
              <w:right w:w="15" w:type="dxa"/>
            </w:tcMar>
            <w:vAlign w:val="center"/>
          </w:tcPr>
          <w:p w14:paraId="59D1947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sz w:val="18"/>
                <w:szCs w:val="18"/>
                <w:rPrChange w:id="2878" w:author="LV" w:date="2026-07-14T17:00:56Z">
                  <w:rPr>
                    <w:rFonts w:hint="eastAsia" w:ascii="仿宋_GB2312" w:hAnsi="宋体" w:eastAsia="仿宋_GB2312" w:cs="仿宋_GB2312"/>
                    <w:color w:val="FF0000"/>
                    <w:sz w:val="18"/>
                    <w:szCs w:val="18"/>
                  </w:rPr>
                </w:rPrChange>
              </w:rPr>
            </w:pPr>
            <w:r>
              <w:rPr>
                <w:rFonts w:hint="eastAsia" w:ascii="仿宋_GB2312" w:hAnsi="宋体" w:eastAsia="仿宋_GB2312" w:cs="仿宋_GB2312"/>
                <w:color w:val="auto"/>
                <w:sz w:val="18"/>
                <w:szCs w:val="18"/>
                <w:rPrChange w:id="2879" w:author="LV" w:date="2026-07-14T17:00:56Z">
                  <w:rPr>
                    <w:rFonts w:hint="eastAsia" w:ascii="仿宋_GB2312" w:hAnsi="宋体" w:eastAsia="仿宋_GB2312" w:cs="仿宋_GB2312"/>
                    <w:color w:val="FF0000"/>
                    <w:sz w:val="18"/>
                    <w:szCs w:val="18"/>
                  </w:rPr>
                </w:rPrChange>
              </w:rPr>
              <w:t>对煤矿企业处20万元以上30万元以下的罚款，对直接负责的主管人员和其他直接责任人员处3万元以上5万元以下的罚款。</w:t>
            </w:r>
          </w:p>
        </w:tc>
      </w:tr>
      <w:tr w14:paraId="2B0270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3D26B8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C31E43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5A4069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DA7A62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9E664B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44CBAF9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sz w:val="18"/>
                <w:szCs w:val="18"/>
                <w:rPrChange w:id="2880" w:author="LV" w:date="2026-07-14T17:00:56Z">
                  <w:rPr>
                    <w:rFonts w:hint="eastAsia" w:ascii="仿宋_GB2312" w:hAnsi="宋体" w:eastAsia="仿宋_GB2312" w:cs="仿宋_GB2312"/>
                    <w:color w:val="FF0000"/>
                    <w:sz w:val="18"/>
                    <w:szCs w:val="18"/>
                  </w:rPr>
                </w:rPrChange>
              </w:rPr>
            </w:pPr>
            <w:r>
              <w:rPr>
                <w:rFonts w:hint="eastAsia" w:ascii="仿宋_GB2312" w:hAnsi="宋体" w:eastAsia="仿宋_GB2312" w:cs="仿宋_GB2312"/>
                <w:color w:val="auto"/>
                <w:sz w:val="18"/>
                <w:szCs w:val="18"/>
                <w:rPrChange w:id="2881" w:author="LV" w:date="2026-07-14T17:00:56Z">
                  <w:rPr>
                    <w:rFonts w:hint="eastAsia" w:ascii="仿宋_GB2312" w:hAnsi="宋体" w:eastAsia="仿宋_GB2312" w:cs="仿宋_GB2312"/>
                    <w:color w:val="FF0000"/>
                    <w:sz w:val="18"/>
                    <w:szCs w:val="18"/>
                  </w:rPr>
                </w:rPrChange>
              </w:rPr>
              <w:t>逾期未改正已建立安全培训管理制度但缺少2项主要内容的，或者超过责令改正期限5日以上10日以下的</w:t>
            </w:r>
          </w:p>
        </w:tc>
        <w:tc>
          <w:tcPr>
            <w:tcW w:w="2655" w:type="dxa"/>
            <w:tcBorders>
              <w:tl2br w:val="nil"/>
              <w:tr2bl w:val="nil"/>
            </w:tcBorders>
            <w:shd w:val="clear" w:color="auto" w:fill="auto"/>
            <w:tcMar>
              <w:top w:w="15" w:type="dxa"/>
              <w:left w:w="15" w:type="dxa"/>
              <w:right w:w="15" w:type="dxa"/>
            </w:tcMar>
            <w:vAlign w:val="center"/>
          </w:tcPr>
          <w:p w14:paraId="46995BE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sz w:val="18"/>
                <w:szCs w:val="18"/>
                <w:rPrChange w:id="2882" w:author="LV" w:date="2026-07-14T17:00:56Z">
                  <w:rPr>
                    <w:rFonts w:hint="eastAsia" w:ascii="仿宋_GB2312" w:hAnsi="宋体" w:eastAsia="仿宋_GB2312" w:cs="仿宋_GB2312"/>
                    <w:color w:val="FF0000"/>
                    <w:sz w:val="18"/>
                    <w:szCs w:val="18"/>
                  </w:rPr>
                </w:rPrChange>
              </w:rPr>
            </w:pPr>
            <w:r>
              <w:rPr>
                <w:rFonts w:hint="eastAsia" w:ascii="仿宋_GB2312" w:hAnsi="宋体" w:eastAsia="仿宋_GB2312" w:cs="仿宋_GB2312"/>
                <w:color w:val="auto"/>
                <w:sz w:val="18"/>
                <w:szCs w:val="18"/>
                <w:rPrChange w:id="2883" w:author="LV" w:date="2026-07-14T17:00:56Z">
                  <w:rPr>
                    <w:rFonts w:hint="eastAsia" w:ascii="仿宋_GB2312" w:hAnsi="宋体" w:eastAsia="仿宋_GB2312" w:cs="仿宋_GB2312"/>
                    <w:color w:val="FF0000"/>
                    <w:sz w:val="18"/>
                    <w:szCs w:val="18"/>
                  </w:rPr>
                </w:rPrChange>
              </w:rPr>
              <w:t>对煤矿企业处30万元以上40万元以下的罚款，对直接负责的主管人员和其他直接责任人员处3万元以上5万元以下的罚款。</w:t>
            </w:r>
          </w:p>
        </w:tc>
      </w:tr>
      <w:tr w14:paraId="6F24FA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1778EF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33A794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E11EF0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86208C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93B47B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208E0AB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sz w:val="18"/>
                <w:szCs w:val="18"/>
                <w:rPrChange w:id="2884" w:author="LV" w:date="2026-07-14T17:00:56Z">
                  <w:rPr>
                    <w:rFonts w:hint="eastAsia" w:ascii="仿宋_GB2312" w:hAnsi="宋体" w:eastAsia="仿宋_GB2312" w:cs="仿宋_GB2312"/>
                    <w:color w:val="FF0000"/>
                    <w:sz w:val="18"/>
                    <w:szCs w:val="18"/>
                  </w:rPr>
                </w:rPrChange>
              </w:rPr>
            </w:pPr>
            <w:del w:id="2885" w:author="LV" w:date="2026-07-14T17:00:58Z">
              <w:r>
                <w:rPr>
                  <w:rFonts w:hint="eastAsia" w:ascii="仿宋_GB2312" w:hAnsi="宋体" w:eastAsia="仿宋_GB2312" w:cs="仿宋_GB2312"/>
                  <w:color w:val="auto"/>
                  <w:sz w:val="18"/>
                  <w:szCs w:val="18"/>
                  <w:rPrChange w:id="2886" w:author="LV" w:date="2026-07-14T17:00:56Z">
                    <w:rPr>
                      <w:rFonts w:hint="eastAsia" w:ascii="仿宋_GB2312" w:hAnsi="宋体" w:eastAsia="仿宋_GB2312" w:cs="仿宋_GB2312"/>
                      <w:color w:val="FF0000"/>
                      <w:sz w:val="18"/>
                      <w:szCs w:val="18"/>
                    </w:rPr>
                  </w:rPrChange>
                </w:rPr>
                <w:delText>：</w:delText>
              </w:r>
            </w:del>
            <w:r>
              <w:rPr>
                <w:rFonts w:hint="eastAsia" w:ascii="仿宋_GB2312" w:hAnsi="宋体" w:eastAsia="仿宋_GB2312" w:cs="仿宋_GB2312"/>
                <w:color w:val="auto"/>
                <w:sz w:val="18"/>
                <w:szCs w:val="18"/>
                <w:rPrChange w:id="2887" w:author="LV" w:date="2026-07-14T17:00:56Z">
                  <w:rPr>
                    <w:rFonts w:hint="eastAsia" w:ascii="仿宋_GB2312" w:hAnsi="宋体" w:eastAsia="仿宋_GB2312" w:cs="仿宋_GB2312"/>
                    <w:color w:val="FF0000"/>
                    <w:sz w:val="18"/>
                    <w:szCs w:val="18"/>
                  </w:rPr>
                </w:rPrChange>
              </w:rPr>
              <w:t>逾期未改正已建立安全培训管理制度但缺少3项以上主要内容的，超过责令改正期限10日以上的</w:t>
            </w:r>
          </w:p>
        </w:tc>
        <w:tc>
          <w:tcPr>
            <w:tcW w:w="2655" w:type="dxa"/>
            <w:tcBorders>
              <w:tl2br w:val="nil"/>
              <w:tr2bl w:val="nil"/>
            </w:tcBorders>
            <w:shd w:val="clear" w:color="auto" w:fill="auto"/>
            <w:tcMar>
              <w:top w:w="15" w:type="dxa"/>
              <w:left w:w="15" w:type="dxa"/>
              <w:right w:w="15" w:type="dxa"/>
            </w:tcMar>
            <w:vAlign w:val="center"/>
          </w:tcPr>
          <w:p w14:paraId="542614D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sz w:val="18"/>
                <w:szCs w:val="18"/>
                <w:rPrChange w:id="2888" w:author="LV" w:date="2026-07-14T17:00:56Z">
                  <w:rPr>
                    <w:rFonts w:hint="eastAsia" w:ascii="仿宋_GB2312" w:hAnsi="宋体" w:eastAsia="仿宋_GB2312" w:cs="仿宋_GB2312"/>
                    <w:color w:val="FF0000"/>
                    <w:sz w:val="18"/>
                    <w:szCs w:val="18"/>
                  </w:rPr>
                </w:rPrChange>
              </w:rPr>
            </w:pPr>
            <w:r>
              <w:rPr>
                <w:rFonts w:hint="eastAsia" w:ascii="仿宋_GB2312" w:hAnsi="宋体" w:eastAsia="仿宋_GB2312" w:cs="仿宋_GB2312"/>
                <w:color w:val="auto"/>
                <w:sz w:val="18"/>
                <w:szCs w:val="18"/>
                <w:rPrChange w:id="2889" w:author="LV" w:date="2026-07-14T17:00:56Z">
                  <w:rPr>
                    <w:rFonts w:hint="eastAsia" w:ascii="仿宋_GB2312" w:hAnsi="宋体" w:eastAsia="仿宋_GB2312" w:cs="仿宋_GB2312"/>
                    <w:color w:val="FF0000"/>
                    <w:sz w:val="18"/>
                    <w:szCs w:val="18"/>
                  </w:rPr>
                </w:rPrChange>
              </w:rPr>
              <w:t>对煤矿企业处40万元以上50万元以下的罚款，对直接负责的主管人员和其他直接责任人员处3万元以上5万元以下的罚款。</w:t>
            </w:r>
          </w:p>
        </w:tc>
      </w:tr>
      <w:tr w14:paraId="2714FB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2ABB7F9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1</w:t>
            </w:r>
            <w:del w:id="2890" w:author="LV" w:date="2026-07-14T17:01:23Z">
              <w:r>
                <w:rPr>
                  <w:rFonts w:hint="default" w:ascii="仿宋_GB2312" w:hAnsi="宋体" w:eastAsia="仿宋_GB2312" w:cs="仿宋_GB2312"/>
                  <w:kern w:val="0"/>
                  <w:sz w:val="18"/>
                  <w:szCs w:val="18"/>
                  <w:lang w:val="en-US" w:bidi="ar"/>
                </w:rPr>
                <w:delText>73</w:delText>
              </w:r>
            </w:del>
            <w:ins w:id="2891" w:author="LV" w:date="2026-07-14T17:01:23Z">
              <w:r>
                <w:rPr>
                  <w:rFonts w:hint="eastAsia" w:ascii="仿宋_GB2312" w:hAnsi="宋体" w:eastAsia="仿宋_GB2312" w:cs="仿宋_GB2312"/>
                  <w:kern w:val="0"/>
                  <w:sz w:val="18"/>
                  <w:szCs w:val="18"/>
                  <w:lang w:val="en-US" w:eastAsia="zh-CN" w:bidi="ar"/>
                </w:rPr>
                <w:t>8</w:t>
              </w:r>
            </w:ins>
            <w:ins w:id="2892" w:author="LV" w:date="2026-07-14T17:01:24Z">
              <w:r>
                <w:rPr>
                  <w:rFonts w:hint="eastAsia" w:ascii="仿宋_GB2312" w:hAnsi="宋体" w:eastAsia="仿宋_GB2312" w:cs="仿宋_GB2312"/>
                  <w:kern w:val="0"/>
                  <w:sz w:val="18"/>
                  <w:szCs w:val="18"/>
                  <w:lang w:val="en-US" w:eastAsia="zh-CN" w:bidi="ar"/>
                </w:rPr>
                <w:t>0</w:t>
              </w:r>
            </w:ins>
          </w:p>
        </w:tc>
        <w:tc>
          <w:tcPr>
            <w:tcW w:w="1005" w:type="dxa"/>
            <w:vMerge w:val="restart"/>
            <w:tcBorders>
              <w:tl2br w:val="nil"/>
              <w:tr2bl w:val="nil"/>
            </w:tcBorders>
            <w:shd w:val="clear" w:color="auto" w:fill="auto"/>
            <w:tcMar>
              <w:top w:w="15" w:type="dxa"/>
              <w:left w:w="15" w:type="dxa"/>
              <w:right w:w="15" w:type="dxa"/>
            </w:tcMar>
            <w:vAlign w:val="center"/>
          </w:tcPr>
          <w:p w14:paraId="7F362AB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lang w:val="en-US" w:eastAsia="zh-CN"/>
              </w:rPr>
            </w:pPr>
            <w:r>
              <w:rPr>
                <w:rFonts w:hint="eastAsia" w:ascii="仿宋_GB2312" w:hAnsi="宋体" w:eastAsia="仿宋_GB2312" w:cs="仿宋_GB2312"/>
                <w:kern w:val="0"/>
                <w:sz w:val="18"/>
                <w:szCs w:val="18"/>
                <w:highlight w:val="none"/>
                <w:lang w:bidi="ar"/>
              </w:rPr>
              <w:t>煤矿未制定年度安全培训计划</w:t>
            </w:r>
            <w:r>
              <w:rPr>
                <w:rFonts w:hint="eastAsia" w:ascii="仿宋_GB2312" w:hAnsi="宋体" w:eastAsia="仿宋_GB2312" w:cs="仿宋_GB2312"/>
                <w:kern w:val="0"/>
                <w:sz w:val="18"/>
                <w:szCs w:val="18"/>
                <w:highlight w:val="none"/>
                <w:lang w:val="en-US" w:eastAsia="zh-CN" w:bidi="ar"/>
              </w:rPr>
              <w:t>的</w:t>
            </w:r>
          </w:p>
        </w:tc>
        <w:tc>
          <w:tcPr>
            <w:tcW w:w="3667" w:type="dxa"/>
            <w:vMerge w:val="restart"/>
            <w:tcBorders>
              <w:tl2br w:val="nil"/>
              <w:tr2bl w:val="nil"/>
            </w:tcBorders>
            <w:shd w:val="clear" w:color="auto" w:fill="auto"/>
            <w:tcMar>
              <w:top w:w="15" w:type="dxa"/>
              <w:left w:w="15" w:type="dxa"/>
              <w:right w:w="15" w:type="dxa"/>
            </w:tcMar>
            <w:vAlign w:val="center"/>
          </w:tcPr>
          <w:p w14:paraId="7B93776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《安全生产法》第二十一条 生产经营单位的主要负责人对本单位安全生产工作负有下列职责：（二）组织制定并实施本单位安全生产规章制度和操作规程；（三）组织制定并实施本单位安全生产教育和培训计划。</w:t>
            </w:r>
          </w:p>
          <w:p w14:paraId="7FC7456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《煤矿安全培训规定》第六条 煤矿企业应当建立完善安全培训管理制度，制定年度安全培训计划，明确负责安全培训工作的机构，配备专职或者兼职安全培训管理人员，按照国家规定的比例提取教育培训经费。其中，用于安全培训的资金不得低于教育培训经费总额的百分之四十。</w:t>
            </w:r>
          </w:p>
        </w:tc>
        <w:tc>
          <w:tcPr>
            <w:tcW w:w="4082" w:type="dxa"/>
            <w:vMerge w:val="restart"/>
            <w:tcBorders>
              <w:tl2br w:val="nil"/>
              <w:tr2bl w:val="nil"/>
            </w:tcBorders>
            <w:shd w:val="clear" w:color="auto" w:fill="auto"/>
            <w:tcMar>
              <w:top w:w="15" w:type="dxa"/>
              <w:left w:w="15" w:type="dxa"/>
              <w:right w:w="15" w:type="dxa"/>
            </w:tcMar>
            <w:vAlign w:val="center"/>
          </w:tcPr>
          <w:p w14:paraId="3775D81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《煤矿安全培训规定》第四十八条 煤矿安全培训主管部门或者煤矿安全监察机构发现煤矿企业有下列行为之一的，责令其限期改正，可以处一万元以上三万元以下的罚款：（一）未建立安全培训管理制度或者未制定年度安全培训计划的</w:t>
            </w:r>
            <w:r>
              <w:rPr>
                <w:rFonts w:ascii="仿宋_GB2312" w:hAnsi="宋体" w:eastAsia="仿宋_GB2312" w:cs="仿宋_GB2312"/>
                <w:kern w:val="0"/>
                <w:sz w:val="18"/>
                <w:szCs w:val="18"/>
                <w:lang w:bidi="ar"/>
              </w:rPr>
              <w:t>。</w:t>
            </w:r>
          </w:p>
        </w:tc>
        <w:tc>
          <w:tcPr>
            <w:tcW w:w="459" w:type="dxa"/>
            <w:tcBorders>
              <w:tl2br w:val="nil"/>
              <w:tr2bl w:val="nil"/>
            </w:tcBorders>
            <w:shd w:val="clear" w:color="auto" w:fill="auto"/>
            <w:noWrap/>
            <w:tcMar>
              <w:top w:w="15" w:type="dxa"/>
              <w:left w:w="15" w:type="dxa"/>
              <w:right w:w="15" w:type="dxa"/>
            </w:tcMar>
            <w:vAlign w:val="center"/>
          </w:tcPr>
          <w:p w14:paraId="4752D76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006F275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8EA42C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769AB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ACE857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3A761B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5570E4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304CF2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06A062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1442239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5C290CE4">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CF32A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F4B7FB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25D80B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2213FF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2E9DFB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9BB383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5147B1C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1531769F">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5B504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86BD1B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F7DEBA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6D9063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838D1C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8FCB1B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0CFBEE2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未制定年度安全培训计划在15日以下的。</w:t>
            </w:r>
          </w:p>
        </w:tc>
        <w:tc>
          <w:tcPr>
            <w:tcW w:w="2655" w:type="dxa"/>
            <w:tcBorders>
              <w:tl2br w:val="nil"/>
              <w:tr2bl w:val="nil"/>
            </w:tcBorders>
            <w:shd w:val="clear" w:color="auto" w:fill="auto"/>
            <w:tcMar>
              <w:top w:w="15" w:type="dxa"/>
              <w:left w:w="15" w:type="dxa"/>
              <w:right w:w="15" w:type="dxa"/>
            </w:tcMar>
            <w:vAlign w:val="center"/>
          </w:tcPr>
          <w:p w14:paraId="4776010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可以处1万元以上1.5万元以下的罚款。</w:t>
            </w:r>
          </w:p>
        </w:tc>
      </w:tr>
      <w:tr w14:paraId="7BA7CD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CB28CE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95BE72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A343E7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73F213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FBE7CE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4E01A9C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未制定年度安全培训计划在15日以上30日以下的。</w:t>
            </w:r>
          </w:p>
        </w:tc>
        <w:tc>
          <w:tcPr>
            <w:tcW w:w="2655" w:type="dxa"/>
            <w:tcBorders>
              <w:tl2br w:val="nil"/>
              <w:tr2bl w:val="nil"/>
            </w:tcBorders>
            <w:shd w:val="clear" w:color="auto" w:fill="auto"/>
            <w:tcMar>
              <w:top w:w="15" w:type="dxa"/>
              <w:left w:w="15" w:type="dxa"/>
              <w:right w:w="15" w:type="dxa"/>
            </w:tcMar>
            <w:vAlign w:val="center"/>
          </w:tcPr>
          <w:p w14:paraId="0AF69BF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pacing w:val="-6"/>
                <w:sz w:val="18"/>
                <w:szCs w:val="18"/>
              </w:rPr>
            </w:pPr>
            <w:r>
              <w:rPr>
                <w:rFonts w:hint="eastAsia" w:ascii="仿宋_GB2312" w:hAnsi="宋体" w:eastAsia="仿宋_GB2312" w:cs="仿宋_GB2312"/>
                <w:spacing w:val="-6"/>
                <w:kern w:val="0"/>
                <w:sz w:val="18"/>
                <w:szCs w:val="18"/>
                <w:lang w:bidi="ar"/>
              </w:rPr>
              <w:t>可以处1.5万元以上2.5万元以下的罚款。</w:t>
            </w:r>
          </w:p>
        </w:tc>
      </w:tr>
      <w:tr w14:paraId="551B56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8530D2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B27DF1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95C7EE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BC2BD3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AFC1C0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3901765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未制定年度安全培训计划在30日以上的。</w:t>
            </w:r>
          </w:p>
        </w:tc>
        <w:tc>
          <w:tcPr>
            <w:tcW w:w="2655" w:type="dxa"/>
            <w:tcBorders>
              <w:tl2br w:val="nil"/>
              <w:tr2bl w:val="nil"/>
            </w:tcBorders>
            <w:shd w:val="clear" w:color="auto" w:fill="auto"/>
            <w:tcMar>
              <w:top w:w="15" w:type="dxa"/>
              <w:left w:w="15" w:type="dxa"/>
              <w:right w:w="15" w:type="dxa"/>
            </w:tcMar>
            <w:vAlign w:val="center"/>
          </w:tcPr>
          <w:p w14:paraId="056D9F5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可以处2.5万元以上3万元以下的罚款。</w:t>
            </w:r>
          </w:p>
        </w:tc>
      </w:tr>
      <w:tr w14:paraId="2AEFB1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0B33184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highlight w:val="none"/>
                <w:lang w:val="en-US" w:eastAsia="zh-CN"/>
              </w:rPr>
            </w:pPr>
            <w:r>
              <w:rPr>
                <w:rFonts w:hint="eastAsia" w:ascii="仿宋_GB2312" w:hAnsi="宋体" w:eastAsia="仿宋_GB2312" w:cs="仿宋_GB2312"/>
                <w:kern w:val="0"/>
                <w:sz w:val="18"/>
                <w:szCs w:val="18"/>
                <w:highlight w:val="none"/>
                <w:lang w:bidi="ar"/>
              </w:rPr>
              <w:t>1</w:t>
            </w:r>
            <w:del w:id="2893" w:author="LV" w:date="2026-07-14T17:01:29Z">
              <w:r>
                <w:rPr>
                  <w:rFonts w:hint="default" w:ascii="仿宋_GB2312" w:hAnsi="宋体" w:eastAsia="仿宋_GB2312" w:cs="仿宋_GB2312"/>
                  <w:kern w:val="0"/>
                  <w:sz w:val="18"/>
                  <w:szCs w:val="18"/>
                  <w:highlight w:val="none"/>
                  <w:lang w:val="en-US" w:bidi="ar"/>
                </w:rPr>
                <w:delText>7</w:delText>
              </w:r>
            </w:del>
            <w:del w:id="2894" w:author="LV" w:date="2026-07-14T17:01:29Z">
              <w:r>
                <w:rPr>
                  <w:rFonts w:hint="default" w:ascii="仿宋_GB2312" w:hAnsi="宋体" w:eastAsia="仿宋_GB2312" w:cs="仿宋_GB2312"/>
                  <w:kern w:val="0"/>
                  <w:sz w:val="18"/>
                  <w:szCs w:val="18"/>
                  <w:highlight w:val="none"/>
                  <w:lang w:val="en-US" w:eastAsia="zh-CN" w:bidi="ar"/>
                </w:rPr>
                <w:delText>4</w:delText>
              </w:r>
            </w:del>
            <w:ins w:id="2895" w:author="LV" w:date="2026-07-14T17:01:29Z">
              <w:r>
                <w:rPr>
                  <w:rFonts w:hint="eastAsia" w:ascii="仿宋_GB2312" w:hAnsi="宋体" w:eastAsia="仿宋_GB2312" w:cs="仿宋_GB2312"/>
                  <w:kern w:val="0"/>
                  <w:sz w:val="18"/>
                  <w:szCs w:val="18"/>
                  <w:highlight w:val="none"/>
                  <w:lang w:val="en-US" w:eastAsia="zh-CN" w:bidi="ar"/>
                </w:rPr>
                <w:t>8</w:t>
              </w:r>
            </w:ins>
            <w:ins w:id="2896" w:author="LV" w:date="2026-07-14T17:01:30Z">
              <w:r>
                <w:rPr>
                  <w:rFonts w:hint="eastAsia" w:ascii="仿宋_GB2312" w:hAnsi="宋体" w:eastAsia="仿宋_GB2312" w:cs="仿宋_GB2312"/>
                  <w:kern w:val="0"/>
                  <w:sz w:val="18"/>
                  <w:szCs w:val="18"/>
                  <w:highlight w:val="none"/>
                  <w:lang w:val="en-US" w:eastAsia="zh-CN" w:bidi="ar"/>
                </w:rPr>
                <w:t>1</w:t>
              </w:r>
            </w:ins>
          </w:p>
        </w:tc>
        <w:tc>
          <w:tcPr>
            <w:tcW w:w="1005" w:type="dxa"/>
            <w:vMerge w:val="restart"/>
            <w:tcBorders>
              <w:tl2br w:val="nil"/>
              <w:tr2bl w:val="nil"/>
            </w:tcBorders>
            <w:shd w:val="clear" w:color="auto" w:fill="auto"/>
            <w:tcMar>
              <w:top w:w="15" w:type="dxa"/>
              <w:left w:w="15" w:type="dxa"/>
              <w:right w:w="15" w:type="dxa"/>
            </w:tcMar>
            <w:vAlign w:val="center"/>
          </w:tcPr>
          <w:p w14:paraId="478BD32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highlight w:val="none"/>
                <w:lang w:val="en-US" w:eastAsia="zh-CN"/>
              </w:rPr>
            </w:pPr>
            <w:r>
              <w:rPr>
                <w:rFonts w:hint="eastAsia" w:ascii="仿宋_GB2312" w:hAnsi="宋体" w:eastAsia="仿宋_GB2312" w:cs="仿宋_GB2312"/>
                <w:kern w:val="0"/>
                <w:sz w:val="18"/>
                <w:szCs w:val="18"/>
                <w:highlight w:val="none"/>
                <w:lang w:bidi="ar"/>
              </w:rPr>
              <w:t>煤矿未明确负责安全培训工作的机构</w:t>
            </w:r>
            <w:r>
              <w:rPr>
                <w:rFonts w:hint="eastAsia" w:ascii="仿宋_GB2312" w:hAnsi="宋体" w:eastAsia="仿宋_GB2312" w:cs="仿宋_GB2312"/>
                <w:kern w:val="0"/>
                <w:sz w:val="18"/>
                <w:szCs w:val="18"/>
                <w:highlight w:val="none"/>
                <w:lang w:val="en-US" w:eastAsia="zh-CN" w:bidi="ar"/>
              </w:rPr>
              <w:t>的</w:t>
            </w:r>
          </w:p>
        </w:tc>
        <w:tc>
          <w:tcPr>
            <w:tcW w:w="3667" w:type="dxa"/>
            <w:vMerge w:val="restart"/>
            <w:tcBorders>
              <w:tl2br w:val="nil"/>
              <w:tr2bl w:val="nil"/>
            </w:tcBorders>
            <w:shd w:val="clear" w:color="auto" w:fill="auto"/>
            <w:tcMar>
              <w:top w:w="15" w:type="dxa"/>
              <w:left w:w="15" w:type="dxa"/>
              <w:right w:w="15" w:type="dxa"/>
            </w:tcMar>
            <w:vAlign w:val="center"/>
          </w:tcPr>
          <w:p w14:paraId="67D540A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《煤矿安全培训规定》第六条 煤矿企业应当建立完善安全培训管理制度，制定年度安全培训计划，明确负责安全培训工作的机构，配备专职或者兼职安全培训管理人员，按照国家规定的比例提取教育培训经费。其中，用于安全培训的资金不得低于教育培训经费总额的百分之四十。</w:t>
            </w:r>
          </w:p>
        </w:tc>
        <w:tc>
          <w:tcPr>
            <w:tcW w:w="4082" w:type="dxa"/>
            <w:vMerge w:val="restart"/>
            <w:tcBorders>
              <w:tl2br w:val="nil"/>
              <w:tr2bl w:val="nil"/>
            </w:tcBorders>
            <w:shd w:val="clear" w:color="auto" w:fill="auto"/>
            <w:tcMar>
              <w:top w:w="15" w:type="dxa"/>
              <w:left w:w="15" w:type="dxa"/>
              <w:right w:w="15" w:type="dxa"/>
            </w:tcMar>
            <w:vAlign w:val="center"/>
          </w:tcPr>
          <w:p w14:paraId="36B8F80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《煤矿安全培训规定》第四十八条 煤矿安全培训主管部门或者煤矿安全监察机构发现煤矿企业有下列行为之一的，责令其限期改正，可以处一万元以上三万元以下的罚款：（二）未明确负责安全培训工作的机构，或者未配备专兼职安全培训管理人员的。</w:t>
            </w:r>
          </w:p>
        </w:tc>
        <w:tc>
          <w:tcPr>
            <w:tcW w:w="459" w:type="dxa"/>
            <w:tcBorders>
              <w:tl2br w:val="nil"/>
              <w:tr2bl w:val="nil"/>
            </w:tcBorders>
            <w:shd w:val="clear" w:color="auto" w:fill="auto"/>
            <w:noWrap/>
            <w:tcMar>
              <w:top w:w="15" w:type="dxa"/>
              <w:left w:w="15" w:type="dxa"/>
              <w:right w:w="15" w:type="dxa"/>
            </w:tcMar>
            <w:vAlign w:val="center"/>
          </w:tcPr>
          <w:p w14:paraId="2F87D83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59766BC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168B7B3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DC9B6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5D3CBF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A8563D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81480C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3A5FA0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4E78A7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2A33CC3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3C0D3CF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D9A3F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E32EF0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8E91FC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11A5C8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1EEA28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BE800B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05F95F8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D3B7A1D">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E86AB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CE8474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64E716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46DCAA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BC447C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A4C9B66">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62EF3CB0">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未明确负责安全培训工作的机构在15日以下的。</w:t>
            </w:r>
          </w:p>
        </w:tc>
        <w:tc>
          <w:tcPr>
            <w:tcW w:w="2655" w:type="dxa"/>
            <w:tcBorders>
              <w:tl2br w:val="nil"/>
              <w:tr2bl w:val="nil"/>
            </w:tcBorders>
            <w:shd w:val="clear" w:color="auto" w:fill="auto"/>
            <w:tcMar>
              <w:top w:w="15" w:type="dxa"/>
              <w:left w:w="15" w:type="dxa"/>
              <w:right w:w="15" w:type="dxa"/>
            </w:tcMar>
            <w:vAlign w:val="center"/>
          </w:tcPr>
          <w:p w14:paraId="1AA7A0B6">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可以处1万元以上1.5万元以下的罚款。</w:t>
            </w:r>
          </w:p>
        </w:tc>
      </w:tr>
      <w:tr w14:paraId="00FD03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FEEE58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545CA7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7A69AF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3736C6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B5C9B1F">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301A043D">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未明确负责安全培训工作的机构在15日以上30日以下的。</w:t>
            </w:r>
          </w:p>
        </w:tc>
        <w:tc>
          <w:tcPr>
            <w:tcW w:w="2655" w:type="dxa"/>
            <w:tcBorders>
              <w:tl2br w:val="nil"/>
              <w:tr2bl w:val="nil"/>
            </w:tcBorders>
            <w:shd w:val="clear" w:color="auto" w:fill="auto"/>
            <w:tcMar>
              <w:top w:w="15" w:type="dxa"/>
              <w:left w:w="15" w:type="dxa"/>
              <w:right w:w="15" w:type="dxa"/>
            </w:tcMar>
            <w:vAlign w:val="center"/>
          </w:tcPr>
          <w:p w14:paraId="3A0F1955">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pacing w:val="-6"/>
                <w:sz w:val="18"/>
                <w:szCs w:val="18"/>
              </w:rPr>
            </w:pPr>
            <w:r>
              <w:rPr>
                <w:rFonts w:hint="eastAsia" w:ascii="仿宋_GB2312" w:hAnsi="宋体" w:eastAsia="仿宋_GB2312" w:cs="仿宋_GB2312"/>
                <w:spacing w:val="-6"/>
                <w:kern w:val="0"/>
                <w:sz w:val="18"/>
                <w:szCs w:val="18"/>
                <w:lang w:bidi="ar"/>
              </w:rPr>
              <w:t>可以处1.5万元以上2.5万元以下的罚款。</w:t>
            </w:r>
          </w:p>
        </w:tc>
      </w:tr>
      <w:tr w14:paraId="2A25AE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436CE7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BB0C1B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6AADBA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7341F8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5AC600E">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1CE35FD2">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未明确负责安全培训工作的机构在30日以上的。</w:t>
            </w:r>
          </w:p>
        </w:tc>
        <w:tc>
          <w:tcPr>
            <w:tcW w:w="2655" w:type="dxa"/>
            <w:tcBorders>
              <w:tl2br w:val="nil"/>
              <w:tr2bl w:val="nil"/>
            </w:tcBorders>
            <w:shd w:val="clear" w:color="auto" w:fill="auto"/>
            <w:tcMar>
              <w:top w:w="15" w:type="dxa"/>
              <w:left w:w="15" w:type="dxa"/>
              <w:right w:w="15" w:type="dxa"/>
            </w:tcMar>
            <w:vAlign w:val="center"/>
          </w:tcPr>
          <w:p w14:paraId="3238B69F">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可以处2.5万元以上3万元以下的罚款。</w:t>
            </w:r>
          </w:p>
        </w:tc>
      </w:tr>
      <w:tr w14:paraId="0EBC86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78CC8F4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highlight w:val="none"/>
                <w:lang w:val="en-US" w:eastAsia="zh-CN"/>
              </w:rPr>
            </w:pPr>
            <w:r>
              <w:rPr>
                <w:rFonts w:hint="eastAsia" w:ascii="仿宋_GB2312" w:hAnsi="宋体" w:eastAsia="仿宋_GB2312" w:cs="仿宋_GB2312"/>
                <w:kern w:val="0"/>
                <w:sz w:val="18"/>
                <w:szCs w:val="18"/>
                <w:highlight w:val="none"/>
                <w:lang w:bidi="ar"/>
              </w:rPr>
              <w:t>1</w:t>
            </w:r>
            <w:del w:id="2897" w:author="LV" w:date="2026-07-14T17:01:34Z">
              <w:r>
                <w:rPr>
                  <w:rFonts w:hint="default" w:ascii="仿宋_GB2312" w:hAnsi="宋体" w:eastAsia="仿宋_GB2312" w:cs="仿宋_GB2312"/>
                  <w:kern w:val="0"/>
                  <w:sz w:val="18"/>
                  <w:szCs w:val="18"/>
                  <w:highlight w:val="none"/>
                  <w:lang w:val="en-US" w:bidi="ar"/>
                </w:rPr>
                <w:delText>7</w:delText>
              </w:r>
            </w:del>
            <w:del w:id="2898" w:author="LV" w:date="2026-07-14T17:01:34Z">
              <w:r>
                <w:rPr>
                  <w:rFonts w:hint="default" w:ascii="仿宋_GB2312" w:hAnsi="宋体" w:eastAsia="仿宋_GB2312" w:cs="仿宋_GB2312"/>
                  <w:kern w:val="0"/>
                  <w:sz w:val="18"/>
                  <w:szCs w:val="18"/>
                  <w:highlight w:val="none"/>
                  <w:lang w:val="en-US" w:eastAsia="zh-CN" w:bidi="ar"/>
                </w:rPr>
                <w:delText>5</w:delText>
              </w:r>
            </w:del>
            <w:ins w:id="2899" w:author="LV" w:date="2026-07-14T17:01:34Z">
              <w:r>
                <w:rPr>
                  <w:rFonts w:hint="eastAsia" w:ascii="仿宋_GB2312" w:hAnsi="宋体" w:eastAsia="仿宋_GB2312" w:cs="仿宋_GB2312"/>
                  <w:kern w:val="0"/>
                  <w:sz w:val="18"/>
                  <w:szCs w:val="18"/>
                  <w:highlight w:val="none"/>
                  <w:lang w:val="en-US" w:eastAsia="zh-CN" w:bidi="ar"/>
                </w:rPr>
                <w:t>82</w:t>
              </w:r>
            </w:ins>
          </w:p>
        </w:tc>
        <w:tc>
          <w:tcPr>
            <w:tcW w:w="1005" w:type="dxa"/>
            <w:vMerge w:val="restart"/>
            <w:tcBorders>
              <w:tl2br w:val="nil"/>
              <w:tr2bl w:val="nil"/>
            </w:tcBorders>
            <w:shd w:val="clear" w:color="auto" w:fill="auto"/>
            <w:tcMar>
              <w:top w:w="15" w:type="dxa"/>
              <w:left w:w="15" w:type="dxa"/>
              <w:right w:w="15" w:type="dxa"/>
            </w:tcMar>
            <w:vAlign w:val="center"/>
          </w:tcPr>
          <w:p w14:paraId="7A79724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highlight w:val="none"/>
                <w:lang w:val="en-US" w:eastAsia="zh-CN"/>
              </w:rPr>
            </w:pPr>
            <w:r>
              <w:rPr>
                <w:rFonts w:hint="eastAsia" w:ascii="仿宋_GB2312" w:hAnsi="宋体" w:eastAsia="仿宋_GB2312" w:cs="仿宋_GB2312"/>
                <w:kern w:val="0"/>
                <w:sz w:val="18"/>
                <w:szCs w:val="18"/>
                <w:highlight w:val="none"/>
                <w:lang w:bidi="ar"/>
              </w:rPr>
              <w:t>煤矿未配备专兼职安全培训管理人员</w:t>
            </w:r>
            <w:r>
              <w:rPr>
                <w:rFonts w:hint="eastAsia" w:ascii="仿宋_GB2312" w:hAnsi="宋体" w:eastAsia="仿宋_GB2312" w:cs="仿宋_GB2312"/>
                <w:kern w:val="0"/>
                <w:sz w:val="18"/>
                <w:szCs w:val="18"/>
                <w:highlight w:val="none"/>
                <w:lang w:val="en-US" w:eastAsia="zh-CN" w:bidi="ar"/>
              </w:rPr>
              <w:t>的</w:t>
            </w:r>
          </w:p>
        </w:tc>
        <w:tc>
          <w:tcPr>
            <w:tcW w:w="3667" w:type="dxa"/>
            <w:vMerge w:val="restart"/>
            <w:tcBorders>
              <w:tl2br w:val="nil"/>
              <w:tr2bl w:val="nil"/>
            </w:tcBorders>
            <w:shd w:val="clear" w:color="auto" w:fill="auto"/>
            <w:tcMar>
              <w:top w:w="15" w:type="dxa"/>
              <w:left w:w="15" w:type="dxa"/>
              <w:right w:w="15" w:type="dxa"/>
            </w:tcMar>
            <w:vAlign w:val="center"/>
          </w:tcPr>
          <w:p w14:paraId="231A360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《煤矿安全培训规定》第六条 煤矿企业应当建立完善安全培训管理制度，制定年度安全培训计划，明确负责安全培训工作的机构，配备专职或者兼职安全培训管理人员，按照国家规定的比例提取教育培训经费。其中，用于安全培训的资金不得低于教育培训经费总额的百分之四十。</w:t>
            </w:r>
          </w:p>
        </w:tc>
        <w:tc>
          <w:tcPr>
            <w:tcW w:w="4082" w:type="dxa"/>
            <w:vMerge w:val="restart"/>
            <w:tcBorders>
              <w:tl2br w:val="nil"/>
              <w:tr2bl w:val="nil"/>
            </w:tcBorders>
            <w:shd w:val="clear" w:color="auto" w:fill="auto"/>
            <w:tcMar>
              <w:top w:w="15" w:type="dxa"/>
              <w:left w:w="15" w:type="dxa"/>
              <w:right w:w="15" w:type="dxa"/>
            </w:tcMar>
            <w:vAlign w:val="center"/>
          </w:tcPr>
          <w:p w14:paraId="6CC8928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《煤矿安全培训规定》第四十八条 煤矿安全培训主管部门或者煤矿安全监察机构发现煤矿企业有下列行为之一的，责令其限期改正，可以处一万元以上三万元以下的罚款：（二）未明确负责安全培训工作的机构，或者未配备专兼职安全培训管理人员的。</w:t>
            </w:r>
          </w:p>
        </w:tc>
        <w:tc>
          <w:tcPr>
            <w:tcW w:w="459" w:type="dxa"/>
            <w:tcBorders>
              <w:tl2br w:val="nil"/>
              <w:tr2bl w:val="nil"/>
            </w:tcBorders>
            <w:shd w:val="clear" w:color="auto" w:fill="auto"/>
            <w:noWrap/>
            <w:tcMar>
              <w:top w:w="15" w:type="dxa"/>
              <w:left w:w="15" w:type="dxa"/>
              <w:right w:w="15" w:type="dxa"/>
            </w:tcMar>
            <w:vAlign w:val="center"/>
          </w:tcPr>
          <w:p w14:paraId="26630F1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556BC24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6281E04F">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ED818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5DB066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5D32C6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yellow"/>
              </w:rPr>
            </w:pPr>
          </w:p>
        </w:tc>
        <w:tc>
          <w:tcPr>
            <w:tcW w:w="3667" w:type="dxa"/>
            <w:vMerge w:val="continue"/>
            <w:tcBorders>
              <w:tl2br w:val="nil"/>
              <w:tr2bl w:val="nil"/>
            </w:tcBorders>
            <w:shd w:val="clear" w:color="auto" w:fill="auto"/>
            <w:tcMar>
              <w:top w:w="15" w:type="dxa"/>
              <w:left w:w="15" w:type="dxa"/>
              <w:right w:w="15" w:type="dxa"/>
            </w:tcMar>
            <w:vAlign w:val="center"/>
          </w:tcPr>
          <w:p w14:paraId="23FADD4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99A3F6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9E6AC8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6DC3A11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7883258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9D626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FBC21B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424003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yellow"/>
              </w:rPr>
            </w:pPr>
          </w:p>
        </w:tc>
        <w:tc>
          <w:tcPr>
            <w:tcW w:w="3667" w:type="dxa"/>
            <w:vMerge w:val="continue"/>
            <w:tcBorders>
              <w:tl2br w:val="nil"/>
              <w:tr2bl w:val="nil"/>
            </w:tcBorders>
            <w:shd w:val="clear" w:color="auto" w:fill="auto"/>
            <w:tcMar>
              <w:top w:w="15" w:type="dxa"/>
              <w:left w:w="15" w:type="dxa"/>
              <w:right w:w="15" w:type="dxa"/>
            </w:tcMar>
            <w:vAlign w:val="center"/>
          </w:tcPr>
          <w:p w14:paraId="4519417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C1D244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E9C1EC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31D36BE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A7DB92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47DF6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552199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C702F2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yellow"/>
              </w:rPr>
            </w:pPr>
          </w:p>
        </w:tc>
        <w:tc>
          <w:tcPr>
            <w:tcW w:w="3667" w:type="dxa"/>
            <w:vMerge w:val="continue"/>
            <w:tcBorders>
              <w:tl2br w:val="nil"/>
              <w:tr2bl w:val="nil"/>
            </w:tcBorders>
            <w:shd w:val="clear" w:color="auto" w:fill="auto"/>
            <w:tcMar>
              <w:top w:w="15" w:type="dxa"/>
              <w:left w:w="15" w:type="dxa"/>
              <w:right w:w="15" w:type="dxa"/>
            </w:tcMar>
            <w:vAlign w:val="center"/>
          </w:tcPr>
          <w:p w14:paraId="50FCC20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E62970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6769CD2">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18AAD6AB">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未配备专兼职安全培训管理人员在15日以下的。</w:t>
            </w:r>
          </w:p>
        </w:tc>
        <w:tc>
          <w:tcPr>
            <w:tcW w:w="2655" w:type="dxa"/>
            <w:tcBorders>
              <w:tl2br w:val="nil"/>
              <w:tr2bl w:val="nil"/>
            </w:tcBorders>
            <w:shd w:val="clear" w:color="auto" w:fill="auto"/>
            <w:tcMar>
              <w:top w:w="15" w:type="dxa"/>
              <w:left w:w="15" w:type="dxa"/>
              <w:right w:w="15" w:type="dxa"/>
            </w:tcMar>
            <w:vAlign w:val="center"/>
          </w:tcPr>
          <w:p w14:paraId="29055F7A">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可以处1万元以上1.5万元以下的罚款。</w:t>
            </w:r>
          </w:p>
        </w:tc>
      </w:tr>
      <w:tr w14:paraId="6B6752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18B7BE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BCBE53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yellow"/>
              </w:rPr>
            </w:pPr>
          </w:p>
        </w:tc>
        <w:tc>
          <w:tcPr>
            <w:tcW w:w="3667" w:type="dxa"/>
            <w:vMerge w:val="continue"/>
            <w:tcBorders>
              <w:tl2br w:val="nil"/>
              <w:tr2bl w:val="nil"/>
            </w:tcBorders>
            <w:shd w:val="clear" w:color="auto" w:fill="auto"/>
            <w:tcMar>
              <w:top w:w="15" w:type="dxa"/>
              <w:left w:w="15" w:type="dxa"/>
              <w:right w:w="15" w:type="dxa"/>
            </w:tcMar>
            <w:vAlign w:val="center"/>
          </w:tcPr>
          <w:p w14:paraId="17BED9A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625F50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3D97E85">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6BDF5685">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未配备专兼职安全培训管理人员在15日以上30日以下的。</w:t>
            </w:r>
          </w:p>
        </w:tc>
        <w:tc>
          <w:tcPr>
            <w:tcW w:w="2655" w:type="dxa"/>
            <w:tcBorders>
              <w:tl2br w:val="nil"/>
              <w:tr2bl w:val="nil"/>
            </w:tcBorders>
            <w:shd w:val="clear" w:color="auto" w:fill="auto"/>
            <w:tcMar>
              <w:top w:w="15" w:type="dxa"/>
              <w:left w:w="15" w:type="dxa"/>
              <w:right w:w="15" w:type="dxa"/>
            </w:tcMar>
            <w:vAlign w:val="center"/>
          </w:tcPr>
          <w:p w14:paraId="17B0E02B">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pacing w:val="-6"/>
                <w:sz w:val="18"/>
                <w:szCs w:val="18"/>
              </w:rPr>
            </w:pPr>
            <w:r>
              <w:rPr>
                <w:rFonts w:hint="eastAsia" w:ascii="仿宋_GB2312" w:hAnsi="宋体" w:eastAsia="仿宋_GB2312" w:cs="仿宋_GB2312"/>
                <w:spacing w:val="-6"/>
                <w:kern w:val="0"/>
                <w:sz w:val="18"/>
                <w:szCs w:val="18"/>
                <w:lang w:bidi="ar"/>
              </w:rPr>
              <w:t>可以处1.5万元以上2.5万元以下的罚款。</w:t>
            </w:r>
          </w:p>
        </w:tc>
      </w:tr>
      <w:tr w14:paraId="53FD30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9F5905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28E306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yellow"/>
              </w:rPr>
            </w:pPr>
          </w:p>
        </w:tc>
        <w:tc>
          <w:tcPr>
            <w:tcW w:w="3667" w:type="dxa"/>
            <w:vMerge w:val="continue"/>
            <w:tcBorders>
              <w:tl2br w:val="nil"/>
              <w:tr2bl w:val="nil"/>
            </w:tcBorders>
            <w:shd w:val="clear" w:color="auto" w:fill="auto"/>
            <w:tcMar>
              <w:top w:w="15" w:type="dxa"/>
              <w:left w:w="15" w:type="dxa"/>
              <w:right w:w="15" w:type="dxa"/>
            </w:tcMar>
            <w:vAlign w:val="center"/>
          </w:tcPr>
          <w:p w14:paraId="6B613FE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39E4B1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E6937DB">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077F09D5">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未配备专兼职安全培训管理人员在30日以上的。</w:t>
            </w:r>
          </w:p>
        </w:tc>
        <w:tc>
          <w:tcPr>
            <w:tcW w:w="2655" w:type="dxa"/>
            <w:tcBorders>
              <w:tl2br w:val="nil"/>
              <w:tr2bl w:val="nil"/>
            </w:tcBorders>
            <w:shd w:val="clear" w:color="auto" w:fill="auto"/>
            <w:tcMar>
              <w:top w:w="15" w:type="dxa"/>
              <w:left w:w="15" w:type="dxa"/>
              <w:right w:w="15" w:type="dxa"/>
            </w:tcMar>
            <w:vAlign w:val="center"/>
          </w:tcPr>
          <w:p w14:paraId="1B89BF29">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可以处2.5万元以上3万元以下的罚款。</w:t>
            </w:r>
          </w:p>
        </w:tc>
      </w:tr>
      <w:tr w14:paraId="30F935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3E15C2C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1</w:t>
            </w:r>
            <w:del w:id="2900" w:author="LV" w:date="2026-07-14T17:01:39Z">
              <w:r>
                <w:rPr>
                  <w:rFonts w:hint="default" w:ascii="仿宋_GB2312" w:hAnsi="宋体" w:eastAsia="仿宋_GB2312" w:cs="仿宋_GB2312"/>
                  <w:kern w:val="0"/>
                  <w:sz w:val="18"/>
                  <w:szCs w:val="18"/>
                  <w:lang w:val="en-US" w:bidi="ar"/>
                </w:rPr>
                <w:delText>7</w:delText>
              </w:r>
            </w:del>
            <w:del w:id="2901" w:author="LV" w:date="2026-07-14T17:01:39Z">
              <w:r>
                <w:rPr>
                  <w:rFonts w:hint="default" w:ascii="仿宋_GB2312" w:hAnsi="宋体" w:eastAsia="仿宋_GB2312" w:cs="仿宋_GB2312"/>
                  <w:kern w:val="0"/>
                  <w:sz w:val="18"/>
                  <w:szCs w:val="18"/>
                  <w:lang w:val="en-US" w:eastAsia="zh-CN" w:bidi="ar"/>
                </w:rPr>
                <w:delText>6</w:delText>
              </w:r>
            </w:del>
            <w:ins w:id="2902" w:author="LV" w:date="2026-07-14T17:01:39Z">
              <w:r>
                <w:rPr>
                  <w:rFonts w:hint="eastAsia" w:ascii="仿宋_GB2312" w:hAnsi="宋体" w:eastAsia="仿宋_GB2312" w:cs="仿宋_GB2312"/>
                  <w:kern w:val="0"/>
                  <w:sz w:val="18"/>
                  <w:szCs w:val="18"/>
                  <w:lang w:val="en-US" w:eastAsia="zh-CN" w:bidi="ar"/>
                </w:rPr>
                <w:t>83</w:t>
              </w:r>
            </w:ins>
          </w:p>
        </w:tc>
        <w:tc>
          <w:tcPr>
            <w:tcW w:w="1005" w:type="dxa"/>
            <w:vMerge w:val="restart"/>
            <w:tcBorders>
              <w:tl2br w:val="nil"/>
              <w:tr2bl w:val="nil"/>
            </w:tcBorders>
            <w:shd w:val="clear" w:color="auto" w:fill="auto"/>
            <w:tcMar>
              <w:top w:w="15" w:type="dxa"/>
              <w:left w:w="15" w:type="dxa"/>
              <w:right w:w="15" w:type="dxa"/>
            </w:tcMar>
            <w:vAlign w:val="center"/>
          </w:tcPr>
          <w:p w14:paraId="691B92A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highlight w:val="yellow"/>
                <w:lang w:val="en-US" w:eastAsia="zh-CN"/>
              </w:rPr>
            </w:pPr>
            <w:r>
              <w:rPr>
                <w:rFonts w:hint="eastAsia" w:ascii="仿宋_GB2312" w:hAnsi="宋体" w:eastAsia="仿宋_GB2312" w:cs="仿宋_GB2312"/>
                <w:kern w:val="0"/>
                <w:sz w:val="18"/>
                <w:szCs w:val="18"/>
                <w:highlight w:val="none"/>
                <w:lang w:bidi="ar"/>
              </w:rPr>
              <w:t>煤矿用于安全培训的资金不符合《煤矿安全培训规定》</w:t>
            </w:r>
            <w:r>
              <w:rPr>
                <w:rFonts w:hint="eastAsia" w:ascii="仿宋_GB2312" w:hAnsi="宋体" w:eastAsia="仿宋_GB2312" w:cs="仿宋_GB2312"/>
                <w:kern w:val="0"/>
                <w:sz w:val="18"/>
                <w:szCs w:val="18"/>
                <w:highlight w:val="none"/>
                <w:lang w:val="en-US" w:eastAsia="zh-CN" w:bidi="ar"/>
              </w:rPr>
              <w:t>的</w:t>
            </w:r>
          </w:p>
        </w:tc>
        <w:tc>
          <w:tcPr>
            <w:tcW w:w="3667" w:type="dxa"/>
            <w:vMerge w:val="restart"/>
            <w:tcBorders>
              <w:tl2br w:val="nil"/>
              <w:tr2bl w:val="nil"/>
            </w:tcBorders>
            <w:shd w:val="clear" w:color="auto" w:fill="auto"/>
            <w:tcMar>
              <w:top w:w="15" w:type="dxa"/>
              <w:left w:w="15" w:type="dxa"/>
              <w:right w:w="15" w:type="dxa"/>
            </w:tcMar>
            <w:vAlign w:val="center"/>
          </w:tcPr>
          <w:p w14:paraId="35F9539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《煤矿安全培训规定》第六条 煤矿企业应当建立完善安全培训管理制度，制定年度安全培训计划，明确负责安全培训工作的机构，配备专职或者兼职安全培训管理人员，按照国家规定的比例提取教育培训经费。其中，用于安全培训的资金不得低于教育培训经费总额的百分之四十。</w:t>
            </w:r>
          </w:p>
        </w:tc>
        <w:tc>
          <w:tcPr>
            <w:tcW w:w="4082" w:type="dxa"/>
            <w:vMerge w:val="restart"/>
            <w:tcBorders>
              <w:tl2br w:val="nil"/>
              <w:tr2bl w:val="nil"/>
            </w:tcBorders>
            <w:shd w:val="clear" w:color="auto" w:fill="auto"/>
            <w:tcMar>
              <w:top w:w="15" w:type="dxa"/>
              <w:left w:w="15" w:type="dxa"/>
              <w:right w:w="15" w:type="dxa"/>
            </w:tcMar>
            <w:vAlign w:val="center"/>
          </w:tcPr>
          <w:p w14:paraId="4310897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《煤矿安全培训规定》第四十八条 煤矿安全培训主管部门或者煤矿安全监察机构发现煤矿企业有下列行为之一的，责令其限期改正，可以处一万元以上三万元以下的罚款：（三）用于安全培训的资金不符合本规定的。</w:t>
            </w:r>
          </w:p>
        </w:tc>
        <w:tc>
          <w:tcPr>
            <w:tcW w:w="459" w:type="dxa"/>
            <w:tcBorders>
              <w:tl2br w:val="nil"/>
              <w:tr2bl w:val="nil"/>
            </w:tcBorders>
            <w:shd w:val="clear" w:color="auto" w:fill="auto"/>
            <w:noWrap/>
            <w:tcMar>
              <w:top w:w="15" w:type="dxa"/>
              <w:left w:w="15" w:type="dxa"/>
              <w:right w:w="15" w:type="dxa"/>
            </w:tcMar>
            <w:vAlign w:val="center"/>
          </w:tcPr>
          <w:p w14:paraId="64ACE89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2B22F55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81A44F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0C692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DDC000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2FFAF3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FD2D3D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711FFF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6D3438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5E37A90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376E394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797C9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30F7D2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7A0D7A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5CFAC0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22E7BD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9E69C3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3CBF560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520DEB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4D3C9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850108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01B9EF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19BF05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32C83D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FDEBF0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2F13BCB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用于安全培训的资金低于教育培训经费总额的百分之四十、高于教育培训经费总额的百分之三十五的。</w:t>
            </w:r>
          </w:p>
        </w:tc>
        <w:tc>
          <w:tcPr>
            <w:tcW w:w="2655" w:type="dxa"/>
            <w:tcBorders>
              <w:tl2br w:val="nil"/>
              <w:tr2bl w:val="nil"/>
            </w:tcBorders>
            <w:shd w:val="clear" w:color="auto" w:fill="auto"/>
            <w:tcMar>
              <w:top w:w="15" w:type="dxa"/>
              <w:left w:w="15" w:type="dxa"/>
              <w:right w:w="15" w:type="dxa"/>
            </w:tcMar>
            <w:vAlign w:val="center"/>
          </w:tcPr>
          <w:p w14:paraId="50A0354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可以处1万元以上1.5万元以下的罚款。</w:t>
            </w:r>
          </w:p>
        </w:tc>
      </w:tr>
      <w:tr w14:paraId="151E97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AB1830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A75F5D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74F004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AD2019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D04F25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02C0064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用于安全培训的资金低于教育培训经费总额的百分之三十五、高于教育培训经费总额的百分之三十的。</w:t>
            </w:r>
          </w:p>
        </w:tc>
        <w:tc>
          <w:tcPr>
            <w:tcW w:w="2655" w:type="dxa"/>
            <w:tcBorders>
              <w:tl2br w:val="nil"/>
              <w:tr2bl w:val="nil"/>
            </w:tcBorders>
            <w:shd w:val="clear" w:color="auto" w:fill="auto"/>
            <w:tcMar>
              <w:top w:w="15" w:type="dxa"/>
              <w:left w:w="15" w:type="dxa"/>
              <w:right w:w="15" w:type="dxa"/>
            </w:tcMar>
            <w:vAlign w:val="center"/>
          </w:tcPr>
          <w:p w14:paraId="64CCAC1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可以处1.5万元以上2.5万元以下的罚款。</w:t>
            </w:r>
          </w:p>
        </w:tc>
      </w:tr>
      <w:tr w14:paraId="60F919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08BED6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B01940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8B8F6A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EC1930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B4F4E8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4CAC18A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用于安全培训的资金低于教育培训经费总额的百分之三十</w:t>
            </w:r>
            <w:r>
              <w:rPr>
                <w:rFonts w:hint="eastAsia" w:ascii="仿宋_GB2312" w:hAnsi="宋体" w:eastAsia="仿宋_GB2312" w:cs="仿宋_GB2312"/>
                <w:kern w:val="0"/>
                <w:sz w:val="18"/>
                <w:szCs w:val="18"/>
                <w:highlight w:val="none"/>
                <w:lang w:val="en-US" w:eastAsia="zh-CN" w:bidi="ar"/>
              </w:rPr>
              <w:t>的</w:t>
            </w:r>
            <w:r>
              <w:rPr>
                <w:rFonts w:hint="eastAsia" w:ascii="仿宋_GB2312" w:hAnsi="宋体" w:eastAsia="仿宋_GB2312" w:cs="仿宋_GB2312"/>
                <w:kern w:val="0"/>
                <w:sz w:val="18"/>
                <w:szCs w:val="18"/>
                <w:highlight w:val="none"/>
                <w:lang w:bidi="ar"/>
              </w:rPr>
              <w:t>。</w:t>
            </w:r>
          </w:p>
        </w:tc>
        <w:tc>
          <w:tcPr>
            <w:tcW w:w="2655" w:type="dxa"/>
            <w:tcBorders>
              <w:tl2br w:val="nil"/>
              <w:tr2bl w:val="nil"/>
            </w:tcBorders>
            <w:shd w:val="clear" w:color="auto" w:fill="auto"/>
            <w:tcMar>
              <w:top w:w="15" w:type="dxa"/>
              <w:left w:w="15" w:type="dxa"/>
              <w:right w:w="15" w:type="dxa"/>
            </w:tcMar>
            <w:vAlign w:val="center"/>
          </w:tcPr>
          <w:p w14:paraId="5D7160B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可以处2.5万元以上3万元以下的罚款。</w:t>
            </w:r>
          </w:p>
        </w:tc>
      </w:tr>
      <w:tr w14:paraId="2D65EB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723F5AB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highlight w:val="none"/>
                <w:lang w:val="en-US" w:eastAsia="zh-CN"/>
              </w:rPr>
            </w:pPr>
            <w:r>
              <w:rPr>
                <w:rFonts w:hint="eastAsia" w:ascii="仿宋_GB2312" w:hAnsi="宋体" w:eastAsia="仿宋_GB2312" w:cs="仿宋_GB2312"/>
                <w:kern w:val="0"/>
                <w:sz w:val="18"/>
                <w:szCs w:val="18"/>
                <w:highlight w:val="none"/>
                <w:lang w:bidi="ar"/>
              </w:rPr>
              <w:t>1</w:t>
            </w:r>
            <w:del w:id="2903" w:author="LV" w:date="2026-07-14T17:01:45Z">
              <w:r>
                <w:rPr>
                  <w:rFonts w:hint="default" w:ascii="仿宋_GB2312" w:hAnsi="宋体" w:eastAsia="仿宋_GB2312" w:cs="仿宋_GB2312"/>
                  <w:kern w:val="0"/>
                  <w:sz w:val="18"/>
                  <w:szCs w:val="18"/>
                  <w:highlight w:val="none"/>
                  <w:lang w:val="en-US" w:bidi="ar"/>
                </w:rPr>
                <w:delText>7</w:delText>
              </w:r>
            </w:del>
            <w:del w:id="2904" w:author="LV" w:date="2026-07-14T17:01:45Z">
              <w:r>
                <w:rPr>
                  <w:rFonts w:hint="default" w:ascii="仿宋_GB2312" w:hAnsi="宋体" w:eastAsia="仿宋_GB2312" w:cs="仿宋_GB2312"/>
                  <w:kern w:val="0"/>
                  <w:sz w:val="18"/>
                  <w:szCs w:val="18"/>
                  <w:highlight w:val="none"/>
                  <w:lang w:val="en-US" w:eastAsia="zh-CN" w:bidi="ar"/>
                </w:rPr>
                <w:delText>7</w:delText>
              </w:r>
            </w:del>
            <w:ins w:id="2905" w:author="LV" w:date="2026-07-14T17:01:45Z">
              <w:r>
                <w:rPr>
                  <w:rFonts w:hint="eastAsia" w:ascii="仿宋_GB2312" w:hAnsi="宋体" w:eastAsia="仿宋_GB2312" w:cs="仿宋_GB2312"/>
                  <w:kern w:val="0"/>
                  <w:sz w:val="18"/>
                  <w:szCs w:val="18"/>
                  <w:highlight w:val="none"/>
                  <w:lang w:val="en-US" w:eastAsia="zh-CN" w:bidi="ar"/>
                </w:rPr>
                <w:t>8</w:t>
              </w:r>
            </w:ins>
            <w:ins w:id="2906" w:author="LV" w:date="2026-07-14T17:01:46Z">
              <w:r>
                <w:rPr>
                  <w:rFonts w:hint="eastAsia" w:ascii="仿宋_GB2312" w:hAnsi="宋体" w:eastAsia="仿宋_GB2312" w:cs="仿宋_GB2312"/>
                  <w:kern w:val="0"/>
                  <w:sz w:val="18"/>
                  <w:szCs w:val="18"/>
                  <w:highlight w:val="none"/>
                  <w:lang w:val="en-US" w:eastAsia="zh-CN" w:bidi="ar"/>
                </w:rPr>
                <w:t>4</w:t>
              </w:r>
            </w:ins>
          </w:p>
        </w:tc>
        <w:tc>
          <w:tcPr>
            <w:tcW w:w="1005" w:type="dxa"/>
            <w:vMerge w:val="restart"/>
            <w:tcBorders>
              <w:tl2br w:val="nil"/>
              <w:tr2bl w:val="nil"/>
            </w:tcBorders>
            <w:shd w:val="clear" w:color="auto" w:fill="auto"/>
            <w:tcMar>
              <w:top w:w="15" w:type="dxa"/>
              <w:left w:w="15" w:type="dxa"/>
              <w:right w:w="15" w:type="dxa"/>
            </w:tcMar>
            <w:vAlign w:val="center"/>
          </w:tcPr>
          <w:p w14:paraId="7FEF5A8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highlight w:val="none"/>
                <w:lang w:val="en-US" w:eastAsia="zh-CN"/>
              </w:rPr>
            </w:pPr>
            <w:r>
              <w:rPr>
                <w:rFonts w:hint="eastAsia" w:ascii="仿宋_GB2312" w:hAnsi="宋体" w:eastAsia="仿宋_GB2312" w:cs="仿宋_GB2312"/>
                <w:kern w:val="0"/>
                <w:sz w:val="18"/>
                <w:szCs w:val="18"/>
                <w:highlight w:val="none"/>
                <w:lang w:bidi="ar"/>
              </w:rPr>
              <w:t>煤矿未按照统一的培训大纲组织培训</w:t>
            </w:r>
            <w:r>
              <w:rPr>
                <w:rFonts w:hint="eastAsia" w:ascii="仿宋_GB2312" w:hAnsi="宋体" w:eastAsia="仿宋_GB2312" w:cs="仿宋_GB2312"/>
                <w:kern w:val="0"/>
                <w:sz w:val="18"/>
                <w:szCs w:val="18"/>
                <w:highlight w:val="none"/>
                <w:lang w:val="en-US" w:eastAsia="zh-CN" w:bidi="ar"/>
              </w:rPr>
              <w:t>的</w:t>
            </w:r>
          </w:p>
        </w:tc>
        <w:tc>
          <w:tcPr>
            <w:tcW w:w="3667" w:type="dxa"/>
            <w:vMerge w:val="restart"/>
            <w:tcBorders>
              <w:tl2br w:val="nil"/>
              <w:tr2bl w:val="nil"/>
            </w:tcBorders>
            <w:shd w:val="clear" w:color="auto" w:fill="auto"/>
            <w:tcMar>
              <w:top w:w="15" w:type="dxa"/>
              <w:left w:w="15" w:type="dxa"/>
              <w:right w:w="15" w:type="dxa"/>
            </w:tcMar>
            <w:vAlign w:val="center"/>
          </w:tcPr>
          <w:p w14:paraId="02CB2F2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highlight w:val="none"/>
                <w:lang w:bidi="ar"/>
              </w:rPr>
            </w:pPr>
            <w:r>
              <w:rPr>
                <w:rFonts w:hint="eastAsia" w:ascii="仿宋_GB2312" w:hAnsi="宋体" w:eastAsia="仿宋_GB2312" w:cs="仿宋_GB2312"/>
                <w:kern w:val="0"/>
                <w:sz w:val="18"/>
                <w:szCs w:val="18"/>
                <w:highlight w:val="none"/>
                <w:lang w:bidi="ar"/>
              </w:rPr>
              <w:t>《煤矿安全培训规定》</w:t>
            </w:r>
          </w:p>
          <w:p w14:paraId="13F8615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highlight w:val="none"/>
                <w:lang w:bidi="ar"/>
              </w:rPr>
            </w:pPr>
            <w:r>
              <w:rPr>
                <w:rFonts w:hint="eastAsia" w:ascii="仿宋_GB2312" w:hAnsi="宋体" w:eastAsia="仿宋_GB2312" w:cs="仿宋_GB2312"/>
                <w:kern w:val="0"/>
                <w:sz w:val="18"/>
                <w:szCs w:val="18"/>
                <w:highlight w:val="none"/>
                <w:lang w:bidi="ar"/>
              </w:rPr>
              <w:t>第二十三条 国家煤矿安全监察局组织制定煤矿特种作业人员培训大纲和考核标准，建立统一的考试题库。</w:t>
            </w:r>
          </w:p>
          <w:p w14:paraId="68671CC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第二十五条 煤矿特种作业人员在参加资格考试前应当按照规定的培训大纲进行安全生产 知识和实际操作能力的专门培训。其中，初次培训的时间不得少于九十学时。</w:t>
            </w:r>
            <w:r>
              <w:rPr>
                <w:rFonts w:hint="eastAsia" w:ascii="仿宋_GB2312" w:hAnsi="宋体" w:eastAsia="仿宋_GB2312" w:cs="仿宋_GB2312"/>
                <w:kern w:val="0"/>
                <w:sz w:val="18"/>
                <w:szCs w:val="18"/>
                <w:highlight w:val="none"/>
                <w:lang w:bidi="ar"/>
              </w:rPr>
              <w:br w:type="textWrapping"/>
            </w:r>
            <w:r>
              <w:rPr>
                <w:rFonts w:hint="eastAsia" w:ascii="仿宋_GB2312" w:hAnsi="宋体" w:eastAsia="仿宋_GB2312" w:cs="仿宋_GB2312"/>
                <w:kern w:val="0"/>
                <w:sz w:val="18"/>
                <w:szCs w:val="18"/>
                <w:highlight w:val="none"/>
                <w:lang w:bidi="ar"/>
              </w:rPr>
              <w:t>第三十四条 省级煤矿安全培训主管部门负责制定煤矿企业其他从业人员安全培训大纲和考核标准。</w:t>
            </w:r>
          </w:p>
        </w:tc>
        <w:tc>
          <w:tcPr>
            <w:tcW w:w="4082" w:type="dxa"/>
            <w:vMerge w:val="restart"/>
            <w:tcBorders>
              <w:tl2br w:val="nil"/>
              <w:tr2bl w:val="nil"/>
            </w:tcBorders>
            <w:shd w:val="clear" w:color="auto" w:fill="auto"/>
            <w:tcMar>
              <w:top w:w="15" w:type="dxa"/>
              <w:left w:w="15" w:type="dxa"/>
              <w:right w:w="15" w:type="dxa"/>
            </w:tcMar>
            <w:vAlign w:val="center"/>
          </w:tcPr>
          <w:p w14:paraId="23E6C8C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《煤矿安全培训规定》第四十八条 煤矿安全培训主管部门或者煤矿安全监察机构发现煤矿企业有下列行为之一的，责令其限期改正，可以处一万元以上三万元以下的罚款：（四）未按照统一的培训大纲组织培训的。</w:t>
            </w:r>
          </w:p>
        </w:tc>
        <w:tc>
          <w:tcPr>
            <w:tcW w:w="459" w:type="dxa"/>
            <w:tcBorders>
              <w:tl2br w:val="nil"/>
              <w:tr2bl w:val="nil"/>
            </w:tcBorders>
            <w:shd w:val="clear" w:color="auto" w:fill="auto"/>
            <w:noWrap/>
            <w:tcMar>
              <w:top w:w="15" w:type="dxa"/>
              <w:left w:w="15" w:type="dxa"/>
              <w:right w:w="15" w:type="dxa"/>
            </w:tcMar>
            <w:vAlign w:val="center"/>
          </w:tcPr>
          <w:p w14:paraId="346D09E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3527DC5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6759D49E">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DC794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135490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7694EE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AAF7CB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812528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404179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7FECD23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5F1BD5A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39588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948EF2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936B01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51D2B0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6478E0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7FCE1D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461B70A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71FD4A8D">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EA2D1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62C121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17BD51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330FA9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12203D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09FDB8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481BD6D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未按照统一的培训大纲组织培训的，涉及的人数3人（次）以下的。</w:t>
            </w:r>
          </w:p>
        </w:tc>
        <w:tc>
          <w:tcPr>
            <w:tcW w:w="2655" w:type="dxa"/>
            <w:tcBorders>
              <w:tl2br w:val="nil"/>
              <w:tr2bl w:val="nil"/>
            </w:tcBorders>
            <w:shd w:val="clear" w:color="auto" w:fill="auto"/>
            <w:tcMar>
              <w:top w:w="15" w:type="dxa"/>
              <w:left w:w="15" w:type="dxa"/>
              <w:right w:w="15" w:type="dxa"/>
            </w:tcMar>
            <w:vAlign w:val="center"/>
          </w:tcPr>
          <w:p w14:paraId="3B19D3E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可以处1万元以上1.5万元以下的罚款。</w:t>
            </w:r>
          </w:p>
        </w:tc>
      </w:tr>
      <w:tr w14:paraId="7CA654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F6B76B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5A92C4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62F4C1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A6BCC0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68A457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189B9FC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未按照统一的培训大纲组织培训的，涉及的人数3人（次）以上5人（次）以下的。</w:t>
            </w:r>
          </w:p>
        </w:tc>
        <w:tc>
          <w:tcPr>
            <w:tcW w:w="2655" w:type="dxa"/>
            <w:tcBorders>
              <w:tl2br w:val="nil"/>
              <w:tr2bl w:val="nil"/>
            </w:tcBorders>
            <w:shd w:val="clear" w:color="auto" w:fill="auto"/>
            <w:tcMar>
              <w:top w:w="15" w:type="dxa"/>
              <w:left w:w="15" w:type="dxa"/>
              <w:right w:w="15" w:type="dxa"/>
            </w:tcMar>
            <w:vAlign w:val="center"/>
          </w:tcPr>
          <w:p w14:paraId="31802B1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可以处1.5万元以上2.5万元以下的罚款。</w:t>
            </w:r>
          </w:p>
        </w:tc>
      </w:tr>
      <w:tr w14:paraId="61F626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20C776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146E4F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83722C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923EC2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669CFE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41A48BF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未按照统一的培训大纲组织培训的，涉及的人数5人（次）上的。</w:t>
            </w:r>
          </w:p>
        </w:tc>
        <w:tc>
          <w:tcPr>
            <w:tcW w:w="2655" w:type="dxa"/>
            <w:tcBorders>
              <w:tl2br w:val="nil"/>
              <w:tr2bl w:val="nil"/>
            </w:tcBorders>
            <w:shd w:val="clear" w:color="auto" w:fill="auto"/>
            <w:tcMar>
              <w:top w:w="15" w:type="dxa"/>
              <w:left w:w="15" w:type="dxa"/>
              <w:right w:w="15" w:type="dxa"/>
            </w:tcMar>
            <w:vAlign w:val="center"/>
          </w:tcPr>
          <w:p w14:paraId="3579341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可以处2.5万元以上3万元以下的罚款。</w:t>
            </w:r>
          </w:p>
        </w:tc>
      </w:tr>
      <w:tr w14:paraId="697A1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7E34143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highlight w:val="none"/>
                <w:lang w:val="en-US" w:eastAsia="zh-CN"/>
              </w:rPr>
            </w:pPr>
            <w:r>
              <w:rPr>
                <w:rFonts w:hint="eastAsia" w:ascii="仿宋_GB2312" w:hAnsi="宋体" w:eastAsia="仿宋_GB2312" w:cs="仿宋_GB2312"/>
                <w:kern w:val="0"/>
                <w:sz w:val="18"/>
                <w:szCs w:val="18"/>
                <w:highlight w:val="none"/>
                <w:lang w:bidi="ar"/>
              </w:rPr>
              <w:t>1</w:t>
            </w:r>
            <w:del w:id="2907" w:author="LV" w:date="2026-07-14T17:01:53Z">
              <w:r>
                <w:rPr>
                  <w:rFonts w:hint="default" w:ascii="仿宋_GB2312" w:hAnsi="宋体" w:eastAsia="仿宋_GB2312" w:cs="仿宋_GB2312"/>
                  <w:kern w:val="0"/>
                  <w:sz w:val="18"/>
                  <w:szCs w:val="18"/>
                  <w:highlight w:val="none"/>
                  <w:lang w:val="en-US" w:bidi="ar"/>
                </w:rPr>
                <w:delText>7</w:delText>
              </w:r>
            </w:del>
            <w:del w:id="2908" w:author="LV" w:date="2026-07-14T17:01:53Z">
              <w:r>
                <w:rPr>
                  <w:rFonts w:hint="default" w:ascii="仿宋_GB2312" w:hAnsi="宋体" w:eastAsia="仿宋_GB2312" w:cs="仿宋_GB2312"/>
                  <w:kern w:val="0"/>
                  <w:sz w:val="18"/>
                  <w:szCs w:val="18"/>
                  <w:highlight w:val="none"/>
                  <w:lang w:val="en-US" w:eastAsia="zh-CN" w:bidi="ar"/>
                </w:rPr>
                <w:delText>8</w:delText>
              </w:r>
            </w:del>
            <w:ins w:id="2909" w:author="LV" w:date="2026-07-14T17:01:53Z">
              <w:r>
                <w:rPr>
                  <w:rFonts w:hint="eastAsia" w:ascii="仿宋_GB2312" w:hAnsi="宋体" w:eastAsia="仿宋_GB2312" w:cs="仿宋_GB2312"/>
                  <w:kern w:val="0"/>
                  <w:sz w:val="18"/>
                  <w:szCs w:val="18"/>
                  <w:highlight w:val="none"/>
                  <w:lang w:val="en-US" w:eastAsia="zh-CN" w:bidi="ar"/>
                </w:rPr>
                <w:t>8</w:t>
              </w:r>
            </w:ins>
            <w:ins w:id="2910" w:author="LV" w:date="2026-07-14T17:01:54Z">
              <w:r>
                <w:rPr>
                  <w:rFonts w:hint="eastAsia" w:ascii="仿宋_GB2312" w:hAnsi="宋体" w:eastAsia="仿宋_GB2312" w:cs="仿宋_GB2312"/>
                  <w:kern w:val="0"/>
                  <w:sz w:val="18"/>
                  <w:szCs w:val="18"/>
                  <w:highlight w:val="none"/>
                  <w:lang w:val="en-US" w:eastAsia="zh-CN" w:bidi="ar"/>
                </w:rPr>
                <w:t>5</w:t>
              </w:r>
            </w:ins>
          </w:p>
        </w:tc>
        <w:tc>
          <w:tcPr>
            <w:tcW w:w="1005" w:type="dxa"/>
            <w:vMerge w:val="restart"/>
            <w:tcBorders>
              <w:tl2br w:val="nil"/>
              <w:tr2bl w:val="nil"/>
            </w:tcBorders>
            <w:shd w:val="clear" w:color="auto" w:fill="auto"/>
            <w:tcMar>
              <w:top w:w="15" w:type="dxa"/>
              <w:left w:w="15" w:type="dxa"/>
              <w:right w:w="15" w:type="dxa"/>
            </w:tcMar>
            <w:vAlign w:val="center"/>
          </w:tcPr>
          <w:p w14:paraId="5FEBDFC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highlight w:val="none"/>
                <w:lang w:val="en-US" w:eastAsia="zh-CN"/>
              </w:rPr>
            </w:pPr>
            <w:r>
              <w:rPr>
                <w:rFonts w:hint="eastAsia" w:ascii="仿宋_GB2312" w:hAnsi="宋体" w:eastAsia="仿宋_GB2312" w:cs="仿宋_GB2312"/>
                <w:kern w:val="0"/>
                <w:sz w:val="18"/>
                <w:szCs w:val="18"/>
                <w:highlight w:val="none"/>
                <w:lang w:bidi="ar"/>
              </w:rPr>
              <w:t>煤矿不具备安全培训条件进行自主培训</w:t>
            </w:r>
            <w:r>
              <w:rPr>
                <w:rFonts w:hint="eastAsia" w:ascii="仿宋_GB2312" w:hAnsi="宋体" w:eastAsia="仿宋_GB2312" w:cs="仿宋_GB2312"/>
                <w:kern w:val="0"/>
                <w:sz w:val="18"/>
                <w:szCs w:val="18"/>
                <w:highlight w:val="none"/>
                <w:lang w:val="en-US" w:eastAsia="zh-CN" w:bidi="ar"/>
              </w:rPr>
              <w:t>的</w:t>
            </w:r>
          </w:p>
        </w:tc>
        <w:tc>
          <w:tcPr>
            <w:tcW w:w="3667" w:type="dxa"/>
            <w:vMerge w:val="restart"/>
            <w:tcBorders>
              <w:tl2br w:val="nil"/>
              <w:tr2bl w:val="nil"/>
            </w:tcBorders>
            <w:shd w:val="clear" w:color="auto" w:fill="auto"/>
            <w:tcMar>
              <w:top w:w="15" w:type="dxa"/>
              <w:left w:w="15" w:type="dxa"/>
              <w:right w:w="15" w:type="dxa"/>
            </w:tcMar>
            <w:vAlign w:val="center"/>
          </w:tcPr>
          <w:p w14:paraId="5D8EB54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《煤矿安全培训规定》第七条 对从业人员的安全技术培训，具备《安全培训机构基本条件》（AQ/T 8011）规定的安全培训条件的煤矿企业应当以自主培训为主，也可以委托具备安全培训条件的机构进行安全培训。不具备安全培训条件的煤矿企业应当委托具备安全培训条件的机构进行安全培训。从事煤矿安全培训的机构，应当将教师、教学和实习与实训设施等情况书面报告所在地省级煤矿安全培训主管部门。</w:t>
            </w:r>
          </w:p>
        </w:tc>
        <w:tc>
          <w:tcPr>
            <w:tcW w:w="4082" w:type="dxa"/>
            <w:vMerge w:val="restart"/>
            <w:tcBorders>
              <w:tl2br w:val="nil"/>
              <w:tr2bl w:val="nil"/>
            </w:tcBorders>
            <w:shd w:val="clear" w:color="auto" w:fill="auto"/>
            <w:tcMar>
              <w:top w:w="15" w:type="dxa"/>
              <w:left w:w="15" w:type="dxa"/>
              <w:right w:w="15" w:type="dxa"/>
            </w:tcMar>
            <w:vAlign w:val="center"/>
          </w:tcPr>
          <w:p w14:paraId="09F26B8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《煤矿安全培训规定》第四十八条 煤矿安全培训主管部门或者煤矿安全监察机构发现煤矿企业有下列行为之一的，责令其限期改正，可以处一万元以上三万元以下的罚款：（五）不具备安全培训条件进行自主培训，或者委托不具备安全培训条件机构进行培训的。</w:t>
            </w:r>
          </w:p>
        </w:tc>
        <w:tc>
          <w:tcPr>
            <w:tcW w:w="459" w:type="dxa"/>
            <w:tcBorders>
              <w:tl2br w:val="nil"/>
              <w:tr2bl w:val="nil"/>
            </w:tcBorders>
            <w:shd w:val="clear" w:color="auto" w:fill="auto"/>
            <w:noWrap/>
            <w:tcMar>
              <w:top w:w="15" w:type="dxa"/>
              <w:left w:w="15" w:type="dxa"/>
              <w:right w:w="15" w:type="dxa"/>
            </w:tcMar>
            <w:vAlign w:val="center"/>
          </w:tcPr>
          <w:p w14:paraId="0DADBAE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37726D8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6E6B533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EE7E3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AF5B43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D1B0A6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BE7D08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F485B4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F816E6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61700BF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7995150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03EEC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A9AB77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530722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6E2C62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7EFDAF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407B43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5195A1A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71AFB0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18436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5E25C9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14A4AC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3CC0AC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34ACC6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47A413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7A89EE8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不具备安全培训条件进行自主培训，涉及的人数3人次以下的。</w:t>
            </w:r>
          </w:p>
        </w:tc>
        <w:tc>
          <w:tcPr>
            <w:tcW w:w="2655" w:type="dxa"/>
            <w:tcBorders>
              <w:tl2br w:val="nil"/>
              <w:tr2bl w:val="nil"/>
            </w:tcBorders>
            <w:shd w:val="clear" w:color="auto" w:fill="auto"/>
            <w:tcMar>
              <w:top w:w="15" w:type="dxa"/>
              <w:left w:w="15" w:type="dxa"/>
              <w:right w:w="15" w:type="dxa"/>
            </w:tcMar>
            <w:vAlign w:val="center"/>
          </w:tcPr>
          <w:p w14:paraId="7E0DA00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可以处1万元以上1.5万元以下的罚款。</w:t>
            </w:r>
          </w:p>
        </w:tc>
      </w:tr>
      <w:tr w14:paraId="35797B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7674FD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223B5F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DBEE6D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358E65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063CF6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494F0EF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不具备安全培训条件进行自主培训，涉及的人数3人次以上5人次以下的。</w:t>
            </w:r>
          </w:p>
        </w:tc>
        <w:tc>
          <w:tcPr>
            <w:tcW w:w="2655" w:type="dxa"/>
            <w:tcBorders>
              <w:tl2br w:val="nil"/>
              <w:tr2bl w:val="nil"/>
            </w:tcBorders>
            <w:shd w:val="clear" w:color="auto" w:fill="auto"/>
            <w:tcMar>
              <w:top w:w="15" w:type="dxa"/>
              <w:left w:w="15" w:type="dxa"/>
              <w:right w:w="15" w:type="dxa"/>
            </w:tcMar>
            <w:vAlign w:val="center"/>
          </w:tcPr>
          <w:p w14:paraId="4A89AF8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w:t>
            </w:r>
            <w:r>
              <w:rPr>
                <w:rFonts w:ascii="仿宋_GB2312" w:hAnsi="宋体" w:eastAsia="仿宋_GB2312" w:cs="仿宋_GB2312"/>
                <w:kern w:val="0"/>
                <w:sz w:val="18"/>
                <w:szCs w:val="18"/>
                <w:lang w:val="is-IS" w:bidi="ar"/>
              </w:rPr>
              <w:t>1.5万元以上2.5万元以下</w:t>
            </w:r>
            <w:r>
              <w:rPr>
                <w:rFonts w:hint="eastAsia" w:ascii="仿宋_GB2312" w:hAnsi="宋体" w:eastAsia="仿宋_GB2312" w:cs="仿宋_GB2312"/>
                <w:kern w:val="0"/>
                <w:sz w:val="18"/>
                <w:szCs w:val="18"/>
                <w:lang w:bidi="ar"/>
              </w:rPr>
              <w:t>的罚款。</w:t>
            </w:r>
          </w:p>
        </w:tc>
      </w:tr>
      <w:tr w14:paraId="3F0B8B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AEDEC4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8059BF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2D19D5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5405BE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0E7F62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0742822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不具备安全培训条件进行自主培训，涉及的人数5人次上的。</w:t>
            </w:r>
          </w:p>
        </w:tc>
        <w:tc>
          <w:tcPr>
            <w:tcW w:w="2655" w:type="dxa"/>
            <w:tcBorders>
              <w:tl2br w:val="nil"/>
              <w:tr2bl w:val="nil"/>
            </w:tcBorders>
            <w:shd w:val="clear" w:color="auto" w:fill="auto"/>
            <w:tcMar>
              <w:top w:w="15" w:type="dxa"/>
              <w:left w:w="15" w:type="dxa"/>
              <w:right w:w="15" w:type="dxa"/>
            </w:tcMar>
            <w:vAlign w:val="center"/>
          </w:tcPr>
          <w:p w14:paraId="2D3FFFF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可以处2.5万元以上3万元以下的罚款。</w:t>
            </w:r>
          </w:p>
        </w:tc>
      </w:tr>
      <w:tr w14:paraId="135B20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44C932D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highlight w:val="none"/>
                <w:lang w:val="en-US" w:eastAsia="zh-CN"/>
              </w:rPr>
            </w:pPr>
            <w:r>
              <w:rPr>
                <w:rFonts w:hint="eastAsia" w:ascii="仿宋_GB2312" w:hAnsi="宋体" w:eastAsia="仿宋_GB2312" w:cs="仿宋_GB2312"/>
                <w:kern w:val="0"/>
                <w:sz w:val="18"/>
                <w:szCs w:val="18"/>
                <w:highlight w:val="none"/>
                <w:lang w:bidi="ar"/>
              </w:rPr>
              <w:t>1</w:t>
            </w:r>
            <w:del w:id="2911" w:author="LV" w:date="2026-07-14T17:02:17Z">
              <w:r>
                <w:rPr>
                  <w:rFonts w:hint="default" w:ascii="仿宋_GB2312" w:hAnsi="宋体" w:eastAsia="仿宋_GB2312" w:cs="仿宋_GB2312"/>
                  <w:kern w:val="0"/>
                  <w:sz w:val="18"/>
                  <w:szCs w:val="18"/>
                  <w:highlight w:val="none"/>
                  <w:lang w:val="en-US" w:bidi="ar"/>
                </w:rPr>
                <w:delText>7</w:delText>
              </w:r>
            </w:del>
            <w:del w:id="2912" w:author="LV" w:date="2026-07-14T17:02:17Z">
              <w:r>
                <w:rPr>
                  <w:rFonts w:hint="default" w:ascii="仿宋_GB2312" w:hAnsi="宋体" w:eastAsia="仿宋_GB2312" w:cs="仿宋_GB2312"/>
                  <w:kern w:val="0"/>
                  <w:sz w:val="18"/>
                  <w:szCs w:val="18"/>
                  <w:highlight w:val="none"/>
                  <w:lang w:val="en-US" w:eastAsia="zh-CN" w:bidi="ar"/>
                </w:rPr>
                <w:delText>9</w:delText>
              </w:r>
            </w:del>
            <w:ins w:id="2913" w:author="LV" w:date="2026-07-14T17:02:17Z">
              <w:r>
                <w:rPr>
                  <w:rFonts w:hint="eastAsia" w:ascii="仿宋_GB2312" w:hAnsi="宋体" w:eastAsia="仿宋_GB2312" w:cs="仿宋_GB2312"/>
                  <w:kern w:val="0"/>
                  <w:sz w:val="18"/>
                  <w:szCs w:val="18"/>
                  <w:highlight w:val="none"/>
                  <w:lang w:val="en-US" w:eastAsia="zh-CN" w:bidi="ar"/>
                </w:rPr>
                <w:t>8</w:t>
              </w:r>
            </w:ins>
            <w:ins w:id="2914" w:author="LV" w:date="2026-07-14T17:02:18Z">
              <w:r>
                <w:rPr>
                  <w:rFonts w:hint="eastAsia" w:ascii="仿宋_GB2312" w:hAnsi="宋体" w:eastAsia="仿宋_GB2312" w:cs="仿宋_GB2312"/>
                  <w:kern w:val="0"/>
                  <w:sz w:val="18"/>
                  <w:szCs w:val="18"/>
                  <w:highlight w:val="none"/>
                  <w:lang w:val="en-US" w:eastAsia="zh-CN" w:bidi="ar"/>
                </w:rPr>
                <w:t>6</w:t>
              </w:r>
            </w:ins>
          </w:p>
        </w:tc>
        <w:tc>
          <w:tcPr>
            <w:tcW w:w="1005" w:type="dxa"/>
            <w:vMerge w:val="restart"/>
            <w:tcBorders>
              <w:tl2br w:val="nil"/>
              <w:tr2bl w:val="nil"/>
            </w:tcBorders>
            <w:shd w:val="clear" w:color="auto" w:fill="auto"/>
            <w:tcMar>
              <w:top w:w="15" w:type="dxa"/>
              <w:left w:w="15" w:type="dxa"/>
              <w:right w:w="15" w:type="dxa"/>
            </w:tcMar>
            <w:vAlign w:val="center"/>
          </w:tcPr>
          <w:p w14:paraId="75406C1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highlight w:val="none"/>
                <w:lang w:val="en-US" w:eastAsia="zh-CN"/>
              </w:rPr>
            </w:pPr>
            <w:r>
              <w:rPr>
                <w:rFonts w:hint="eastAsia" w:ascii="仿宋_GB2312" w:hAnsi="宋体" w:eastAsia="仿宋_GB2312" w:cs="仿宋_GB2312"/>
                <w:kern w:val="0"/>
                <w:sz w:val="18"/>
                <w:szCs w:val="18"/>
                <w:highlight w:val="none"/>
                <w:lang w:bidi="ar"/>
              </w:rPr>
              <w:t>煤矿委托不具备安全培训条件机构进行培训</w:t>
            </w:r>
            <w:r>
              <w:rPr>
                <w:rFonts w:hint="eastAsia" w:ascii="仿宋_GB2312" w:hAnsi="宋体" w:eastAsia="仿宋_GB2312" w:cs="仿宋_GB2312"/>
                <w:kern w:val="0"/>
                <w:sz w:val="18"/>
                <w:szCs w:val="18"/>
                <w:highlight w:val="none"/>
                <w:lang w:val="en-US" w:eastAsia="zh-CN" w:bidi="ar"/>
              </w:rPr>
              <w:t>的</w:t>
            </w:r>
          </w:p>
        </w:tc>
        <w:tc>
          <w:tcPr>
            <w:tcW w:w="3667" w:type="dxa"/>
            <w:vMerge w:val="restart"/>
            <w:tcBorders>
              <w:tl2br w:val="nil"/>
              <w:tr2bl w:val="nil"/>
            </w:tcBorders>
            <w:shd w:val="clear" w:color="auto" w:fill="auto"/>
            <w:tcMar>
              <w:top w:w="15" w:type="dxa"/>
              <w:left w:w="15" w:type="dxa"/>
              <w:right w:w="15" w:type="dxa"/>
            </w:tcMar>
            <w:vAlign w:val="center"/>
          </w:tcPr>
          <w:p w14:paraId="07C8B38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《煤矿安全培训规定》第七条 对从业人员的安全技术培训，具备《安全培训机构基本条件》（AQ/T 8011）规定的安全培训条件的煤矿企业应当以自主培训为主，也可以委托具备安全培训条件的机构进行安全培训。不具备安全培训条件的煤矿企业应当委托具备安全培训条件的机构进行安全培训。从事煤矿安全培训的机构，应当将教师、教学和实习与实训设施等情况书面报告所在地省级煤矿安全培训主管部门。</w:t>
            </w:r>
          </w:p>
        </w:tc>
        <w:tc>
          <w:tcPr>
            <w:tcW w:w="4082" w:type="dxa"/>
            <w:vMerge w:val="restart"/>
            <w:tcBorders>
              <w:tl2br w:val="nil"/>
              <w:tr2bl w:val="nil"/>
            </w:tcBorders>
            <w:shd w:val="clear" w:color="auto" w:fill="auto"/>
            <w:tcMar>
              <w:top w:w="15" w:type="dxa"/>
              <w:left w:w="15" w:type="dxa"/>
              <w:right w:w="15" w:type="dxa"/>
            </w:tcMar>
            <w:vAlign w:val="center"/>
          </w:tcPr>
          <w:p w14:paraId="28FC7F7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《煤矿安全培训规定》第四十八条 煤矿安全培训主管部门或者煤矿安全监察机构发现煤矿企业有下列行为之一的，责令其限期改正，可以处一万元以上三万元以下的罚款：（五）不具备安全培训条件进行自主培训，或者委托不具备安全培训条件机构进行培训的。</w:t>
            </w:r>
          </w:p>
        </w:tc>
        <w:tc>
          <w:tcPr>
            <w:tcW w:w="459" w:type="dxa"/>
            <w:tcBorders>
              <w:tl2br w:val="nil"/>
              <w:tr2bl w:val="nil"/>
            </w:tcBorders>
            <w:shd w:val="clear" w:color="auto" w:fill="auto"/>
            <w:noWrap/>
            <w:tcMar>
              <w:top w:w="15" w:type="dxa"/>
              <w:left w:w="15" w:type="dxa"/>
              <w:right w:w="15" w:type="dxa"/>
            </w:tcMar>
            <w:vAlign w:val="center"/>
          </w:tcPr>
          <w:p w14:paraId="1C3B013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3E89A70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8339BA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82615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CBF617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1DA746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5D7052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D84031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F485F4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5917DEA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7325686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A149C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D03CBC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DC465E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F4644A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0E4C00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7CA1EA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75761FD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6BADA54">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75F54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4FD0E5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98403B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C0A01D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028DE5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9D8335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365D9E5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委托不具备安全培训条件机构进行培训的，涉及的人数3人次以下的。</w:t>
            </w:r>
          </w:p>
        </w:tc>
        <w:tc>
          <w:tcPr>
            <w:tcW w:w="2655" w:type="dxa"/>
            <w:tcBorders>
              <w:tl2br w:val="nil"/>
              <w:tr2bl w:val="nil"/>
            </w:tcBorders>
            <w:shd w:val="clear" w:color="auto" w:fill="auto"/>
            <w:tcMar>
              <w:top w:w="15" w:type="dxa"/>
              <w:left w:w="15" w:type="dxa"/>
              <w:right w:w="15" w:type="dxa"/>
            </w:tcMar>
            <w:vAlign w:val="center"/>
          </w:tcPr>
          <w:p w14:paraId="44F8FB4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可以处1万元以上1.5万元以下的罚款。</w:t>
            </w:r>
          </w:p>
        </w:tc>
      </w:tr>
      <w:tr w14:paraId="33E8EF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D98FED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097D6D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A811FB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AFA910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8047C2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719C4D2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委托不具备安全培训条件机构进行培训的，涉及的人数3人次以上5人次以下的。</w:t>
            </w:r>
          </w:p>
        </w:tc>
        <w:tc>
          <w:tcPr>
            <w:tcW w:w="2655" w:type="dxa"/>
            <w:tcBorders>
              <w:tl2br w:val="nil"/>
              <w:tr2bl w:val="nil"/>
            </w:tcBorders>
            <w:shd w:val="clear" w:color="auto" w:fill="auto"/>
            <w:tcMar>
              <w:top w:w="15" w:type="dxa"/>
              <w:left w:w="15" w:type="dxa"/>
              <w:right w:w="15" w:type="dxa"/>
            </w:tcMar>
            <w:vAlign w:val="center"/>
          </w:tcPr>
          <w:p w14:paraId="35C3115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w:t>
            </w:r>
            <w:r>
              <w:rPr>
                <w:rFonts w:ascii="仿宋_GB2312" w:hAnsi="宋体" w:eastAsia="仿宋_GB2312" w:cs="仿宋_GB2312"/>
                <w:kern w:val="0"/>
                <w:sz w:val="18"/>
                <w:szCs w:val="18"/>
                <w:lang w:val="is-IS" w:bidi="ar"/>
              </w:rPr>
              <w:t>1.5万元以上2.5万元以下</w:t>
            </w:r>
            <w:r>
              <w:rPr>
                <w:rFonts w:hint="eastAsia" w:ascii="仿宋_GB2312" w:hAnsi="宋体" w:eastAsia="仿宋_GB2312" w:cs="仿宋_GB2312"/>
                <w:kern w:val="0"/>
                <w:sz w:val="18"/>
                <w:szCs w:val="18"/>
                <w:lang w:bidi="ar"/>
              </w:rPr>
              <w:t>的罚款。</w:t>
            </w:r>
          </w:p>
        </w:tc>
      </w:tr>
      <w:tr w14:paraId="775BCD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A62DB6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5AA2F6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424F4A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8BE851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A832F0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761CA1A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委托不具备安全培训条件机构进行培训的，涉及的人数5人次上的。</w:t>
            </w:r>
          </w:p>
        </w:tc>
        <w:tc>
          <w:tcPr>
            <w:tcW w:w="2655" w:type="dxa"/>
            <w:tcBorders>
              <w:tl2br w:val="nil"/>
              <w:tr2bl w:val="nil"/>
            </w:tcBorders>
            <w:shd w:val="clear" w:color="auto" w:fill="auto"/>
            <w:tcMar>
              <w:top w:w="15" w:type="dxa"/>
              <w:left w:w="15" w:type="dxa"/>
              <w:right w:w="15" w:type="dxa"/>
            </w:tcMar>
            <w:vAlign w:val="center"/>
          </w:tcPr>
          <w:p w14:paraId="435DB4A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可以处2.5万元以上3万元以下的罚款。</w:t>
            </w:r>
          </w:p>
        </w:tc>
      </w:tr>
      <w:tr w14:paraId="5BE6EA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3720FCD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highlight w:val="none"/>
                <w:lang w:val="en-US" w:eastAsia="zh-CN"/>
              </w:rPr>
            </w:pPr>
            <w:r>
              <w:rPr>
                <w:rFonts w:hint="eastAsia" w:ascii="仿宋_GB2312" w:hAnsi="宋体" w:eastAsia="仿宋_GB2312" w:cs="仿宋_GB2312"/>
                <w:kern w:val="0"/>
                <w:sz w:val="18"/>
                <w:szCs w:val="18"/>
                <w:highlight w:val="none"/>
                <w:lang w:bidi="ar"/>
              </w:rPr>
              <w:t>1</w:t>
            </w:r>
            <w:r>
              <w:rPr>
                <w:rFonts w:hint="eastAsia" w:ascii="仿宋_GB2312" w:hAnsi="宋体" w:eastAsia="仿宋_GB2312" w:cs="仿宋_GB2312"/>
                <w:kern w:val="0"/>
                <w:sz w:val="18"/>
                <w:szCs w:val="18"/>
                <w:highlight w:val="none"/>
                <w:lang w:val="en-US" w:eastAsia="zh-CN" w:bidi="ar"/>
              </w:rPr>
              <w:t>8</w:t>
            </w:r>
            <w:del w:id="2915" w:author="LV" w:date="2026-07-14T17:02:23Z">
              <w:r>
                <w:rPr>
                  <w:rFonts w:hint="default" w:ascii="仿宋_GB2312" w:hAnsi="宋体" w:eastAsia="仿宋_GB2312" w:cs="仿宋_GB2312"/>
                  <w:kern w:val="0"/>
                  <w:sz w:val="18"/>
                  <w:szCs w:val="18"/>
                  <w:highlight w:val="none"/>
                  <w:lang w:val="en-US" w:eastAsia="zh-CN" w:bidi="ar"/>
                </w:rPr>
                <w:delText>0</w:delText>
              </w:r>
            </w:del>
            <w:ins w:id="2916" w:author="LV" w:date="2026-07-14T17:02:23Z">
              <w:r>
                <w:rPr>
                  <w:rFonts w:hint="eastAsia" w:ascii="仿宋_GB2312" w:hAnsi="宋体" w:eastAsia="仿宋_GB2312" w:cs="仿宋_GB2312"/>
                  <w:kern w:val="0"/>
                  <w:sz w:val="18"/>
                  <w:szCs w:val="18"/>
                  <w:highlight w:val="none"/>
                  <w:lang w:val="en-US" w:eastAsia="zh-CN" w:bidi="ar"/>
                </w:rPr>
                <w:t>7</w:t>
              </w:r>
            </w:ins>
          </w:p>
        </w:tc>
        <w:tc>
          <w:tcPr>
            <w:tcW w:w="1005" w:type="dxa"/>
            <w:vMerge w:val="restart"/>
            <w:tcBorders>
              <w:tl2br w:val="nil"/>
              <w:tr2bl w:val="nil"/>
            </w:tcBorders>
            <w:shd w:val="clear" w:color="auto" w:fill="auto"/>
            <w:tcMar>
              <w:top w:w="15" w:type="dxa"/>
              <w:left w:w="15" w:type="dxa"/>
              <w:right w:w="15" w:type="dxa"/>
            </w:tcMar>
            <w:vAlign w:val="center"/>
          </w:tcPr>
          <w:p w14:paraId="739D84F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highlight w:val="none"/>
                <w:lang w:val="en-US" w:eastAsia="zh-CN"/>
              </w:rPr>
            </w:pPr>
            <w:r>
              <w:rPr>
                <w:rFonts w:hint="eastAsia" w:ascii="仿宋_GB2312" w:hAnsi="宋体" w:eastAsia="仿宋_GB2312" w:cs="仿宋_GB2312"/>
                <w:kern w:val="0"/>
                <w:sz w:val="18"/>
                <w:szCs w:val="18"/>
                <w:highlight w:val="none"/>
                <w:lang w:bidi="ar"/>
              </w:rPr>
              <w:t>煤矿新招的井下作业人员未经实习期满独立上岗作业</w:t>
            </w:r>
            <w:r>
              <w:rPr>
                <w:rFonts w:hint="eastAsia" w:ascii="仿宋_GB2312" w:hAnsi="宋体" w:eastAsia="仿宋_GB2312" w:cs="仿宋_GB2312"/>
                <w:kern w:val="0"/>
                <w:sz w:val="18"/>
                <w:szCs w:val="18"/>
                <w:highlight w:val="none"/>
                <w:lang w:val="en-US" w:eastAsia="zh-CN" w:bidi="ar"/>
              </w:rPr>
              <w:t>的</w:t>
            </w:r>
          </w:p>
        </w:tc>
        <w:tc>
          <w:tcPr>
            <w:tcW w:w="3667" w:type="dxa"/>
            <w:vMerge w:val="restart"/>
            <w:tcBorders>
              <w:tl2br w:val="nil"/>
              <w:tr2bl w:val="nil"/>
            </w:tcBorders>
            <w:shd w:val="clear" w:color="auto" w:fill="auto"/>
            <w:tcMar>
              <w:top w:w="15" w:type="dxa"/>
              <w:left w:w="15" w:type="dxa"/>
              <w:right w:w="15" w:type="dxa"/>
            </w:tcMar>
            <w:vAlign w:val="center"/>
          </w:tcPr>
          <w:p w14:paraId="24911F5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《安全生产培训管理办法》第十三条第二款   矿山新招的井下作业人员和危险物品生产经营单位新招的危险工艺操作岗位人员，除按照规定进行安全培训外，还应当在有经验的职工带领下实习满2个月后，方可独立上岗作业。</w:t>
            </w:r>
          </w:p>
          <w:p w14:paraId="36DA0E9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tc>
        <w:tc>
          <w:tcPr>
            <w:tcW w:w="4082" w:type="dxa"/>
            <w:vMerge w:val="restart"/>
            <w:tcBorders>
              <w:tl2br w:val="nil"/>
              <w:tr2bl w:val="nil"/>
            </w:tcBorders>
            <w:shd w:val="clear" w:color="auto" w:fill="auto"/>
            <w:tcMar>
              <w:top w:w="15" w:type="dxa"/>
              <w:left w:w="15" w:type="dxa"/>
              <w:right w:w="15" w:type="dxa"/>
            </w:tcMar>
            <w:vAlign w:val="center"/>
          </w:tcPr>
          <w:p w14:paraId="53DEE996">
            <w:pPr>
              <w:keepNext w:val="0"/>
              <w:keepLines w:val="0"/>
              <w:widowControl/>
              <w:suppressLineNumbers w:val="0"/>
              <w:jc w:val="left"/>
            </w:pPr>
            <w:r>
              <w:rPr>
                <w:rFonts w:ascii="仿宋_GB2312" w:hAnsi="宋体" w:eastAsia="仿宋_GB2312" w:cs="仿宋_GB2312"/>
                <w:color w:val="000000"/>
                <w:kern w:val="0"/>
                <w:sz w:val="18"/>
                <w:szCs w:val="18"/>
                <w:lang w:val="en-US" w:eastAsia="zh-CN" w:bidi="ar"/>
              </w:rPr>
              <w:t xml:space="preserve">《安全生产培训管理办法》第三十六条 生产经营单 </w:t>
            </w:r>
          </w:p>
          <w:p w14:paraId="1D9A7769">
            <w:pPr>
              <w:keepNext w:val="0"/>
              <w:keepLines w:val="0"/>
              <w:widowControl/>
              <w:suppressLineNumbers w:val="0"/>
              <w:jc w:val="left"/>
            </w:pPr>
            <w:r>
              <w:rPr>
                <w:rFonts w:hint="eastAsia" w:ascii="仿宋_GB2312" w:hAnsi="宋体" w:eastAsia="仿宋_GB2312" w:cs="仿宋_GB2312"/>
                <w:color w:val="000000"/>
                <w:kern w:val="0"/>
                <w:sz w:val="18"/>
                <w:szCs w:val="18"/>
                <w:lang w:val="en-US" w:eastAsia="zh-CN" w:bidi="ar"/>
              </w:rPr>
              <w:t>位有下列情形之一的，责令改正，处3万元以下的罚款：（二）矿山新招的井下作业人员和危险物品生产经营单位新招的危险工艺操作岗位人员，未经实习期满独立上岗作业的。</w:t>
            </w:r>
          </w:p>
          <w:p w14:paraId="6413AD5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3AC2D8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54CFE35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9007594">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ED4A1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1C0501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A10DB4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A86784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F3F4ED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51DF8E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5A36C93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2741349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ED7AE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F02894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E4F46D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7EC5D1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B744A5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E19B13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377EBBD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6B07CBF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A23CD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6F4F55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C72E4D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217D5A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26D34D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FCD1BB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386518F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有3名以下新招的井下作业人员未经实习期满独立上岗作业的</w:t>
            </w:r>
          </w:p>
        </w:tc>
        <w:tc>
          <w:tcPr>
            <w:tcW w:w="2655" w:type="dxa"/>
            <w:tcBorders>
              <w:tl2br w:val="nil"/>
              <w:tr2bl w:val="nil"/>
            </w:tcBorders>
            <w:shd w:val="clear" w:color="auto" w:fill="auto"/>
            <w:tcMar>
              <w:top w:w="15" w:type="dxa"/>
              <w:left w:w="15" w:type="dxa"/>
              <w:right w:w="15" w:type="dxa"/>
            </w:tcMar>
            <w:vAlign w:val="center"/>
          </w:tcPr>
          <w:p w14:paraId="13716CF0">
            <w:pPr>
              <w:keepNext w:val="0"/>
              <w:keepLines w:val="0"/>
              <w:widowControl/>
              <w:suppressLineNumbers w:val="0"/>
              <w:jc w:val="left"/>
            </w:pPr>
            <w:r>
              <w:rPr>
                <w:rFonts w:ascii="仿宋_GB2312" w:hAnsi="宋体" w:eastAsia="仿宋_GB2312" w:cs="仿宋_GB2312"/>
                <w:color w:val="000000"/>
                <w:kern w:val="0"/>
                <w:sz w:val="18"/>
                <w:szCs w:val="18"/>
                <w:lang w:val="en-US" w:eastAsia="zh-CN" w:bidi="ar"/>
              </w:rPr>
              <w:t>处1万元以上1.5万元以下的罚</w:t>
            </w:r>
            <w:r>
              <w:rPr>
                <w:rFonts w:hint="eastAsia" w:ascii="仿宋_GB2312" w:hAnsi="宋体" w:eastAsia="仿宋_GB2312" w:cs="仿宋_GB2312"/>
                <w:color w:val="000000"/>
                <w:kern w:val="0"/>
                <w:sz w:val="18"/>
                <w:szCs w:val="18"/>
                <w:lang w:val="en-US" w:eastAsia="zh-CN" w:bidi="ar"/>
              </w:rPr>
              <w:t>款。</w:t>
            </w:r>
          </w:p>
          <w:p w14:paraId="48EC026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p>
        </w:tc>
      </w:tr>
      <w:tr w14:paraId="3ED9BE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C63E0B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5D6A3D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7A5FCA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566C39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694384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49CABF7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有3名以上5名以下新招的井下作业人员未经实习期满独立上岗作业的</w:t>
            </w:r>
          </w:p>
        </w:tc>
        <w:tc>
          <w:tcPr>
            <w:tcW w:w="2655" w:type="dxa"/>
            <w:tcBorders>
              <w:tl2br w:val="nil"/>
              <w:tr2bl w:val="nil"/>
            </w:tcBorders>
            <w:shd w:val="clear" w:color="auto" w:fill="auto"/>
            <w:tcMar>
              <w:top w:w="15" w:type="dxa"/>
              <w:left w:w="15" w:type="dxa"/>
              <w:right w:w="15" w:type="dxa"/>
            </w:tcMar>
            <w:vAlign w:val="center"/>
          </w:tcPr>
          <w:p w14:paraId="2C1621FF">
            <w:pPr>
              <w:keepNext w:val="0"/>
              <w:keepLines w:val="0"/>
              <w:widowControl/>
              <w:suppressLineNumbers w:val="0"/>
              <w:jc w:val="left"/>
            </w:pPr>
            <w:r>
              <w:rPr>
                <w:rFonts w:ascii="仿宋_GB2312" w:hAnsi="宋体" w:eastAsia="仿宋_GB2312" w:cs="仿宋_GB2312"/>
                <w:color w:val="000000"/>
                <w:kern w:val="0"/>
                <w:sz w:val="18"/>
                <w:szCs w:val="18"/>
                <w:lang w:val="en-US" w:eastAsia="zh-CN" w:bidi="ar"/>
              </w:rPr>
              <w:t xml:space="preserve">处1.5万元以上2.5万元以下的罚 </w:t>
            </w:r>
          </w:p>
          <w:p w14:paraId="217F6A5B">
            <w:pPr>
              <w:keepNext w:val="0"/>
              <w:keepLines w:val="0"/>
              <w:widowControl/>
              <w:suppressLineNumbers w:val="0"/>
              <w:jc w:val="left"/>
            </w:pPr>
            <w:r>
              <w:rPr>
                <w:rFonts w:hint="eastAsia" w:ascii="仿宋_GB2312" w:hAnsi="宋体" w:eastAsia="仿宋_GB2312" w:cs="仿宋_GB2312"/>
                <w:color w:val="000000"/>
                <w:kern w:val="0"/>
                <w:sz w:val="18"/>
                <w:szCs w:val="18"/>
                <w:lang w:val="en-US" w:eastAsia="zh-CN" w:bidi="ar"/>
              </w:rPr>
              <w:t>款。</w:t>
            </w:r>
          </w:p>
          <w:p w14:paraId="3C44F44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w:t>
            </w:r>
          </w:p>
        </w:tc>
      </w:tr>
      <w:tr w14:paraId="01CBD0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F51E15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86E261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4A4573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4F4063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067E11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08653D5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有5名以上新招的井下作业人员未经实习期满独立上岗作业的</w:t>
            </w:r>
          </w:p>
        </w:tc>
        <w:tc>
          <w:tcPr>
            <w:tcW w:w="2655" w:type="dxa"/>
            <w:tcBorders>
              <w:tl2br w:val="nil"/>
              <w:tr2bl w:val="nil"/>
            </w:tcBorders>
            <w:shd w:val="clear" w:color="auto" w:fill="auto"/>
            <w:tcMar>
              <w:top w:w="15" w:type="dxa"/>
              <w:left w:w="15" w:type="dxa"/>
              <w:right w:w="15" w:type="dxa"/>
            </w:tcMar>
            <w:vAlign w:val="center"/>
          </w:tcPr>
          <w:p w14:paraId="6DC81EA2">
            <w:pPr>
              <w:keepNext w:val="0"/>
              <w:keepLines w:val="0"/>
              <w:widowControl/>
              <w:suppressLineNumbers w:val="0"/>
              <w:jc w:val="left"/>
            </w:pPr>
            <w:r>
              <w:rPr>
                <w:rFonts w:ascii="仿宋_GB2312" w:hAnsi="宋体" w:eastAsia="仿宋_GB2312" w:cs="仿宋_GB2312"/>
                <w:color w:val="000000"/>
                <w:kern w:val="0"/>
                <w:sz w:val="18"/>
                <w:szCs w:val="18"/>
                <w:lang w:val="en-US" w:eastAsia="zh-CN" w:bidi="ar"/>
              </w:rPr>
              <w:t>处2.5万元以上3万元以下的罚</w:t>
            </w:r>
            <w:r>
              <w:rPr>
                <w:rFonts w:hint="eastAsia" w:ascii="仿宋_GB2312" w:hAnsi="宋体" w:eastAsia="仿宋_GB2312" w:cs="仿宋_GB2312"/>
                <w:color w:val="000000"/>
                <w:kern w:val="0"/>
                <w:sz w:val="18"/>
                <w:szCs w:val="18"/>
                <w:lang w:val="en-US" w:eastAsia="zh-CN" w:bidi="ar"/>
              </w:rPr>
              <w:t>款。</w:t>
            </w:r>
          </w:p>
          <w:p w14:paraId="54053B0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p>
        </w:tc>
      </w:tr>
      <w:tr w14:paraId="58C2A9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del w:id="2917" w:author="LV" w:date="2026-07-14T17:02:34Z"/>
        </w:trPr>
        <w:tc>
          <w:tcPr>
            <w:tcW w:w="418" w:type="dxa"/>
            <w:vMerge w:val="restart"/>
            <w:tcBorders>
              <w:tl2br w:val="nil"/>
              <w:tr2bl w:val="nil"/>
            </w:tcBorders>
            <w:shd w:val="clear" w:color="auto" w:fill="auto"/>
            <w:noWrap/>
            <w:tcMar>
              <w:top w:w="15" w:type="dxa"/>
              <w:left w:w="15" w:type="dxa"/>
              <w:right w:w="15" w:type="dxa"/>
            </w:tcMar>
            <w:vAlign w:val="center"/>
          </w:tcPr>
          <w:p w14:paraId="3DBE054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del w:id="2918" w:author="LV" w:date="2026-07-14T17:02:34Z"/>
                <w:rFonts w:hint="default" w:ascii="仿宋_GB2312" w:hAnsi="宋体" w:eastAsia="仿宋_GB2312" w:cs="仿宋_GB2312"/>
                <w:sz w:val="18"/>
                <w:szCs w:val="18"/>
                <w:lang w:val="en-US" w:eastAsia="zh-CN"/>
              </w:rPr>
            </w:pPr>
            <w:del w:id="2919" w:author="LV" w:date="2026-07-14T17:02:34Z">
              <w:r>
                <w:rPr>
                  <w:rFonts w:hint="eastAsia" w:ascii="仿宋_GB2312" w:hAnsi="宋体" w:eastAsia="仿宋_GB2312" w:cs="仿宋_GB2312"/>
                  <w:sz w:val="18"/>
                  <w:szCs w:val="18"/>
                  <w:lang w:val="en-US" w:eastAsia="zh-CN"/>
                </w:rPr>
                <w:delText>181</w:delText>
              </w:r>
            </w:del>
          </w:p>
        </w:tc>
        <w:tc>
          <w:tcPr>
            <w:tcW w:w="1005" w:type="dxa"/>
            <w:vMerge w:val="restart"/>
            <w:tcBorders>
              <w:tl2br w:val="nil"/>
              <w:tr2bl w:val="nil"/>
            </w:tcBorders>
            <w:shd w:val="clear" w:color="auto" w:fill="auto"/>
            <w:tcMar>
              <w:top w:w="15" w:type="dxa"/>
              <w:left w:w="15" w:type="dxa"/>
              <w:right w:w="15" w:type="dxa"/>
            </w:tcMar>
            <w:vAlign w:val="center"/>
          </w:tcPr>
          <w:p w14:paraId="15E26893">
            <w:pPr>
              <w:keepNext w:val="0"/>
              <w:keepLines w:val="0"/>
              <w:pageBreakBefore w:val="0"/>
              <w:widowControl w:val="0"/>
              <w:kinsoku/>
              <w:wordWrap/>
              <w:overflowPunct w:val="0"/>
              <w:topLinePunct w:val="0"/>
              <w:autoSpaceDE/>
              <w:autoSpaceDN/>
              <w:bidi w:val="0"/>
              <w:adjustRightInd/>
              <w:snapToGrid/>
              <w:spacing w:line="280" w:lineRule="exact"/>
              <w:rPr>
                <w:del w:id="2920" w:author="LV" w:date="2026-07-14T17:02:34Z"/>
                <w:rFonts w:ascii="仿宋_GB2312" w:hAnsi="宋体" w:eastAsia="仿宋_GB2312" w:cs="仿宋_GB2312"/>
                <w:sz w:val="18"/>
                <w:szCs w:val="18"/>
              </w:rPr>
            </w:pPr>
            <w:del w:id="2921" w:author="LV" w:date="2026-07-14T17:02:34Z">
              <w:r>
                <w:rPr>
                  <w:rFonts w:hint="eastAsia" w:ascii="仿宋_GB2312" w:hAnsi="宋体" w:eastAsia="仿宋_GB2312" w:cs="仿宋_GB2312"/>
                  <w:sz w:val="18"/>
                  <w:szCs w:val="18"/>
                  <w:lang w:val="en-US" w:eastAsia="zh-CN"/>
                </w:rPr>
                <w:delText>删除</w:delText>
              </w:r>
            </w:del>
          </w:p>
        </w:tc>
        <w:tc>
          <w:tcPr>
            <w:tcW w:w="3667" w:type="dxa"/>
            <w:vMerge w:val="restart"/>
            <w:tcBorders>
              <w:tl2br w:val="nil"/>
              <w:tr2bl w:val="nil"/>
            </w:tcBorders>
            <w:shd w:val="clear" w:color="auto" w:fill="auto"/>
            <w:tcMar>
              <w:top w:w="15" w:type="dxa"/>
              <w:left w:w="15" w:type="dxa"/>
              <w:right w:w="15" w:type="dxa"/>
            </w:tcMar>
            <w:vAlign w:val="center"/>
          </w:tcPr>
          <w:p w14:paraId="6C31F576">
            <w:pPr>
              <w:keepNext w:val="0"/>
              <w:keepLines w:val="0"/>
              <w:pageBreakBefore w:val="0"/>
              <w:widowControl w:val="0"/>
              <w:kinsoku/>
              <w:wordWrap/>
              <w:overflowPunct w:val="0"/>
              <w:topLinePunct w:val="0"/>
              <w:autoSpaceDE/>
              <w:autoSpaceDN/>
              <w:bidi w:val="0"/>
              <w:adjustRightInd/>
              <w:snapToGrid/>
              <w:spacing w:line="280" w:lineRule="exact"/>
              <w:rPr>
                <w:del w:id="2922" w:author="LV" w:date="2026-07-14T17:02:34Z"/>
                <w:rFonts w:ascii="仿宋_GB2312" w:hAnsi="宋体" w:eastAsia="仿宋_GB2312" w:cs="仿宋_GB2312"/>
                <w:sz w:val="18"/>
                <w:szCs w:val="18"/>
              </w:rPr>
            </w:pPr>
          </w:p>
        </w:tc>
        <w:tc>
          <w:tcPr>
            <w:tcW w:w="4082" w:type="dxa"/>
            <w:vMerge w:val="restart"/>
            <w:tcBorders>
              <w:tl2br w:val="nil"/>
              <w:tr2bl w:val="nil"/>
            </w:tcBorders>
            <w:shd w:val="clear" w:color="auto" w:fill="auto"/>
            <w:tcMar>
              <w:top w:w="15" w:type="dxa"/>
              <w:left w:w="15" w:type="dxa"/>
              <w:right w:w="15" w:type="dxa"/>
            </w:tcMar>
            <w:vAlign w:val="center"/>
          </w:tcPr>
          <w:p w14:paraId="0E851441">
            <w:pPr>
              <w:keepNext w:val="0"/>
              <w:keepLines w:val="0"/>
              <w:pageBreakBefore w:val="0"/>
              <w:widowControl w:val="0"/>
              <w:kinsoku/>
              <w:wordWrap/>
              <w:overflowPunct w:val="0"/>
              <w:topLinePunct w:val="0"/>
              <w:autoSpaceDE/>
              <w:autoSpaceDN/>
              <w:bidi w:val="0"/>
              <w:adjustRightInd/>
              <w:snapToGrid/>
              <w:spacing w:line="280" w:lineRule="exact"/>
              <w:rPr>
                <w:del w:id="2923" w:author="LV" w:date="2026-07-14T17:02:34Z"/>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839685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del w:id="2924" w:author="LV" w:date="2026-07-14T17:02:34Z"/>
                <w:rFonts w:hint="eastAsia" w:ascii="仿宋_GB2312" w:hAnsi="宋体" w:eastAsia="仿宋_GB2312" w:cs="仿宋_GB2312"/>
                <w:kern w:val="2"/>
                <w:sz w:val="18"/>
                <w:szCs w:val="18"/>
                <w:lang w:val="en-US" w:eastAsia="zh-CN" w:bidi="ar-SA"/>
              </w:rPr>
            </w:pPr>
          </w:p>
        </w:tc>
        <w:tc>
          <w:tcPr>
            <w:tcW w:w="1829" w:type="dxa"/>
            <w:tcBorders>
              <w:tl2br w:val="nil"/>
              <w:tr2bl w:val="nil"/>
            </w:tcBorders>
            <w:shd w:val="clear" w:color="auto" w:fill="auto"/>
            <w:tcMar>
              <w:top w:w="15" w:type="dxa"/>
              <w:left w:w="15" w:type="dxa"/>
              <w:right w:w="15" w:type="dxa"/>
            </w:tcMar>
            <w:vAlign w:val="center"/>
          </w:tcPr>
          <w:p w14:paraId="5BF471B7">
            <w:pPr>
              <w:keepNext w:val="0"/>
              <w:keepLines w:val="0"/>
              <w:pageBreakBefore w:val="0"/>
              <w:widowControl w:val="0"/>
              <w:kinsoku/>
              <w:wordWrap/>
              <w:overflowPunct w:val="0"/>
              <w:topLinePunct w:val="0"/>
              <w:autoSpaceDE/>
              <w:autoSpaceDN/>
              <w:bidi w:val="0"/>
              <w:adjustRightInd/>
              <w:snapToGrid/>
              <w:spacing w:line="280" w:lineRule="exact"/>
              <w:textAlignment w:val="center"/>
              <w:rPr>
                <w:del w:id="2925" w:author="LV" w:date="2026-07-14T17:02:34Z"/>
                <w:rFonts w:hint="eastAsia" w:ascii="仿宋_GB2312" w:hAnsi="宋体" w:eastAsia="仿宋_GB2312" w:cs="仿宋_GB2312"/>
                <w:kern w:val="2"/>
                <w:sz w:val="18"/>
                <w:szCs w:val="18"/>
                <w:lang w:val="en-US" w:eastAsia="zh-CN" w:bidi="ar-SA"/>
              </w:rPr>
            </w:pPr>
          </w:p>
        </w:tc>
        <w:tc>
          <w:tcPr>
            <w:tcW w:w="2655" w:type="dxa"/>
            <w:tcBorders>
              <w:tl2br w:val="nil"/>
              <w:tr2bl w:val="nil"/>
            </w:tcBorders>
            <w:shd w:val="clear" w:color="auto" w:fill="auto"/>
            <w:tcMar>
              <w:top w:w="15" w:type="dxa"/>
              <w:left w:w="15" w:type="dxa"/>
              <w:right w:w="15" w:type="dxa"/>
            </w:tcMar>
            <w:vAlign w:val="center"/>
          </w:tcPr>
          <w:p w14:paraId="6D43EF8F">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del w:id="2926" w:author="LV" w:date="2026-07-14T17:02:34Z"/>
                <w:rFonts w:hint="eastAsia" w:ascii="仿宋_GB2312" w:hAnsi="宋体" w:eastAsia="仿宋_GB2312" w:cs="仿宋_GB2312"/>
                <w:kern w:val="2"/>
                <w:sz w:val="18"/>
                <w:szCs w:val="18"/>
                <w:lang w:val="en-US" w:eastAsia="zh-CN" w:bidi="ar-SA"/>
              </w:rPr>
            </w:pPr>
          </w:p>
        </w:tc>
      </w:tr>
      <w:tr w14:paraId="3EB8F4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del w:id="2927" w:author="LV" w:date="2026-07-14T17:02:34Z"/>
        </w:trPr>
        <w:tc>
          <w:tcPr>
            <w:tcW w:w="418" w:type="dxa"/>
            <w:vMerge w:val="continue"/>
            <w:tcBorders>
              <w:tl2br w:val="nil"/>
              <w:tr2bl w:val="nil"/>
            </w:tcBorders>
            <w:shd w:val="clear" w:color="auto" w:fill="auto"/>
            <w:noWrap/>
            <w:tcMar>
              <w:top w:w="15" w:type="dxa"/>
              <w:left w:w="15" w:type="dxa"/>
              <w:right w:w="15" w:type="dxa"/>
            </w:tcMar>
            <w:vAlign w:val="center"/>
          </w:tcPr>
          <w:p w14:paraId="0EA7F73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del w:id="2928" w:author="LV" w:date="2026-07-14T17:02:34Z"/>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E50CCE3">
            <w:pPr>
              <w:keepNext w:val="0"/>
              <w:keepLines w:val="0"/>
              <w:pageBreakBefore w:val="0"/>
              <w:widowControl w:val="0"/>
              <w:kinsoku/>
              <w:wordWrap/>
              <w:overflowPunct w:val="0"/>
              <w:topLinePunct w:val="0"/>
              <w:autoSpaceDE/>
              <w:autoSpaceDN/>
              <w:bidi w:val="0"/>
              <w:adjustRightInd/>
              <w:snapToGrid/>
              <w:spacing w:line="280" w:lineRule="exact"/>
              <w:rPr>
                <w:del w:id="2929" w:author="LV" w:date="2026-07-14T17:02:34Z"/>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9F38602">
            <w:pPr>
              <w:keepNext w:val="0"/>
              <w:keepLines w:val="0"/>
              <w:pageBreakBefore w:val="0"/>
              <w:widowControl w:val="0"/>
              <w:kinsoku/>
              <w:wordWrap/>
              <w:overflowPunct w:val="0"/>
              <w:topLinePunct w:val="0"/>
              <w:autoSpaceDE/>
              <w:autoSpaceDN/>
              <w:bidi w:val="0"/>
              <w:adjustRightInd/>
              <w:snapToGrid/>
              <w:spacing w:line="280" w:lineRule="exact"/>
              <w:rPr>
                <w:del w:id="2930" w:author="LV" w:date="2026-07-14T17:02:34Z"/>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03175E4">
            <w:pPr>
              <w:keepNext w:val="0"/>
              <w:keepLines w:val="0"/>
              <w:pageBreakBefore w:val="0"/>
              <w:widowControl w:val="0"/>
              <w:kinsoku/>
              <w:wordWrap/>
              <w:overflowPunct w:val="0"/>
              <w:topLinePunct w:val="0"/>
              <w:autoSpaceDE/>
              <w:autoSpaceDN/>
              <w:bidi w:val="0"/>
              <w:adjustRightInd/>
              <w:snapToGrid/>
              <w:spacing w:line="280" w:lineRule="exact"/>
              <w:rPr>
                <w:del w:id="2931" w:author="LV" w:date="2026-07-14T17:02:34Z"/>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52B3EF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del w:id="2932" w:author="LV" w:date="2026-07-14T17:02:34Z"/>
                <w:rFonts w:hint="eastAsia" w:ascii="仿宋_GB2312" w:hAnsi="宋体" w:eastAsia="仿宋_GB2312" w:cs="仿宋_GB2312"/>
                <w:kern w:val="2"/>
                <w:sz w:val="18"/>
                <w:szCs w:val="18"/>
                <w:lang w:val="en-US" w:eastAsia="zh-CN" w:bidi="ar-SA"/>
              </w:rPr>
            </w:pPr>
          </w:p>
        </w:tc>
        <w:tc>
          <w:tcPr>
            <w:tcW w:w="1829" w:type="dxa"/>
            <w:tcBorders>
              <w:tl2br w:val="nil"/>
              <w:tr2bl w:val="nil"/>
            </w:tcBorders>
            <w:shd w:val="clear" w:color="auto" w:fill="auto"/>
            <w:tcMar>
              <w:top w:w="15" w:type="dxa"/>
              <w:left w:w="15" w:type="dxa"/>
              <w:right w:w="15" w:type="dxa"/>
            </w:tcMar>
            <w:vAlign w:val="center"/>
          </w:tcPr>
          <w:p w14:paraId="65AFFDBD">
            <w:pPr>
              <w:keepNext w:val="0"/>
              <w:keepLines w:val="0"/>
              <w:pageBreakBefore w:val="0"/>
              <w:widowControl w:val="0"/>
              <w:kinsoku/>
              <w:wordWrap/>
              <w:overflowPunct w:val="0"/>
              <w:topLinePunct w:val="0"/>
              <w:autoSpaceDE/>
              <w:autoSpaceDN/>
              <w:bidi w:val="0"/>
              <w:adjustRightInd/>
              <w:snapToGrid/>
              <w:spacing w:line="280" w:lineRule="exact"/>
              <w:textAlignment w:val="center"/>
              <w:rPr>
                <w:del w:id="2933" w:author="LV" w:date="2026-07-14T17:02:34Z"/>
                <w:rFonts w:hint="eastAsia" w:ascii="仿宋_GB2312" w:hAnsi="宋体" w:eastAsia="仿宋_GB2312" w:cs="仿宋_GB2312"/>
                <w:kern w:val="2"/>
                <w:sz w:val="18"/>
                <w:szCs w:val="18"/>
                <w:lang w:val="en-US" w:eastAsia="zh-CN" w:bidi="ar-SA"/>
              </w:rPr>
            </w:pPr>
          </w:p>
        </w:tc>
        <w:tc>
          <w:tcPr>
            <w:tcW w:w="2655" w:type="dxa"/>
            <w:tcBorders>
              <w:tl2br w:val="nil"/>
              <w:tr2bl w:val="nil"/>
            </w:tcBorders>
            <w:shd w:val="clear" w:color="auto" w:fill="auto"/>
            <w:tcMar>
              <w:top w:w="15" w:type="dxa"/>
              <w:left w:w="15" w:type="dxa"/>
              <w:right w:w="15" w:type="dxa"/>
            </w:tcMar>
            <w:vAlign w:val="center"/>
          </w:tcPr>
          <w:p w14:paraId="00D12A64">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del w:id="2934" w:author="LV" w:date="2026-07-14T17:02:34Z"/>
                <w:rFonts w:hint="eastAsia" w:ascii="仿宋_GB2312" w:hAnsi="宋体" w:eastAsia="仿宋_GB2312" w:cs="仿宋_GB2312"/>
                <w:kern w:val="2"/>
                <w:sz w:val="18"/>
                <w:szCs w:val="18"/>
                <w:lang w:val="en-US" w:eastAsia="zh-CN" w:bidi="ar-SA"/>
              </w:rPr>
            </w:pPr>
          </w:p>
        </w:tc>
      </w:tr>
      <w:tr w14:paraId="7EB7F5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del w:id="2935" w:author="LV" w:date="2026-07-14T17:02:34Z"/>
        </w:trPr>
        <w:tc>
          <w:tcPr>
            <w:tcW w:w="418" w:type="dxa"/>
            <w:vMerge w:val="continue"/>
            <w:tcBorders>
              <w:tl2br w:val="nil"/>
              <w:tr2bl w:val="nil"/>
            </w:tcBorders>
            <w:shd w:val="clear" w:color="auto" w:fill="auto"/>
            <w:noWrap/>
            <w:tcMar>
              <w:top w:w="15" w:type="dxa"/>
              <w:left w:w="15" w:type="dxa"/>
              <w:right w:w="15" w:type="dxa"/>
            </w:tcMar>
            <w:vAlign w:val="center"/>
          </w:tcPr>
          <w:p w14:paraId="1C42378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del w:id="2936" w:author="LV" w:date="2026-07-14T17:02:34Z"/>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6DD6771">
            <w:pPr>
              <w:keepNext w:val="0"/>
              <w:keepLines w:val="0"/>
              <w:pageBreakBefore w:val="0"/>
              <w:widowControl w:val="0"/>
              <w:kinsoku/>
              <w:wordWrap/>
              <w:overflowPunct w:val="0"/>
              <w:topLinePunct w:val="0"/>
              <w:autoSpaceDE/>
              <w:autoSpaceDN/>
              <w:bidi w:val="0"/>
              <w:adjustRightInd/>
              <w:snapToGrid/>
              <w:spacing w:line="280" w:lineRule="exact"/>
              <w:rPr>
                <w:del w:id="2937" w:author="LV" w:date="2026-07-14T17:02:34Z"/>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91E1FB7">
            <w:pPr>
              <w:keepNext w:val="0"/>
              <w:keepLines w:val="0"/>
              <w:pageBreakBefore w:val="0"/>
              <w:widowControl w:val="0"/>
              <w:kinsoku/>
              <w:wordWrap/>
              <w:overflowPunct w:val="0"/>
              <w:topLinePunct w:val="0"/>
              <w:autoSpaceDE/>
              <w:autoSpaceDN/>
              <w:bidi w:val="0"/>
              <w:adjustRightInd/>
              <w:snapToGrid/>
              <w:spacing w:line="280" w:lineRule="exact"/>
              <w:rPr>
                <w:del w:id="2938" w:author="LV" w:date="2026-07-14T17:02:34Z"/>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CB57E6F">
            <w:pPr>
              <w:keepNext w:val="0"/>
              <w:keepLines w:val="0"/>
              <w:pageBreakBefore w:val="0"/>
              <w:widowControl w:val="0"/>
              <w:kinsoku/>
              <w:wordWrap/>
              <w:overflowPunct w:val="0"/>
              <w:topLinePunct w:val="0"/>
              <w:autoSpaceDE/>
              <w:autoSpaceDN/>
              <w:bidi w:val="0"/>
              <w:adjustRightInd/>
              <w:snapToGrid/>
              <w:spacing w:line="280" w:lineRule="exact"/>
              <w:rPr>
                <w:del w:id="2939" w:author="LV" w:date="2026-07-14T17:02:34Z"/>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0C83B7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del w:id="2940" w:author="LV" w:date="2026-07-14T17:02:34Z"/>
                <w:rFonts w:hint="eastAsia" w:ascii="仿宋_GB2312" w:hAnsi="宋体" w:eastAsia="仿宋_GB2312" w:cs="仿宋_GB2312"/>
                <w:kern w:val="2"/>
                <w:sz w:val="18"/>
                <w:szCs w:val="18"/>
                <w:lang w:val="en-US" w:eastAsia="zh-CN" w:bidi="ar-SA"/>
              </w:rPr>
            </w:pPr>
          </w:p>
        </w:tc>
        <w:tc>
          <w:tcPr>
            <w:tcW w:w="1829" w:type="dxa"/>
            <w:tcBorders>
              <w:tl2br w:val="nil"/>
              <w:tr2bl w:val="nil"/>
            </w:tcBorders>
            <w:shd w:val="clear" w:color="auto" w:fill="auto"/>
            <w:tcMar>
              <w:top w:w="15" w:type="dxa"/>
              <w:left w:w="15" w:type="dxa"/>
              <w:right w:w="15" w:type="dxa"/>
            </w:tcMar>
            <w:vAlign w:val="center"/>
          </w:tcPr>
          <w:p w14:paraId="3776E3A9">
            <w:pPr>
              <w:keepNext w:val="0"/>
              <w:keepLines w:val="0"/>
              <w:pageBreakBefore w:val="0"/>
              <w:widowControl w:val="0"/>
              <w:kinsoku/>
              <w:wordWrap/>
              <w:overflowPunct w:val="0"/>
              <w:topLinePunct w:val="0"/>
              <w:autoSpaceDE/>
              <w:autoSpaceDN/>
              <w:bidi w:val="0"/>
              <w:adjustRightInd/>
              <w:snapToGrid/>
              <w:spacing w:line="280" w:lineRule="exact"/>
              <w:textAlignment w:val="center"/>
              <w:rPr>
                <w:del w:id="2941" w:author="LV" w:date="2026-07-14T17:02:34Z"/>
                <w:rFonts w:hint="eastAsia" w:ascii="仿宋_GB2312" w:hAnsi="宋体" w:eastAsia="仿宋_GB2312" w:cs="仿宋_GB2312"/>
                <w:kern w:val="2"/>
                <w:sz w:val="18"/>
                <w:szCs w:val="18"/>
                <w:lang w:val="en-US" w:eastAsia="zh-CN" w:bidi="ar-SA"/>
              </w:rPr>
            </w:pPr>
          </w:p>
        </w:tc>
        <w:tc>
          <w:tcPr>
            <w:tcW w:w="2655" w:type="dxa"/>
            <w:tcBorders>
              <w:tl2br w:val="nil"/>
              <w:tr2bl w:val="nil"/>
            </w:tcBorders>
            <w:shd w:val="clear" w:color="auto" w:fill="auto"/>
            <w:tcMar>
              <w:top w:w="15" w:type="dxa"/>
              <w:left w:w="15" w:type="dxa"/>
              <w:right w:w="15" w:type="dxa"/>
            </w:tcMar>
            <w:vAlign w:val="center"/>
          </w:tcPr>
          <w:p w14:paraId="27EFDCAD">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del w:id="2942" w:author="LV" w:date="2026-07-14T17:02:34Z"/>
                <w:rFonts w:hint="eastAsia" w:ascii="仿宋_GB2312" w:hAnsi="宋体" w:eastAsia="仿宋_GB2312" w:cs="仿宋_GB2312"/>
                <w:kern w:val="2"/>
                <w:sz w:val="18"/>
                <w:szCs w:val="18"/>
                <w:lang w:val="en-US" w:eastAsia="zh-CN" w:bidi="ar-SA"/>
              </w:rPr>
            </w:pPr>
          </w:p>
        </w:tc>
      </w:tr>
      <w:tr w14:paraId="58A0A8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del w:id="2943" w:author="LV" w:date="2026-07-14T17:02:34Z"/>
        </w:trPr>
        <w:tc>
          <w:tcPr>
            <w:tcW w:w="418" w:type="dxa"/>
            <w:vMerge w:val="continue"/>
            <w:tcBorders>
              <w:tl2br w:val="nil"/>
              <w:tr2bl w:val="nil"/>
            </w:tcBorders>
            <w:shd w:val="clear" w:color="auto" w:fill="auto"/>
            <w:noWrap/>
            <w:tcMar>
              <w:top w:w="15" w:type="dxa"/>
              <w:left w:w="15" w:type="dxa"/>
              <w:right w:w="15" w:type="dxa"/>
            </w:tcMar>
            <w:vAlign w:val="center"/>
          </w:tcPr>
          <w:p w14:paraId="775D8A6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del w:id="2944" w:author="LV" w:date="2026-07-14T17:02:34Z"/>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5332F3A">
            <w:pPr>
              <w:keepNext w:val="0"/>
              <w:keepLines w:val="0"/>
              <w:pageBreakBefore w:val="0"/>
              <w:widowControl w:val="0"/>
              <w:kinsoku/>
              <w:wordWrap/>
              <w:overflowPunct w:val="0"/>
              <w:topLinePunct w:val="0"/>
              <w:autoSpaceDE/>
              <w:autoSpaceDN/>
              <w:bidi w:val="0"/>
              <w:adjustRightInd/>
              <w:snapToGrid/>
              <w:spacing w:line="280" w:lineRule="exact"/>
              <w:rPr>
                <w:del w:id="2945" w:author="LV" w:date="2026-07-14T17:02:34Z"/>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6D14A7E">
            <w:pPr>
              <w:keepNext w:val="0"/>
              <w:keepLines w:val="0"/>
              <w:pageBreakBefore w:val="0"/>
              <w:widowControl w:val="0"/>
              <w:kinsoku/>
              <w:wordWrap/>
              <w:overflowPunct w:val="0"/>
              <w:topLinePunct w:val="0"/>
              <w:autoSpaceDE/>
              <w:autoSpaceDN/>
              <w:bidi w:val="0"/>
              <w:adjustRightInd/>
              <w:snapToGrid/>
              <w:spacing w:line="280" w:lineRule="exact"/>
              <w:rPr>
                <w:del w:id="2946" w:author="LV" w:date="2026-07-14T17:02:34Z"/>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759F775">
            <w:pPr>
              <w:keepNext w:val="0"/>
              <w:keepLines w:val="0"/>
              <w:pageBreakBefore w:val="0"/>
              <w:widowControl w:val="0"/>
              <w:kinsoku/>
              <w:wordWrap/>
              <w:overflowPunct w:val="0"/>
              <w:topLinePunct w:val="0"/>
              <w:autoSpaceDE/>
              <w:autoSpaceDN/>
              <w:bidi w:val="0"/>
              <w:adjustRightInd/>
              <w:snapToGrid/>
              <w:spacing w:line="280" w:lineRule="exact"/>
              <w:rPr>
                <w:del w:id="2947" w:author="LV" w:date="2026-07-14T17:02:34Z"/>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1279C6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del w:id="2948" w:author="LV" w:date="2026-07-14T17:02:34Z"/>
                <w:rFonts w:hint="eastAsia" w:ascii="仿宋_GB2312" w:hAnsi="宋体" w:eastAsia="仿宋_GB2312" w:cs="仿宋_GB2312"/>
                <w:kern w:val="2"/>
                <w:sz w:val="18"/>
                <w:szCs w:val="18"/>
                <w:lang w:val="en-US" w:eastAsia="zh-CN" w:bidi="ar-SA"/>
              </w:rPr>
            </w:pPr>
          </w:p>
        </w:tc>
        <w:tc>
          <w:tcPr>
            <w:tcW w:w="1829" w:type="dxa"/>
            <w:tcBorders>
              <w:tl2br w:val="nil"/>
              <w:tr2bl w:val="nil"/>
            </w:tcBorders>
            <w:shd w:val="clear" w:color="auto" w:fill="auto"/>
            <w:tcMar>
              <w:top w:w="15" w:type="dxa"/>
              <w:left w:w="15" w:type="dxa"/>
              <w:right w:w="15" w:type="dxa"/>
            </w:tcMar>
            <w:vAlign w:val="center"/>
          </w:tcPr>
          <w:p w14:paraId="08570919">
            <w:pPr>
              <w:keepNext w:val="0"/>
              <w:keepLines w:val="0"/>
              <w:pageBreakBefore w:val="0"/>
              <w:widowControl w:val="0"/>
              <w:kinsoku/>
              <w:wordWrap/>
              <w:overflowPunct w:val="0"/>
              <w:topLinePunct w:val="0"/>
              <w:autoSpaceDE/>
              <w:autoSpaceDN/>
              <w:bidi w:val="0"/>
              <w:adjustRightInd/>
              <w:snapToGrid/>
              <w:spacing w:line="280" w:lineRule="exact"/>
              <w:textAlignment w:val="center"/>
              <w:rPr>
                <w:del w:id="2949" w:author="LV" w:date="2026-07-14T17:02:34Z"/>
                <w:rFonts w:hint="eastAsia" w:ascii="仿宋_GB2312" w:hAnsi="宋体" w:eastAsia="仿宋_GB2312" w:cs="仿宋_GB2312"/>
                <w:sz w:val="18"/>
                <w:szCs w:val="18"/>
              </w:rPr>
            </w:pPr>
          </w:p>
        </w:tc>
        <w:tc>
          <w:tcPr>
            <w:tcW w:w="2655" w:type="dxa"/>
            <w:tcBorders>
              <w:tl2br w:val="nil"/>
              <w:tr2bl w:val="nil"/>
            </w:tcBorders>
            <w:shd w:val="clear" w:color="auto" w:fill="auto"/>
            <w:tcMar>
              <w:top w:w="15" w:type="dxa"/>
              <w:left w:w="15" w:type="dxa"/>
              <w:right w:w="15" w:type="dxa"/>
            </w:tcMar>
            <w:vAlign w:val="center"/>
          </w:tcPr>
          <w:p w14:paraId="4E4B88C9">
            <w:pPr>
              <w:keepNext w:val="0"/>
              <w:keepLines w:val="0"/>
              <w:pageBreakBefore w:val="0"/>
              <w:widowControl w:val="0"/>
              <w:kinsoku/>
              <w:wordWrap/>
              <w:overflowPunct w:val="0"/>
              <w:topLinePunct w:val="0"/>
              <w:autoSpaceDE/>
              <w:autoSpaceDN/>
              <w:bidi w:val="0"/>
              <w:adjustRightInd/>
              <w:snapToGrid/>
              <w:spacing w:line="280" w:lineRule="exact"/>
              <w:textAlignment w:val="center"/>
              <w:rPr>
                <w:del w:id="2950" w:author="LV" w:date="2026-07-14T17:02:34Z"/>
                <w:rFonts w:hint="eastAsia" w:ascii="仿宋_GB2312" w:hAnsi="宋体" w:eastAsia="仿宋_GB2312" w:cs="仿宋_GB2312"/>
                <w:sz w:val="18"/>
                <w:szCs w:val="18"/>
              </w:rPr>
            </w:pPr>
          </w:p>
        </w:tc>
      </w:tr>
      <w:tr w14:paraId="0E70CB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del w:id="2951" w:author="LV" w:date="2026-07-14T17:02:34Z"/>
        </w:trPr>
        <w:tc>
          <w:tcPr>
            <w:tcW w:w="418" w:type="dxa"/>
            <w:vMerge w:val="continue"/>
            <w:tcBorders>
              <w:tl2br w:val="nil"/>
              <w:tr2bl w:val="nil"/>
            </w:tcBorders>
            <w:shd w:val="clear" w:color="auto" w:fill="auto"/>
            <w:noWrap/>
            <w:tcMar>
              <w:top w:w="15" w:type="dxa"/>
              <w:left w:w="15" w:type="dxa"/>
              <w:right w:w="15" w:type="dxa"/>
            </w:tcMar>
            <w:vAlign w:val="center"/>
          </w:tcPr>
          <w:p w14:paraId="32162AD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del w:id="2952" w:author="LV" w:date="2026-07-14T17:02:34Z"/>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39432DA">
            <w:pPr>
              <w:keepNext w:val="0"/>
              <w:keepLines w:val="0"/>
              <w:pageBreakBefore w:val="0"/>
              <w:widowControl w:val="0"/>
              <w:kinsoku/>
              <w:wordWrap/>
              <w:overflowPunct w:val="0"/>
              <w:topLinePunct w:val="0"/>
              <w:autoSpaceDE/>
              <w:autoSpaceDN/>
              <w:bidi w:val="0"/>
              <w:adjustRightInd/>
              <w:snapToGrid/>
              <w:spacing w:line="280" w:lineRule="exact"/>
              <w:rPr>
                <w:del w:id="2953" w:author="LV" w:date="2026-07-14T17:02:34Z"/>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7AF4827">
            <w:pPr>
              <w:keepNext w:val="0"/>
              <w:keepLines w:val="0"/>
              <w:pageBreakBefore w:val="0"/>
              <w:widowControl w:val="0"/>
              <w:kinsoku/>
              <w:wordWrap/>
              <w:overflowPunct w:val="0"/>
              <w:topLinePunct w:val="0"/>
              <w:autoSpaceDE/>
              <w:autoSpaceDN/>
              <w:bidi w:val="0"/>
              <w:adjustRightInd/>
              <w:snapToGrid/>
              <w:spacing w:line="280" w:lineRule="exact"/>
              <w:rPr>
                <w:del w:id="2954" w:author="LV" w:date="2026-07-14T17:02:34Z"/>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0FE8B3E">
            <w:pPr>
              <w:keepNext w:val="0"/>
              <w:keepLines w:val="0"/>
              <w:pageBreakBefore w:val="0"/>
              <w:widowControl w:val="0"/>
              <w:kinsoku/>
              <w:wordWrap/>
              <w:overflowPunct w:val="0"/>
              <w:topLinePunct w:val="0"/>
              <w:autoSpaceDE/>
              <w:autoSpaceDN/>
              <w:bidi w:val="0"/>
              <w:adjustRightInd/>
              <w:snapToGrid/>
              <w:spacing w:line="280" w:lineRule="exact"/>
              <w:rPr>
                <w:del w:id="2955" w:author="LV" w:date="2026-07-14T17:02:34Z"/>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4F975C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del w:id="2956" w:author="LV" w:date="2026-07-14T17:02:34Z"/>
                <w:rFonts w:hint="eastAsia" w:ascii="仿宋_GB2312" w:hAnsi="宋体" w:eastAsia="仿宋_GB2312" w:cs="仿宋_GB2312"/>
                <w:kern w:val="2"/>
                <w:sz w:val="18"/>
                <w:szCs w:val="18"/>
                <w:lang w:val="en-US" w:eastAsia="zh-CN" w:bidi="ar-SA"/>
              </w:rPr>
            </w:pPr>
          </w:p>
        </w:tc>
        <w:tc>
          <w:tcPr>
            <w:tcW w:w="1829" w:type="dxa"/>
            <w:tcBorders>
              <w:tl2br w:val="nil"/>
              <w:tr2bl w:val="nil"/>
            </w:tcBorders>
            <w:shd w:val="clear" w:color="auto" w:fill="auto"/>
            <w:tcMar>
              <w:top w:w="15" w:type="dxa"/>
              <w:left w:w="15" w:type="dxa"/>
              <w:right w:w="15" w:type="dxa"/>
            </w:tcMar>
            <w:vAlign w:val="center"/>
          </w:tcPr>
          <w:p w14:paraId="3B8D32D8">
            <w:pPr>
              <w:keepNext w:val="0"/>
              <w:keepLines w:val="0"/>
              <w:pageBreakBefore w:val="0"/>
              <w:widowControl w:val="0"/>
              <w:kinsoku/>
              <w:wordWrap/>
              <w:overflowPunct w:val="0"/>
              <w:topLinePunct w:val="0"/>
              <w:autoSpaceDE/>
              <w:autoSpaceDN/>
              <w:bidi w:val="0"/>
              <w:adjustRightInd/>
              <w:snapToGrid/>
              <w:spacing w:line="280" w:lineRule="exact"/>
              <w:textAlignment w:val="center"/>
              <w:rPr>
                <w:del w:id="2957" w:author="LV" w:date="2026-07-14T17:02:34Z"/>
                <w:rFonts w:hint="eastAsia" w:ascii="仿宋_GB2312" w:hAnsi="宋体" w:eastAsia="仿宋_GB2312" w:cs="仿宋_GB2312"/>
                <w:sz w:val="18"/>
                <w:szCs w:val="18"/>
              </w:rPr>
            </w:pPr>
          </w:p>
        </w:tc>
        <w:tc>
          <w:tcPr>
            <w:tcW w:w="2655" w:type="dxa"/>
            <w:tcBorders>
              <w:tl2br w:val="nil"/>
              <w:tr2bl w:val="nil"/>
            </w:tcBorders>
            <w:shd w:val="clear" w:color="auto" w:fill="auto"/>
            <w:tcMar>
              <w:top w:w="15" w:type="dxa"/>
              <w:left w:w="15" w:type="dxa"/>
              <w:right w:w="15" w:type="dxa"/>
            </w:tcMar>
            <w:vAlign w:val="center"/>
          </w:tcPr>
          <w:p w14:paraId="7259890D">
            <w:pPr>
              <w:keepNext w:val="0"/>
              <w:keepLines w:val="0"/>
              <w:pageBreakBefore w:val="0"/>
              <w:widowControl w:val="0"/>
              <w:kinsoku/>
              <w:wordWrap/>
              <w:overflowPunct w:val="0"/>
              <w:topLinePunct w:val="0"/>
              <w:autoSpaceDE/>
              <w:autoSpaceDN/>
              <w:bidi w:val="0"/>
              <w:adjustRightInd/>
              <w:snapToGrid/>
              <w:spacing w:line="280" w:lineRule="exact"/>
              <w:textAlignment w:val="center"/>
              <w:rPr>
                <w:del w:id="2958" w:author="LV" w:date="2026-07-14T17:02:34Z"/>
                <w:rFonts w:hint="eastAsia" w:ascii="仿宋_GB2312" w:hAnsi="宋体" w:eastAsia="仿宋_GB2312" w:cs="仿宋_GB2312"/>
                <w:sz w:val="18"/>
                <w:szCs w:val="18"/>
              </w:rPr>
            </w:pPr>
          </w:p>
        </w:tc>
      </w:tr>
      <w:tr w14:paraId="790AEB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del w:id="2959" w:author="LV" w:date="2026-07-14T17:02:34Z"/>
        </w:trPr>
        <w:tc>
          <w:tcPr>
            <w:tcW w:w="418" w:type="dxa"/>
            <w:vMerge w:val="continue"/>
            <w:tcBorders>
              <w:tl2br w:val="nil"/>
              <w:tr2bl w:val="nil"/>
            </w:tcBorders>
            <w:shd w:val="clear" w:color="auto" w:fill="auto"/>
            <w:noWrap/>
            <w:tcMar>
              <w:top w:w="15" w:type="dxa"/>
              <w:left w:w="15" w:type="dxa"/>
              <w:right w:w="15" w:type="dxa"/>
            </w:tcMar>
            <w:vAlign w:val="center"/>
          </w:tcPr>
          <w:p w14:paraId="1906EFC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del w:id="2960" w:author="LV" w:date="2026-07-14T17:02:34Z"/>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A75F4B8">
            <w:pPr>
              <w:keepNext w:val="0"/>
              <w:keepLines w:val="0"/>
              <w:pageBreakBefore w:val="0"/>
              <w:widowControl w:val="0"/>
              <w:kinsoku/>
              <w:wordWrap/>
              <w:overflowPunct w:val="0"/>
              <w:topLinePunct w:val="0"/>
              <w:autoSpaceDE/>
              <w:autoSpaceDN/>
              <w:bidi w:val="0"/>
              <w:adjustRightInd/>
              <w:snapToGrid/>
              <w:spacing w:line="280" w:lineRule="exact"/>
              <w:rPr>
                <w:del w:id="2961" w:author="LV" w:date="2026-07-14T17:02:34Z"/>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12DE1EF">
            <w:pPr>
              <w:keepNext w:val="0"/>
              <w:keepLines w:val="0"/>
              <w:pageBreakBefore w:val="0"/>
              <w:widowControl w:val="0"/>
              <w:kinsoku/>
              <w:wordWrap/>
              <w:overflowPunct w:val="0"/>
              <w:topLinePunct w:val="0"/>
              <w:autoSpaceDE/>
              <w:autoSpaceDN/>
              <w:bidi w:val="0"/>
              <w:adjustRightInd/>
              <w:snapToGrid/>
              <w:spacing w:line="280" w:lineRule="exact"/>
              <w:rPr>
                <w:del w:id="2962" w:author="LV" w:date="2026-07-14T17:02:34Z"/>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EF9EDB9">
            <w:pPr>
              <w:keepNext w:val="0"/>
              <w:keepLines w:val="0"/>
              <w:pageBreakBefore w:val="0"/>
              <w:widowControl w:val="0"/>
              <w:kinsoku/>
              <w:wordWrap/>
              <w:overflowPunct w:val="0"/>
              <w:topLinePunct w:val="0"/>
              <w:autoSpaceDE/>
              <w:autoSpaceDN/>
              <w:bidi w:val="0"/>
              <w:adjustRightInd/>
              <w:snapToGrid/>
              <w:spacing w:line="280" w:lineRule="exact"/>
              <w:rPr>
                <w:del w:id="2963" w:author="LV" w:date="2026-07-14T17:02:34Z"/>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2205A4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del w:id="2964" w:author="LV" w:date="2026-07-14T17:02:34Z"/>
                <w:rFonts w:hint="eastAsia" w:ascii="仿宋_GB2312" w:hAnsi="宋体" w:eastAsia="仿宋_GB2312" w:cs="仿宋_GB2312"/>
                <w:kern w:val="2"/>
                <w:sz w:val="18"/>
                <w:szCs w:val="18"/>
                <w:lang w:val="en-US" w:eastAsia="zh-CN" w:bidi="ar-SA"/>
              </w:rPr>
            </w:pPr>
          </w:p>
        </w:tc>
        <w:tc>
          <w:tcPr>
            <w:tcW w:w="1829" w:type="dxa"/>
            <w:tcBorders>
              <w:tl2br w:val="nil"/>
              <w:tr2bl w:val="nil"/>
            </w:tcBorders>
            <w:shd w:val="clear" w:color="auto" w:fill="auto"/>
            <w:tcMar>
              <w:top w:w="15" w:type="dxa"/>
              <w:left w:w="15" w:type="dxa"/>
              <w:right w:w="15" w:type="dxa"/>
            </w:tcMar>
            <w:vAlign w:val="center"/>
          </w:tcPr>
          <w:p w14:paraId="6D495DCD">
            <w:pPr>
              <w:keepNext w:val="0"/>
              <w:keepLines w:val="0"/>
              <w:pageBreakBefore w:val="0"/>
              <w:widowControl w:val="0"/>
              <w:kinsoku/>
              <w:wordWrap/>
              <w:overflowPunct w:val="0"/>
              <w:topLinePunct w:val="0"/>
              <w:autoSpaceDE/>
              <w:autoSpaceDN/>
              <w:bidi w:val="0"/>
              <w:adjustRightInd/>
              <w:snapToGrid/>
              <w:spacing w:line="280" w:lineRule="exact"/>
              <w:textAlignment w:val="center"/>
              <w:rPr>
                <w:del w:id="2965" w:author="LV" w:date="2026-07-14T17:02:34Z"/>
                <w:rFonts w:hint="eastAsia" w:ascii="仿宋_GB2312" w:hAnsi="宋体" w:eastAsia="仿宋_GB2312" w:cs="仿宋_GB2312"/>
                <w:sz w:val="18"/>
                <w:szCs w:val="18"/>
              </w:rPr>
            </w:pPr>
          </w:p>
        </w:tc>
        <w:tc>
          <w:tcPr>
            <w:tcW w:w="2655" w:type="dxa"/>
            <w:tcBorders>
              <w:tl2br w:val="nil"/>
              <w:tr2bl w:val="nil"/>
            </w:tcBorders>
            <w:shd w:val="clear" w:color="auto" w:fill="auto"/>
            <w:tcMar>
              <w:top w:w="15" w:type="dxa"/>
              <w:left w:w="15" w:type="dxa"/>
              <w:right w:w="15" w:type="dxa"/>
            </w:tcMar>
            <w:vAlign w:val="center"/>
          </w:tcPr>
          <w:p w14:paraId="4160D92A">
            <w:pPr>
              <w:keepNext w:val="0"/>
              <w:keepLines w:val="0"/>
              <w:pageBreakBefore w:val="0"/>
              <w:widowControl w:val="0"/>
              <w:kinsoku/>
              <w:wordWrap/>
              <w:overflowPunct w:val="0"/>
              <w:topLinePunct w:val="0"/>
              <w:autoSpaceDE/>
              <w:autoSpaceDN/>
              <w:bidi w:val="0"/>
              <w:adjustRightInd/>
              <w:snapToGrid/>
              <w:spacing w:line="280" w:lineRule="exact"/>
              <w:textAlignment w:val="center"/>
              <w:rPr>
                <w:del w:id="2966" w:author="LV" w:date="2026-07-14T17:02:34Z"/>
                <w:rFonts w:hint="eastAsia" w:ascii="仿宋_GB2312" w:hAnsi="宋体" w:eastAsia="仿宋_GB2312" w:cs="仿宋_GB2312"/>
                <w:sz w:val="18"/>
                <w:szCs w:val="18"/>
              </w:rPr>
            </w:pPr>
          </w:p>
        </w:tc>
      </w:tr>
      <w:tr w14:paraId="1BF9BF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278FB69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z w:val="18"/>
                <w:szCs w:val="18"/>
                <w:highlight w:val="none"/>
                <w:lang w:val="en-US" w:eastAsia="zh-CN"/>
              </w:rPr>
            </w:pPr>
            <w:r>
              <w:rPr>
                <w:rFonts w:hint="eastAsia" w:ascii="仿宋_GB2312" w:hAnsi="宋体" w:eastAsia="仿宋_GB2312" w:cs="仿宋_GB2312"/>
                <w:kern w:val="0"/>
                <w:sz w:val="18"/>
                <w:szCs w:val="18"/>
                <w:highlight w:val="none"/>
                <w:lang w:bidi="ar"/>
              </w:rPr>
              <w:t>18</w:t>
            </w:r>
            <w:del w:id="2967" w:author="LV" w:date="2026-07-14T17:02:41Z">
              <w:r>
                <w:rPr>
                  <w:rFonts w:hint="default" w:ascii="仿宋_GB2312" w:hAnsi="宋体" w:eastAsia="仿宋_GB2312" w:cs="仿宋_GB2312"/>
                  <w:kern w:val="0"/>
                  <w:sz w:val="18"/>
                  <w:szCs w:val="18"/>
                  <w:highlight w:val="none"/>
                  <w:lang w:val="en-US" w:eastAsia="zh-CN" w:bidi="ar"/>
                </w:rPr>
                <w:delText>2</w:delText>
              </w:r>
            </w:del>
            <w:ins w:id="2968" w:author="LV" w:date="2026-07-14T17:02:41Z">
              <w:r>
                <w:rPr>
                  <w:rFonts w:hint="eastAsia" w:ascii="仿宋_GB2312" w:hAnsi="宋体" w:eastAsia="仿宋_GB2312" w:cs="仿宋_GB2312"/>
                  <w:kern w:val="0"/>
                  <w:sz w:val="18"/>
                  <w:szCs w:val="18"/>
                  <w:highlight w:val="none"/>
                  <w:lang w:val="en-US" w:eastAsia="zh-CN" w:bidi="ar"/>
                </w:rPr>
                <w:t>8</w:t>
              </w:r>
            </w:ins>
          </w:p>
        </w:tc>
        <w:tc>
          <w:tcPr>
            <w:tcW w:w="1005" w:type="dxa"/>
            <w:vMerge w:val="restart"/>
            <w:tcBorders>
              <w:tl2br w:val="nil"/>
              <w:tr2bl w:val="nil"/>
            </w:tcBorders>
            <w:shd w:val="clear" w:color="auto" w:fill="auto"/>
            <w:tcMar>
              <w:top w:w="15" w:type="dxa"/>
              <w:left w:w="15" w:type="dxa"/>
              <w:right w:w="15" w:type="dxa"/>
            </w:tcMar>
            <w:vAlign w:val="center"/>
          </w:tcPr>
          <w:p w14:paraId="7132304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highlight w:val="none"/>
                <w:lang w:val="en-US" w:eastAsia="zh-CN"/>
              </w:rPr>
            </w:pPr>
            <w:r>
              <w:rPr>
                <w:rFonts w:hint="eastAsia" w:ascii="仿宋_GB2312" w:hAnsi="宋体" w:eastAsia="仿宋_GB2312" w:cs="仿宋_GB2312"/>
                <w:kern w:val="0"/>
                <w:sz w:val="18"/>
                <w:szCs w:val="18"/>
                <w:highlight w:val="none"/>
                <w:lang w:bidi="ar"/>
              </w:rPr>
              <w:t>煤矿相关人员未按照规定重新参加安全培训</w:t>
            </w:r>
            <w:r>
              <w:rPr>
                <w:rFonts w:hint="eastAsia" w:ascii="仿宋_GB2312" w:hAnsi="宋体" w:eastAsia="仿宋_GB2312" w:cs="仿宋_GB2312"/>
                <w:kern w:val="0"/>
                <w:sz w:val="18"/>
                <w:szCs w:val="18"/>
                <w:highlight w:val="none"/>
                <w:lang w:val="en-US" w:eastAsia="zh-CN" w:bidi="ar"/>
              </w:rPr>
              <w:t>的</w:t>
            </w:r>
          </w:p>
        </w:tc>
        <w:tc>
          <w:tcPr>
            <w:tcW w:w="3667" w:type="dxa"/>
            <w:vMerge w:val="restart"/>
            <w:tcBorders>
              <w:tl2br w:val="nil"/>
              <w:tr2bl w:val="nil"/>
            </w:tcBorders>
            <w:shd w:val="clear" w:color="auto" w:fill="auto"/>
            <w:tcMar>
              <w:top w:w="15" w:type="dxa"/>
              <w:left w:w="15" w:type="dxa"/>
              <w:right w:w="15" w:type="dxa"/>
            </w:tcMar>
            <w:vAlign w:val="center"/>
          </w:tcPr>
          <w:p w14:paraId="5F758F8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《安全生产培训管理办法》第十二条 中央企业的分公司、子公司及其所属单位和其他生产经营单位，发生造成人员死亡的生产安全事故的，其主要负责人和安全生产管理人员应当重新参加安全培训。特种作业人员对造成人员死亡的生产安全事故负有直接责任的，应当按照《特种作业人员安全技术培训考核管理规定》重新参加安全培训。</w:t>
            </w:r>
          </w:p>
        </w:tc>
        <w:tc>
          <w:tcPr>
            <w:tcW w:w="4082" w:type="dxa"/>
            <w:vMerge w:val="restart"/>
            <w:tcBorders>
              <w:tl2br w:val="nil"/>
              <w:tr2bl w:val="nil"/>
            </w:tcBorders>
            <w:shd w:val="clear" w:color="auto" w:fill="auto"/>
            <w:tcMar>
              <w:top w:w="15" w:type="dxa"/>
              <w:left w:w="15" w:type="dxa"/>
              <w:right w:w="15" w:type="dxa"/>
            </w:tcMar>
            <w:vAlign w:val="center"/>
          </w:tcPr>
          <w:p w14:paraId="4A5CDAD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《安全生产培训管理办法》第三十六条 生产经营单位有下列情形之一的，责令改正，处3万元以下的罚款：（三）相关人员未按照本办法第十二条规定重新参加安全培训的。</w:t>
            </w:r>
          </w:p>
        </w:tc>
        <w:tc>
          <w:tcPr>
            <w:tcW w:w="459" w:type="dxa"/>
            <w:tcBorders>
              <w:tl2br w:val="nil"/>
              <w:tr2bl w:val="nil"/>
            </w:tcBorders>
            <w:shd w:val="clear" w:color="auto" w:fill="auto"/>
            <w:noWrap/>
            <w:tcMar>
              <w:top w:w="15" w:type="dxa"/>
              <w:left w:w="15" w:type="dxa"/>
              <w:right w:w="15" w:type="dxa"/>
            </w:tcMar>
            <w:vAlign w:val="center"/>
          </w:tcPr>
          <w:p w14:paraId="2CB2324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3550D9D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B410F4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47E87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18F5DD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761553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E59211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AFCD57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9FED94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5A1671D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1D9817E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6D00C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AB07E1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03607B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406909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ECD0D7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54ED19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5C1BFD8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413320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806F7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9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0C9EA8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7E3201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0988BA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48EE16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586CB9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6FC13FA0">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特种作业人员对造成人员死亡的生产安全事故负有直接责任的未按照规定重新参加安全培训的，涉及的人数1人的。</w:t>
            </w:r>
          </w:p>
        </w:tc>
        <w:tc>
          <w:tcPr>
            <w:tcW w:w="2655" w:type="dxa"/>
            <w:tcBorders>
              <w:tl2br w:val="nil"/>
              <w:tr2bl w:val="nil"/>
            </w:tcBorders>
            <w:shd w:val="clear" w:color="auto" w:fill="auto"/>
            <w:tcMar>
              <w:top w:w="15" w:type="dxa"/>
              <w:left w:w="15" w:type="dxa"/>
              <w:right w:w="15" w:type="dxa"/>
            </w:tcMar>
            <w:vAlign w:val="center"/>
          </w:tcPr>
          <w:p w14:paraId="27036C6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处1万元以上1.5万元以下的罚款。</w:t>
            </w:r>
          </w:p>
        </w:tc>
      </w:tr>
      <w:tr w14:paraId="3D6C92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BEED75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44B5AB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67F992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6A0DF3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3E78D9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0442CC81">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特种作业人员对造成人员死亡的生产安全事故负有直接责任的未按照规定重新参加安全培训的，涉及的人数2人的；或者安全生产管理人员未按照规定重新参加安全培训涉及的人数1人的。</w:t>
            </w:r>
          </w:p>
        </w:tc>
        <w:tc>
          <w:tcPr>
            <w:tcW w:w="2655" w:type="dxa"/>
            <w:tcBorders>
              <w:tl2br w:val="nil"/>
              <w:tr2bl w:val="nil"/>
            </w:tcBorders>
            <w:shd w:val="clear" w:color="auto" w:fill="auto"/>
            <w:tcMar>
              <w:top w:w="15" w:type="dxa"/>
              <w:left w:w="15" w:type="dxa"/>
              <w:right w:w="15" w:type="dxa"/>
            </w:tcMar>
            <w:vAlign w:val="center"/>
          </w:tcPr>
          <w:p w14:paraId="21233E2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w:t>
            </w:r>
            <w:r>
              <w:rPr>
                <w:rFonts w:ascii="仿宋_GB2312" w:hAnsi="宋体" w:eastAsia="仿宋_GB2312" w:cs="仿宋_GB2312"/>
                <w:kern w:val="0"/>
                <w:sz w:val="18"/>
                <w:szCs w:val="18"/>
                <w:lang w:val="is-IS" w:bidi="ar"/>
              </w:rPr>
              <w:t>1.5万元以上2.5万元以下</w:t>
            </w:r>
            <w:r>
              <w:rPr>
                <w:rFonts w:hint="eastAsia" w:ascii="仿宋_GB2312" w:hAnsi="宋体" w:eastAsia="仿宋_GB2312" w:cs="仿宋_GB2312"/>
                <w:kern w:val="0"/>
                <w:sz w:val="18"/>
                <w:szCs w:val="18"/>
                <w:lang w:bidi="ar"/>
              </w:rPr>
              <w:t>的罚款。</w:t>
            </w:r>
          </w:p>
        </w:tc>
      </w:tr>
      <w:tr w14:paraId="209A36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9"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353363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BFA1CD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930BE2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D42BEF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EEDF7B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70A8329E">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特种作业人员对造成人员死亡的生产安全事故负有直接责任的未按照规定重新参加安全培训的，涉及的人数3人及以上的；或者安全生产管理人员未按照规定重新参加安全培训涉及的人数2人及以上的；或者主要负责人未按照规定重新参加安全培训。</w:t>
            </w:r>
          </w:p>
        </w:tc>
        <w:tc>
          <w:tcPr>
            <w:tcW w:w="2655" w:type="dxa"/>
            <w:tcBorders>
              <w:tl2br w:val="nil"/>
              <w:tr2bl w:val="nil"/>
            </w:tcBorders>
            <w:shd w:val="clear" w:color="auto" w:fill="auto"/>
            <w:tcMar>
              <w:top w:w="15" w:type="dxa"/>
              <w:left w:w="15" w:type="dxa"/>
              <w:right w:w="15" w:type="dxa"/>
            </w:tcMar>
            <w:vAlign w:val="center"/>
          </w:tcPr>
          <w:p w14:paraId="700964C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处2.5万元以上3万元以下的罚款。</w:t>
            </w:r>
          </w:p>
        </w:tc>
      </w:tr>
      <w:tr w14:paraId="7E5CFB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611E349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z w:val="18"/>
                <w:szCs w:val="18"/>
                <w:lang w:eastAsia="zh-CN"/>
              </w:rPr>
            </w:pPr>
            <w:r>
              <w:rPr>
                <w:rFonts w:hint="eastAsia" w:ascii="仿宋_GB2312" w:hAnsi="宋体" w:eastAsia="仿宋_GB2312" w:cs="仿宋_GB2312"/>
                <w:kern w:val="0"/>
                <w:sz w:val="18"/>
                <w:szCs w:val="18"/>
                <w:lang w:bidi="ar"/>
              </w:rPr>
              <w:t>18</w:t>
            </w:r>
            <w:del w:id="2969" w:author="LV" w:date="2026-07-14T17:02:46Z">
              <w:r>
                <w:rPr>
                  <w:rFonts w:hint="default" w:ascii="仿宋_GB2312" w:hAnsi="宋体" w:eastAsia="仿宋_GB2312" w:cs="仿宋_GB2312"/>
                  <w:kern w:val="0"/>
                  <w:sz w:val="18"/>
                  <w:szCs w:val="18"/>
                  <w:lang w:val="en-US" w:eastAsia="zh-CN" w:bidi="ar"/>
                </w:rPr>
                <w:delText>3</w:delText>
              </w:r>
            </w:del>
            <w:ins w:id="2970" w:author="LV" w:date="2026-07-14T17:02:46Z">
              <w:r>
                <w:rPr>
                  <w:rFonts w:hint="eastAsia" w:ascii="仿宋_GB2312" w:hAnsi="宋体" w:eastAsia="仿宋_GB2312" w:cs="仿宋_GB2312"/>
                  <w:kern w:val="0"/>
                  <w:sz w:val="18"/>
                  <w:szCs w:val="18"/>
                  <w:lang w:val="en-US" w:eastAsia="zh-CN" w:bidi="ar"/>
                </w:rPr>
                <w:t>9</w:t>
              </w:r>
            </w:ins>
          </w:p>
        </w:tc>
        <w:tc>
          <w:tcPr>
            <w:tcW w:w="1005" w:type="dxa"/>
            <w:vMerge w:val="restart"/>
            <w:tcBorders>
              <w:tl2br w:val="nil"/>
              <w:tr2bl w:val="nil"/>
            </w:tcBorders>
            <w:shd w:val="clear" w:color="auto" w:fill="auto"/>
            <w:tcMar>
              <w:top w:w="15" w:type="dxa"/>
              <w:left w:w="15" w:type="dxa"/>
              <w:right w:w="15" w:type="dxa"/>
            </w:tcMar>
            <w:vAlign w:val="center"/>
          </w:tcPr>
          <w:p w14:paraId="3AE68A3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lang w:val="en-US" w:eastAsia="zh-CN"/>
              </w:rPr>
            </w:pPr>
            <w:r>
              <w:rPr>
                <w:rFonts w:hint="eastAsia" w:ascii="仿宋_GB2312" w:hAnsi="宋体" w:eastAsia="仿宋_GB2312" w:cs="仿宋_GB2312"/>
                <w:sz w:val="18"/>
                <w:szCs w:val="18"/>
                <w:lang w:val="en-US" w:eastAsia="zh-CN"/>
              </w:rPr>
              <w:t>以欺骗、贿赂等不正当手段取得安全合格证的</w:t>
            </w:r>
          </w:p>
        </w:tc>
        <w:tc>
          <w:tcPr>
            <w:tcW w:w="3667" w:type="dxa"/>
            <w:vMerge w:val="restart"/>
            <w:tcBorders>
              <w:tl2br w:val="nil"/>
              <w:tr2bl w:val="nil"/>
            </w:tcBorders>
            <w:shd w:val="clear" w:color="auto" w:fill="auto"/>
            <w:tcMar>
              <w:top w:w="15" w:type="dxa"/>
              <w:left w:w="15" w:type="dxa"/>
              <w:right w:w="15" w:type="dxa"/>
            </w:tcMar>
            <w:vAlign w:val="center"/>
          </w:tcPr>
          <w:p w14:paraId="2ABFEBE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《安全生产法》第三十条第一款 生产经营单位的特种作业人员必须按照国家有关规定经专门的安全作业培训，取得相应资格，方可上岗作业。</w:t>
            </w:r>
          </w:p>
          <w:p w14:paraId="3F07FB2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《安全生产培训管理办法》第三十五条 生产经营单位主要负责人、安全生产管理人员、特种作业人员以欺骗、贿赂等不正当手段取得安全合格证或者特种作业操作证的，除撤销其相关证书外，处3000元以下的罚款，并自撤销其相关证书之日起3年内不得再次申请该证书。</w:t>
            </w:r>
          </w:p>
        </w:tc>
        <w:tc>
          <w:tcPr>
            <w:tcW w:w="4082" w:type="dxa"/>
            <w:vMerge w:val="restart"/>
            <w:tcBorders>
              <w:tl2br w:val="nil"/>
              <w:tr2bl w:val="nil"/>
            </w:tcBorders>
            <w:shd w:val="clear" w:color="auto" w:fill="auto"/>
            <w:tcMar>
              <w:top w:w="15" w:type="dxa"/>
              <w:left w:w="15" w:type="dxa"/>
              <w:right w:w="15" w:type="dxa"/>
            </w:tcMar>
            <w:vAlign w:val="center"/>
          </w:tcPr>
          <w:p w14:paraId="4FE418C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《安全生产培训管理办法》第三十五条 生产经营单位主要负责人、安全生产管理人员、特种作业人员以欺骗、贿赂等不正当手段取得安全合格证或者特种作业操作证的，除撤其相关证书外，处3000元以下的罚款，并自撤销其相关证书之日起3年内不得再次申请该证书。</w:t>
            </w:r>
          </w:p>
        </w:tc>
        <w:tc>
          <w:tcPr>
            <w:tcW w:w="459" w:type="dxa"/>
            <w:tcBorders>
              <w:tl2br w:val="nil"/>
              <w:tr2bl w:val="nil"/>
            </w:tcBorders>
            <w:shd w:val="clear" w:color="auto" w:fill="auto"/>
            <w:noWrap/>
            <w:tcMar>
              <w:top w:w="15" w:type="dxa"/>
              <w:left w:w="15" w:type="dxa"/>
              <w:right w:w="15" w:type="dxa"/>
            </w:tcMar>
            <w:vAlign w:val="center"/>
          </w:tcPr>
          <w:p w14:paraId="6F11A77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703A035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61F12C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CAF8D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B93411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E4E034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146D55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0DB091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F41153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70F15B7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05AE66DF">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BB71B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58E24F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B99E92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5E3155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CD5F59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48E831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1D348C1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3FDC25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726E5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C626C2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78F5B9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807E05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8A66C9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65C66A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5B61AC5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情节较轻或者危害后果较轻的。</w:t>
            </w:r>
          </w:p>
        </w:tc>
        <w:tc>
          <w:tcPr>
            <w:tcW w:w="2655" w:type="dxa"/>
            <w:tcBorders>
              <w:tl2br w:val="nil"/>
              <w:tr2bl w:val="nil"/>
            </w:tcBorders>
            <w:shd w:val="clear" w:color="auto" w:fill="auto"/>
            <w:tcMar>
              <w:top w:w="15" w:type="dxa"/>
              <w:left w:w="15" w:type="dxa"/>
              <w:right w:w="15" w:type="dxa"/>
            </w:tcMar>
            <w:vAlign w:val="center"/>
          </w:tcPr>
          <w:p w14:paraId="47FE5E8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处1000元以下的罚款，并自撤销其相关证书之日起3年内不得再次申请该证书。</w:t>
            </w:r>
          </w:p>
        </w:tc>
      </w:tr>
      <w:tr w14:paraId="58D3BC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82979E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40FC97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472F17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72BB19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50288B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54670DA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情节较重或者危害后果较重的。</w:t>
            </w:r>
          </w:p>
        </w:tc>
        <w:tc>
          <w:tcPr>
            <w:tcW w:w="2655" w:type="dxa"/>
            <w:tcBorders>
              <w:tl2br w:val="nil"/>
              <w:tr2bl w:val="nil"/>
            </w:tcBorders>
            <w:shd w:val="clear" w:color="auto" w:fill="auto"/>
            <w:tcMar>
              <w:top w:w="15" w:type="dxa"/>
              <w:left w:w="15" w:type="dxa"/>
              <w:right w:w="15" w:type="dxa"/>
            </w:tcMar>
            <w:vAlign w:val="center"/>
          </w:tcPr>
          <w:p w14:paraId="1AF5137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处1000元以上2000元以下的罚款，并自撤销其相关证书之日起3年内不得再次申请该证书。</w:t>
            </w:r>
          </w:p>
        </w:tc>
      </w:tr>
      <w:tr w14:paraId="64AEB8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7BDFEB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B8C348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D4DE7E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76C9DC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7FD62F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4DF225C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情节严重或者危害后果严重的。</w:t>
            </w:r>
          </w:p>
        </w:tc>
        <w:tc>
          <w:tcPr>
            <w:tcW w:w="2655" w:type="dxa"/>
            <w:tcBorders>
              <w:tl2br w:val="nil"/>
              <w:tr2bl w:val="nil"/>
            </w:tcBorders>
            <w:shd w:val="clear" w:color="auto" w:fill="auto"/>
            <w:tcMar>
              <w:top w:w="15" w:type="dxa"/>
              <w:left w:w="15" w:type="dxa"/>
              <w:right w:w="15" w:type="dxa"/>
            </w:tcMar>
            <w:vAlign w:val="center"/>
          </w:tcPr>
          <w:p w14:paraId="2E3DDC9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处2000元以上3000元以下的罚款，并自撤销其相关证书之日起3年内不得再次申请该证书。</w:t>
            </w:r>
          </w:p>
        </w:tc>
      </w:tr>
      <w:tr w14:paraId="5F9A48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2FB49A2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hint="default" w:ascii="仿宋_GB2312" w:hAnsi="宋体" w:eastAsia="仿宋_GB2312" w:cs="仿宋_GB2312"/>
                <w:sz w:val="18"/>
                <w:szCs w:val="18"/>
                <w:lang w:val="en-US" w:eastAsia="zh-CN"/>
              </w:rPr>
            </w:pPr>
            <w:r>
              <w:rPr>
                <w:rFonts w:hint="eastAsia" w:ascii="仿宋_GB2312" w:hAnsi="宋体" w:eastAsia="仿宋_GB2312" w:cs="仿宋_GB2312"/>
                <w:sz w:val="18"/>
                <w:szCs w:val="18"/>
                <w:lang w:val="en-US" w:eastAsia="zh-CN"/>
              </w:rPr>
              <w:t>1</w:t>
            </w:r>
            <w:del w:id="2971" w:author="LV" w:date="2026-07-14T17:02:50Z">
              <w:r>
                <w:rPr>
                  <w:rFonts w:hint="default" w:ascii="仿宋_GB2312" w:hAnsi="宋体" w:eastAsia="仿宋_GB2312" w:cs="仿宋_GB2312"/>
                  <w:sz w:val="18"/>
                  <w:szCs w:val="18"/>
                  <w:lang w:val="en-US" w:eastAsia="zh-CN"/>
                </w:rPr>
                <w:delText>84</w:delText>
              </w:r>
            </w:del>
            <w:ins w:id="2972" w:author="LV" w:date="2026-07-14T17:02:50Z">
              <w:r>
                <w:rPr>
                  <w:rFonts w:hint="eastAsia" w:ascii="仿宋_GB2312" w:hAnsi="宋体" w:eastAsia="仿宋_GB2312" w:cs="仿宋_GB2312"/>
                  <w:sz w:val="18"/>
                  <w:szCs w:val="18"/>
                  <w:lang w:val="en-US" w:eastAsia="zh-CN"/>
                </w:rPr>
                <w:t>90</w:t>
              </w:r>
            </w:ins>
          </w:p>
        </w:tc>
        <w:tc>
          <w:tcPr>
            <w:tcW w:w="1005" w:type="dxa"/>
            <w:vMerge w:val="restart"/>
            <w:tcBorders>
              <w:tl2br w:val="nil"/>
              <w:tr2bl w:val="nil"/>
            </w:tcBorders>
            <w:shd w:val="clear" w:color="auto" w:fill="auto"/>
            <w:tcMar>
              <w:top w:w="15" w:type="dxa"/>
              <w:left w:w="15" w:type="dxa"/>
              <w:right w:w="15" w:type="dxa"/>
            </w:tcMar>
            <w:vAlign w:val="center"/>
          </w:tcPr>
          <w:p w14:paraId="26371AA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hint="eastAsia" w:ascii="仿宋_GB2312" w:hAnsi="宋体" w:eastAsia="仿宋_GB2312" w:cs="仿宋_GB2312"/>
                <w:sz w:val="18"/>
                <w:szCs w:val="18"/>
              </w:rPr>
              <w:t>以欺骗、贿赂、作弊等不正当手段取得特种作业操作证的</w:t>
            </w:r>
          </w:p>
        </w:tc>
        <w:tc>
          <w:tcPr>
            <w:tcW w:w="3667" w:type="dxa"/>
            <w:vMerge w:val="restart"/>
            <w:tcBorders>
              <w:tl2br w:val="nil"/>
              <w:tr2bl w:val="nil"/>
            </w:tcBorders>
            <w:shd w:val="clear" w:color="auto" w:fill="auto"/>
            <w:tcMar>
              <w:top w:w="15" w:type="dxa"/>
              <w:left w:w="15" w:type="dxa"/>
              <w:right w:w="15" w:type="dxa"/>
            </w:tcMar>
            <w:vAlign w:val="center"/>
          </w:tcPr>
          <w:p w14:paraId="6E3B051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hint="eastAsia" w:ascii="仿宋_GB2312" w:hAnsi="宋体" w:eastAsia="仿宋_GB2312" w:cs="仿宋_GB2312"/>
                <w:sz w:val="18"/>
                <w:szCs w:val="18"/>
              </w:rPr>
              <w:t>《特种作业人员安全技术培训考核管理规定》第三十四条　特种作业人员以欺骗、贿赂、作弊等不正当手段取得特种作业操作证的，考核发证机关应当撤销特种作业操作证。特种作业人员自特种作业操作证被撤销之日起3年内，不得再次申请特种作业操作证。</w:t>
            </w:r>
          </w:p>
        </w:tc>
        <w:tc>
          <w:tcPr>
            <w:tcW w:w="4082" w:type="dxa"/>
            <w:vMerge w:val="restart"/>
            <w:tcBorders>
              <w:tl2br w:val="nil"/>
              <w:tr2bl w:val="nil"/>
            </w:tcBorders>
            <w:shd w:val="clear" w:color="auto" w:fill="auto"/>
            <w:tcMar>
              <w:top w:w="15" w:type="dxa"/>
              <w:left w:w="15" w:type="dxa"/>
              <w:right w:w="15" w:type="dxa"/>
            </w:tcMar>
            <w:vAlign w:val="center"/>
          </w:tcPr>
          <w:p w14:paraId="254A213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hint="eastAsia" w:ascii="仿宋_GB2312" w:hAnsi="宋体" w:eastAsia="仿宋_GB2312" w:cs="仿宋_GB2312"/>
                <w:sz w:val="18"/>
                <w:szCs w:val="18"/>
              </w:rPr>
              <w:t>《特种作业人员安全技术培训考核管理规定》第四十五条　特种作业人员以欺骗、贿赂、作弊等不正当手段取得特种作业操作证的，除撤销其相关证书外，处5000元以上2万元以下的罚款。</w:t>
            </w:r>
          </w:p>
        </w:tc>
        <w:tc>
          <w:tcPr>
            <w:tcW w:w="459" w:type="dxa"/>
            <w:tcBorders>
              <w:tl2br w:val="nil"/>
              <w:tr2bl w:val="nil"/>
            </w:tcBorders>
            <w:shd w:val="clear" w:color="auto" w:fill="auto"/>
            <w:noWrap/>
            <w:tcMar>
              <w:top w:w="15" w:type="dxa"/>
              <w:left w:w="15" w:type="dxa"/>
              <w:right w:w="15" w:type="dxa"/>
            </w:tcMar>
            <w:vAlign w:val="center"/>
          </w:tcPr>
          <w:p w14:paraId="6CFBAB5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1FC842F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609424C3">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560691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45FEF5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ECB81B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569FEF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C3F597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7B4C0E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6A59AAD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14695E1F">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2A4A0D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78DBBF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F43848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E8A9A3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50F372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64EE37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6FFFFD5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72C9A41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685DFF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AF9D01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FC9ABD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376FA2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7CE505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949522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71BFBD0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首次存在以欺骗、贿赂、作弊等不正当手段取得特种作业操作证的</w:t>
            </w:r>
          </w:p>
        </w:tc>
        <w:tc>
          <w:tcPr>
            <w:tcW w:w="2655" w:type="dxa"/>
            <w:tcBorders>
              <w:tl2br w:val="nil"/>
              <w:tr2bl w:val="nil"/>
            </w:tcBorders>
            <w:shd w:val="clear" w:color="auto" w:fill="auto"/>
            <w:tcMar>
              <w:top w:w="15" w:type="dxa"/>
              <w:left w:w="15" w:type="dxa"/>
              <w:right w:w="15" w:type="dxa"/>
            </w:tcMar>
            <w:vAlign w:val="center"/>
          </w:tcPr>
          <w:p w14:paraId="1828916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撤销相关证书，处5000元以上1万元以下的罚款，3年内不得再次申请特种作业操作证。</w:t>
            </w:r>
          </w:p>
        </w:tc>
      </w:tr>
      <w:tr w14:paraId="73D34A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DEEEAB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2B42F8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5396F7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BD721D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698249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06BEBDB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已持证上岗，但未引发事故的</w:t>
            </w:r>
          </w:p>
        </w:tc>
        <w:tc>
          <w:tcPr>
            <w:tcW w:w="2655" w:type="dxa"/>
            <w:tcBorders>
              <w:tl2br w:val="nil"/>
              <w:tr2bl w:val="nil"/>
            </w:tcBorders>
            <w:shd w:val="clear" w:color="auto" w:fill="auto"/>
            <w:tcMar>
              <w:top w:w="15" w:type="dxa"/>
              <w:left w:w="15" w:type="dxa"/>
              <w:right w:w="15" w:type="dxa"/>
            </w:tcMar>
            <w:vAlign w:val="center"/>
          </w:tcPr>
          <w:p w14:paraId="3E4F3BB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撤销相关证书，处1万元以上1.5万元以下罚款，3年内不得再次申请特种作业操作证。</w:t>
            </w:r>
          </w:p>
        </w:tc>
      </w:tr>
      <w:tr w14:paraId="290B76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F2FC95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C55971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BF892C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E1C218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968082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7B0F266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存在2次以上以欺骗、贿赂、作弊等不正当手段取得特种作业操作证的</w:t>
            </w:r>
          </w:p>
        </w:tc>
        <w:tc>
          <w:tcPr>
            <w:tcW w:w="2655" w:type="dxa"/>
            <w:tcBorders>
              <w:tl2br w:val="nil"/>
              <w:tr2bl w:val="nil"/>
            </w:tcBorders>
            <w:shd w:val="clear" w:color="auto" w:fill="auto"/>
            <w:tcMar>
              <w:top w:w="15" w:type="dxa"/>
              <w:left w:w="15" w:type="dxa"/>
              <w:right w:w="15" w:type="dxa"/>
            </w:tcMar>
            <w:vAlign w:val="center"/>
          </w:tcPr>
          <w:p w14:paraId="6AB3CA6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撤销相关证书，处1.5万元以上2万元以下罚款，3年内不得再次申请特种作业操作证。</w:t>
            </w:r>
          </w:p>
        </w:tc>
      </w:tr>
      <w:tr w14:paraId="7D13F2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2CD82E7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1</w:t>
            </w:r>
            <w:del w:id="2973" w:author="LV" w:date="2026-07-14T17:02:56Z">
              <w:r>
                <w:rPr>
                  <w:rFonts w:hint="default" w:ascii="仿宋_GB2312" w:hAnsi="宋体" w:eastAsia="仿宋_GB2312" w:cs="仿宋_GB2312"/>
                  <w:kern w:val="0"/>
                  <w:sz w:val="18"/>
                  <w:szCs w:val="18"/>
                  <w:lang w:val="en-US" w:bidi="ar"/>
                </w:rPr>
                <w:delText>8</w:delText>
              </w:r>
            </w:del>
            <w:del w:id="2974" w:author="LV" w:date="2026-07-14T17:02:56Z">
              <w:r>
                <w:rPr>
                  <w:rFonts w:hint="default" w:ascii="仿宋_GB2312" w:hAnsi="宋体" w:eastAsia="仿宋_GB2312" w:cs="仿宋_GB2312"/>
                  <w:kern w:val="0"/>
                  <w:sz w:val="18"/>
                  <w:szCs w:val="18"/>
                  <w:lang w:val="en-US" w:eastAsia="zh-CN" w:bidi="ar"/>
                </w:rPr>
                <w:delText>5</w:delText>
              </w:r>
            </w:del>
            <w:ins w:id="2975" w:author="LV" w:date="2026-07-14T17:02:56Z">
              <w:r>
                <w:rPr>
                  <w:rFonts w:hint="eastAsia" w:ascii="仿宋_GB2312" w:hAnsi="宋体" w:eastAsia="仿宋_GB2312" w:cs="仿宋_GB2312"/>
                  <w:kern w:val="0"/>
                  <w:sz w:val="18"/>
                  <w:szCs w:val="18"/>
                  <w:lang w:val="en-US" w:eastAsia="zh-CN" w:bidi="ar"/>
                </w:rPr>
                <w:t>9</w:t>
              </w:r>
            </w:ins>
            <w:ins w:id="2976" w:author="LV" w:date="2026-07-14T17:02:57Z">
              <w:r>
                <w:rPr>
                  <w:rFonts w:hint="eastAsia" w:ascii="仿宋_GB2312" w:hAnsi="宋体" w:eastAsia="仿宋_GB2312" w:cs="仿宋_GB2312"/>
                  <w:kern w:val="0"/>
                  <w:sz w:val="18"/>
                  <w:szCs w:val="18"/>
                  <w:lang w:val="en-US" w:eastAsia="zh-CN" w:bidi="ar"/>
                </w:rPr>
                <w:t>1</w:t>
              </w:r>
            </w:ins>
          </w:p>
        </w:tc>
        <w:tc>
          <w:tcPr>
            <w:tcW w:w="1005" w:type="dxa"/>
            <w:vMerge w:val="restart"/>
            <w:tcBorders>
              <w:tl2br w:val="nil"/>
              <w:tr2bl w:val="nil"/>
            </w:tcBorders>
            <w:shd w:val="clear" w:color="auto" w:fill="auto"/>
            <w:tcMar>
              <w:top w:w="15" w:type="dxa"/>
              <w:left w:w="15" w:type="dxa"/>
              <w:right w:w="15" w:type="dxa"/>
            </w:tcMar>
            <w:vAlign w:val="center"/>
          </w:tcPr>
          <w:p w14:paraId="04D02B5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lang w:val="en-US" w:eastAsia="zh-CN"/>
              </w:rPr>
            </w:pPr>
            <w:r>
              <w:rPr>
                <w:rFonts w:hint="eastAsia" w:ascii="仿宋_GB2312" w:hAnsi="宋体" w:eastAsia="仿宋_GB2312" w:cs="仿宋_GB2312"/>
                <w:kern w:val="0"/>
                <w:sz w:val="18"/>
                <w:szCs w:val="18"/>
                <w:highlight w:val="none"/>
                <w:lang w:bidi="ar"/>
              </w:rPr>
              <w:t>煤矿企业主要负责人、分管安全生产的负责人或者安全总监、安全生产管理人员未按照规定经考核合格</w:t>
            </w:r>
            <w:r>
              <w:rPr>
                <w:rFonts w:hint="eastAsia" w:ascii="仿宋_GB2312" w:hAnsi="宋体" w:eastAsia="仿宋_GB2312" w:cs="仿宋_GB2312"/>
                <w:kern w:val="0"/>
                <w:sz w:val="18"/>
                <w:szCs w:val="18"/>
                <w:highlight w:val="none"/>
                <w:lang w:val="en-US" w:eastAsia="zh-CN" w:bidi="ar"/>
              </w:rPr>
              <w:t>的</w:t>
            </w:r>
          </w:p>
        </w:tc>
        <w:tc>
          <w:tcPr>
            <w:tcW w:w="3667" w:type="dxa"/>
            <w:vMerge w:val="restart"/>
            <w:tcBorders>
              <w:tl2br w:val="nil"/>
              <w:tr2bl w:val="nil"/>
            </w:tcBorders>
            <w:shd w:val="clear" w:color="auto" w:fill="auto"/>
            <w:tcMar>
              <w:top w:w="15" w:type="dxa"/>
              <w:left w:w="15" w:type="dxa"/>
              <w:right w:w="15" w:type="dxa"/>
            </w:tcMar>
            <w:vAlign w:val="center"/>
          </w:tcPr>
          <w:p w14:paraId="33EEA110">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《安全生产法》第二十七条第二款</w:t>
            </w:r>
            <w:r>
              <w:rPr>
                <w:rFonts w:ascii="仿宋_GB2312" w:hAnsi="宋体" w:eastAsia="仿宋_GB2312" w:cs="仿宋_GB2312"/>
                <w:kern w:val="0"/>
                <w:sz w:val="18"/>
                <w:szCs w:val="18"/>
                <w:lang w:bidi="ar"/>
              </w:rPr>
              <w:t xml:space="preserve"> </w:t>
            </w:r>
            <w:r>
              <w:rPr>
                <w:rFonts w:hint="eastAsia" w:ascii="仿宋_GB2312" w:hAnsi="宋体" w:eastAsia="仿宋_GB2312" w:cs="仿宋_GB2312"/>
                <w:kern w:val="0"/>
                <w:sz w:val="18"/>
                <w:szCs w:val="18"/>
                <w:lang w:bidi="ar"/>
              </w:rPr>
              <w:t>危险物品的生产、经营、储存、装卸单位以及矿山、金属冶炼、建筑施工、运输单位的主要负责人和安全生产管理人员，应当由主管的负有安全生产监督管理职责的部门对其安全生产知识和管理能力考核合格。考核不得收费。</w:t>
            </w:r>
          </w:p>
          <w:p w14:paraId="72E4FFB1">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《山东省安全生产条例》第二十七条第二款</w:t>
            </w:r>
            <w:r>
              <w:rPr>
                <w:rFonts w:ascii="仿宋_GB2312" w:hAnsi="宋体" w:eastAsia="仿宋_GB2312" w:cs="仿宋_GB2312"/>
                <w:kern w:val="0"/>
                <w:sz w:val="18"/>
                <w:szCs w:val="18"/>
                <w:lang w:bidi="ar"/>
              </w:rPr>
              <w:t xml:space="preserve"> </w:t>
            </w:r>
            <w:r>
              <w:rPr>
                <w:rFonts w:hint="eastAsia" w:ascii="仿宋_GB2312" w:hAnsi="宋体" w:eastAsia="仿宋_GB2312" w:cs="仿宋_GB2312"/>
                <w:kern w:val="0"/>
                <w:sz w:val="18"/>
                <w:szCs w:val="18"/>
                <w:lang w:bidi="ar"/>
              </w:rPr>
              <w:t>高危生产经营单位的主要负责人、分管安全生产的负责人或者安全总监、安全生产管理人员，应当按照规定经主管的负有安全生产监督管理职责的部门考核合格。考核不得收费。</w:t>
            </w:r>
          </w:p>
          <w:p w14:paraId="4D8A1CD3">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《生产经营单位安全培训规定》第二十四条  煤矿、非煤矿山、危险化学品、烟花爆竹、金属冶炼等生产经营单位主要负责人和安全生产管理人员，自任职之日起6个月内，必须经安全生产监管监察部门对其安全生产知识和管理能力考核合格。</w:t>
            </w:r>
          </w:p>
          <w:p w14:paraId="348F7CAC">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《煤矿安全培训规定》第十七条第一款</w:t>
            </w:r>
            <w:r>
              <w:rPr>
                <w:rFonts w:hint="eastAsia" w:ascii="仿宋_GB2312" w:hAnsi="宋体" w:eastAsia="仿宋_GB2312" w:cs="仿宋_GB2312"/>
                <w:kern w:val="0"/>
                <w:sz w:val="18"/>
                <w:szCs w:val="18"/>
                <w:lang w:val="en-US" w:eastAsia="zh-CN" w:bidi="ar"/>
              </w:rPr>
              <w:t xml:space="preserve"> </w:t>
            </w:r>
            <w:r>
              <w:rPr>
                <w:rFonts w:hint="eastAsia" w:ascii="仿宋_GB2312" w:hAnsi="宋体" w:eastAsia="仿宋_GB2312" w:cs="仿宋_GB2312"/>
                <w:kern w:val="0"/>
                <w:sz w:val="18"/>
                <w:szCs w:val="18"/>
                <w:lang w:bidi="ar"/>
              </w:rPr>
              <w:t>煤矿企业主要负责人和安全生产管理人员应当自任职之日起六个月内通过考核部门组织的安全生产知识和管理能力考核，并持续保持相应水平和能力。</w:t>
            </w:r>
          </w:p>
          <w:p w14:paraId="41FA7610">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《煤矿安全生产条例》第二十一条第一款  煤矿企业主要负责人和安全生产管理人员应当通过安全生产知识和管理能力考核，并持续保持相应水平和能力。</w:t>
            </w:r>
          </w:p>
        </w:tc>
        <w:tc>
          <w:tcPr>
            <w:tcW w:w="4082" w:type="dxa"/>
            <w:vMerge w:val="restart"/>
            <w:tcBorders>
              <w:tl2br w:val="nil"/>
              <w:tr2bl w:val="nil"/>
            </w:tcBorders>
            <w:shd w:val="clear" w:color="auto" w:fill="auto"/>
            <w:tcMar>
              <w:top w:w="15" w:type="dxa"/>
              <w:left w:w="15" w:type="dxa"/>
              <w:right w:w="15" w:type="dxa"/>
            </w:tcMar>
            <w:vAlign w:val="center"/>
          </w:tcPr>
          <w:p w14:paraId="6849F559">
            <w:pPr>
              <w:keepNext w:val="0"/>
              <w:keepLines w:val="0"/>
              <w:pageBreakBefore w:val="0"/>
              <w:widowControl w:val="0"/>
              <w:kinsoku/>
              <w:wordWrap/>
              <w:overflowPunct w:val="0"/>
              <w:topLinePunct w:val="0"/>
              <w:autoSpaceDE/>
              <w:autoSpaceDN/>
              <w:bidi w:val="0"/>
              <w:adjustRightInd/>
              <w:snapToGrid/>
              <w:spacing w:line="230" w:lineRule="exact"/>
              <w:textAlignment w:val="center"/>
              <w:rPr>
                <w:rFonts w:ascii="仿宋_GB2312" w:hAnsi="宋体" w:eastAsia="仿宋_GB2312" w:cs="仿宋_GB2312"/>
                <w:w w:val="95"/>
                <w:kern w:val="0"/>
                <w:sz w:val="18"/>
                <w:szCs w:val="18"/>
                <w:lang w:bidi="ar"/>
              </w:rPr>
            </w:pPr>
            <w:r>
              <w:rPr>
                <w:rFonts w:hint="eastAsia" w:ascii="仿宋_GB2312" w:hAnsi="宋体" w:eastAsia="仿宋_GB2312" w:cs="仿宋_GB2312"/>
                <w:w w:val="95"/>
                <w:kern w:val="0"/>
                <w:sz w:val="18"/>
                <w:szCs w:val="18"/>
                <w:lang w:bidi="ar"/>
              </w:rPr>
              <w:t>《安全生产法》第九十七条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二）危险物品的生产、经营、储存、装卸单位以及矿山、金属冶炼、建筑施工、运输单位的主要负责人和安全生产管理人员未按照规定经考核合格的</w:t>
            </w:r>
            <w:r>
              <w:rPr>
                <w:rFonts w:hint="eastAsia" w:ascii="仿宋_GB2312" w:hAnsi="宋体" w:eastAsia="仿宋_GB2312" w:cs="仿宋_GB2312"/>
                <w:w w:val="95"/>
                <w:kern w:val="0"/>
                <w:sz w:val="18"/>
                <w:szCs w:val="18"/>
                <w:lang w:eastAsia="zh-CN" w:bidi="ar"/>
              </w:rPr>
              <w:t>。</w:t>
            </w:r>
            <w:r>
              <w:rPr>
                <w:rFonts w:hint="eastAsia" w:ascii="仿宋_GB2312" w:hAnsi="宋体" w:eastAsia="仿宋_GB2312" w:cs="仿宋_GB2312"/>
                <w:w w:val="95"/>
                <w:kern w:val="0"/>
                <w:sz w:val="18"/>
                <w:szCs w:val="18"/>
                <w:lang w:bidi="ar"/>
              </w:rPr>
              <w:br w:type="textWrapping"/>
            </w:r>
            <w:r>
              <w:rPr>
                <w:rFonts w:hint="eastAsia" w:ascii="仿宋_GB2312" w:hAnsi="宋体" w:eastAsia="仿宋_GB2312" w:cs="仿宋_GB2312"/>
                <w:w w:val="95"/>
                <w:kern w:val="0"/>
                <w:sz w:val="18"/>
                <w:szCs w:val="18"/>
                <w:lang w:bidi="ar"/>
              </w:rPr>
              <w:t>《山东省安全生产条例》第七十五条第五项</w:t>
            </w:r>
            <w:r>
              <w:rPr>
                <w:rFonts w:ascii="仿宋_GB2312" w:hAnsi="宋体" w:eastAsia="仿宋_GB2312" w:cs="仿宋_GB2312"/>
                <w:w w:val="95"/>
                <w:kern w:val="0"/>
                <w:sz w:val="18"/>
                <w:szCs w:val="18"/>
                <w:lang w:bidi="ar"/>
              </w:rPr>
              <w:t xml:space="preserve"> </w:t>
            </w:r>
            <w:r>
              <w:rPr>
                <w:rFonts w:hint="eastAsia" w:ascii="仿宋_GB2312" w:hAnsi="宋体" w:eastAsia="仿宋_GB2312" w:cs="仿宋_GB2312"/>
                <w:w w:val="95"/>
                <w:kern w:val="0"/>
                <w:sz w:val="18"/>
                <w:szCs w:val="18"/>
                <w:lang w:bidi="ar"/>
              </w:rPr>
              <w:t>违反本条例规定，生产经营单位有下列情形之一的，责令限期改正，处三万元以上十万元以下的罚款；逾期未改正的，责令停产停业整顿，并处十万元以上二十万元以下的罚款，对直接负责的主管人员和其他直接责任人员处二万元以上五万元以下的罚款：</w:t>
            </w:r>
            <w:r>
              <w:rPr>
                <w:rFonts w:hint="eastAsia" w:ascii="仿宋_GB2312" w:hAnsi="宋体" w:eastAsia="仿宋_GB2312" w:cs="仿宋_GB2312"/>
                <w:w w:val="95"/>
                <w:kern w:val="0"/>
                <w:sz w:val="18"/>
                <w:szCs w:val="18"/>
                <w:lang w:eastAsia="zh-CN" w:bidi="ar"/>
              </w:rPr>
              <w:t>（</w:t>
            </w:r>
            <w:r>
              <w:rPr>
                <w:rFonts w:hint="eastAsia" w:ascii="仿宋_GB2312" w:hAnsi="宋体" w:eastAsia="仿宋_GB2312" w:cs="仿宋_GB2312"/>
                <w:w w:val="95"/>
                <w:kern w:val="0"/>
                <w:sz w:val="18"/>
                <w:szCs w:val="18"/>
                <w:lang w:bidi="ar"/>
              </w:rPr>
              <w:t>五</w:t>
            </w:r>
            <w:r>
              <w:rPr>
                <w:rFonts w:hint="eastAsia" w:ascii="仿宋_GB2312" w:hAnsi="宋体" w:eastAsia="仿宋_GB2312" w:cs="仿宋_GB2312"/>
                <w:w w:val="95"/>
                <w:kern w:val="0"/>
                <w:sz w:val="18"/>
                <w:szCs w:val="18"/>
                <w:lang w:eastAsia="zh-CN" w:bidi="ar"/>
              </w:rPr>
              <w:t>）</w:t>
            </w:r>
            <w:r>
              <w:rPr>
                <w:rFonts w:hint="eastAsia" w:ascii="仿宋_GB2312" w:hAnsi="宋体" w:eastAsia="仿宋_GB2312" w:cs="仿宋_GB2312"/>
                <w:w w:val="95"/>
                <w:kern w:val="0"/>
                <w:sz w:val="18"/>
                <w:szCs w:val="18"/>
                <w:lang w:bidi="ar"/>
              </w:rPr>
              <w:t>高危生产经营单位的主要负责人、分管安全生产的负责人或者安全总监、安全生产管理人员未按照规定经考核合格的</w:t>
            </w:r>
            <w:r>
              <w:rPr>
                <w:rFonts w:hint="eastAsia" w:ascii="仿宋_GB2312" w:hAnsi="宋体" w:eastAsia="仿宋_GB2312" w:cs="仿宋_GB2312"/>
                <w:w w:val="95"/>
                <w:kern w:val="0"/>
                <w:sz w:val="18"/>
                <w:szCs w:val="18"/>
                <w:lang w:eastAsia="zh-CN" w:bidi="ar"/>
              </w:rPr>
              <w:t>。</w:t>
            </w:r>
          </w:p>
          <w:p w14:paraId="2AD80148">
            <w:pPr>
              <w:keepNext w:val="0"/>
              <w:keepLines w:val="0"/>
              <w:pageBreakBefore w:val="0"/>
              <w:widowControl w:val="0"/>
              <w:kinsoku/>
              <w:wordWrap/>
              <w:overflowPunct w:val="0"/>
              <w:topLinePunct w:val="0"/>
              <w:autoSpaceDE/>
              <w:autoSpaceDN/>
              <w:bidi w:val="0"/>
              <w:adjustRightInd/>
              <w:snapToGrid/>
              <w:spacing w:line="230" w:lineRule="exact"/>
              <w:textAlignment w:val="center"/>
              <w:rPr>
                <w:rFonts w:hint="eastAsia" w:ascii="仿宋_GB2312" w:hAnsi="宋体" w:eastAsia="仿宋_GB2312" w:cs="仿宋_GB2312"/>
                <w:w w:val="95"/>
                <w:kern w:val="0"/>
                <w:sz w:val="18"/>
                <w:szCs w:val="18"/>
                <w:lang w:bidi="ar"/>
              </w:rPr>
            </w:pPr>
            <w:r>
              <w:rPr>
                <w:rFonts w:hint="eastAsia" w:ascii="仿宋_GB2312" w:hAnsi="宋体" w:eastAsia="仿宋_GB2312" w:cs="仿宋_GB2312"/>
                <w:w w:val="95"/>
                <w:kern w:val="0"/>
                <w:sz w:val="18"/>
                <w:szCs w:val="18"/>
                <w:lang w:bidi="ar"/>
              </w:rPr>
              <w:t>《生产经营单位安全培训规定》第三十条 生产经营单位有下列行为之一的，由安全生产监管监察部门责令其限期改正，可以处5万元以下的罚款；逾期未改正的，责令停产停业整顿，并处5万元以上10万元以下的罚款，对其直接负责的主管人员和其他直接责任人员处1万元以上2万元以下的罚款：（一）煤矿、非煤矿山、危险化学品、烟花爆竹、金属冶炼等生产经营单位主要负责人和安全管理人员未按照规定经考核合格的</w:t>
            </w:r>
            <w:r>
              <w:rPr>
                <w:rFonts w:hint="eastAsia" w:ascii="仿宋_GB2312" w:hAnsi="宋体" w:eastAsia="仿宋_GB2312" w:cs="仿宋_GB2312"/>
                <w:w w:val="95"/>
                <w:kern w:val="0"/>
                <w:sz w:val="18"/>
                <w:szCs w:val="18"/>
                <w:lang w:eastAsia="zh-CN" w:bidi="ar"/>
              </w:rPr>
              <w:t>。</w:t>
            </w:r>
            <w:r>
              <w:rPr>
                <w:rFonts w:hint="eastAsia" w:ascii="仿宋_GB2312" w:hAnsi="宋体" w:eastAsia="仿宋_GB2312" w:cs="仿宋_GB2312"/>
                <w:w w:val="95"/>
                <w:kern w:val="0"/>
                <w:sz w:val="18"/>
                <w:szCs w:val="18"/>
                <w:lang w:bidi="ar"/>
              </w:rPr>
              <w:t xml:space="preserve"> </w:t>
            </w:r>
            <w:r>
              <w:rPr>
                <w:rFonts w:hint="eastAsia" w:ascii="仿宋_GB2312" w:hAnsi="宋体" w:eastAsia="仿宋_GB2312" w:cs="仿宋_GB2312"/>
                <w:w w:val="95"/>
                <w:kern w:val="0"/>
                <w:sz w:val="18"/>
                <w:szCs w:val="18"/>
                <w:lang w:bidi="ar"/>
              </w:rPr>
              <w:br w:type="textWrapping"/>
            </w:r>
            <w:r>
              <w:rPr>
                <w:rFonts w:hint="eastAsia" w:ascii="仿宋_GB2312" w:hAnsi="宋体" w:eastAsia="仿宋_GB2312" w:cs="仿宋_GB2312"/>
                <w:w w:val="95"/>
                <w:kern w:val="0"/>
                <w:sz w:val="18"/>
                <w:szCs w:val="18"/>
                <w:lang w:bidi="ar"/>
              </w:rPr>
              <w:t>《煤矿安全培训规定》第四十七条 煤矿企业有下列行为之一的，由煤矿安全培训主管部门或者煤矿安全监察机构责令其限期改正，可以处五万元以下的罚款；逾期未改正的，责令停产停业整顿，并处五万元以上十万元以下的罚款，对其直接负责的主管人员和其他直接责任人员处一万元以上二万元以下的罚款：（一）主要负责人和安全生产管理人员未按照规定经考核合格的。</w:t>
            </w:r>
          </w:p>
          <w:p w14:paraId="23139A93">
            <w:pPr>
              <w:keepNext w:val="0"/>
              <w:keepLines w:val="0"/>
              <w:pageBreakBefore w:val="0"/>
              <w:widowControl w:val="0"/>
              <w:kinsoku/>
              <w:wordWrap/>
              <w:overflowPunct w:val="0"/>
              <w:topLinePunct w:val="0"/>
              <w:autoSpaceDE/>
              <w:autoSpaceDN/>
              <w:bidi w:val="0"/>
              <w:adjustRightInd/>
              <w:snapToGrid/>
              <w:spacing w:line="23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w w:val="95"/>
                <w:kern w:val="0"/>
                <w:sz w:val="18"/>
                <w:szCs w:val="18"/>
                <w:lang w:bidi="ar"/>
              </w:rPr>
              <w:t>《煤矿安全生产条例》第六十二条  煤矿企业有下列行为之一的，依照《中华人民共和国安全生产法》有关规定予以处罚：（二）主要负责人和安全生产管理人员未按照规定经考核合格并持续保持相应水平和能力的；</w:t>
            </w:r>
          </w:p>
        </w:tc>
        <w:tc>
          <w:tcPr>
            <w:tcW w:w="459" w:type="dxa"/>
            <w:tcBorders>
              <w:tl2br w:val="nil"/>
              <w:tr2bl w:val="nil"/>
            </w:tcBorders>
            <w:shd w:val="clear" w:color="auto" w:fill="auto"/>
            <w:noWrap/>
            <w:tcMar>
              <w:top w:w="15" w:type="dxa"/>
              <w:left w:w="15" w:type="dxa"/>
              <w:right w:w="15" w:type="dxa"/>
            </w:tcMar>
            <w:vAlign w:val="center"/>
          </w:tcPr>
          <w:p w14:paraId="06F0FDE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36BFF15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7A6C8316">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E391B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1470CC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6E812F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33C891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9ADDF5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57C171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7F00765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77974F9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12E9B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8603FC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E1CDE1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7DE7B8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C4A839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1095BC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00DE2BF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56255A3">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D59B1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C83688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E9EF19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685452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905669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9F7917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31C768C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1名安全生产管理人员未按照规定经考核合格的。</w:t>
            </w:r>
          </w:p>
        </w:tc>
        <w:tc>
          <w:tcPr>
            <w:tcW w:w="2655" w:type="dxa"/>
            <w:tcBorders>
              <w:tl2br w:val="nil"/>
              <w:tr2bl w:val="nil"/>
            </w:tcBorders>
            <w:shd w:val="clear" w:color="auto" w:fill="auto"/>
            <w:tcMar>
              <w:top w:w="15" w:type="dxa"/>
              <w:left w:w="15" w:type="dxa"/>
              <w:right w:w="15" w:type="dxa"/>
            </w:tcMar>
            <w:vAlign w:val="center"/>
          </w:tcPr>
          <w:p w14:paraId="3CDF27F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处3万元以上5万元以下的罚款。</w:t>
            </w:r>
          </w:p>
        </w:tc>
      </w:tr>
      <w:tr w14:paraId="38472A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666AF4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DB0869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B4189D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064C35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6B1162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4A419DC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主要负责人</w:t>
            </w:r>
            <w:r>
              <w:rPr>
                <w:rFonts w:hint="eastAsia" w:ascii="仿宋_GB2312" w:hAnsi="宋体" w:eastAsia="仿宋_GB2312" w:cs="仿宋_GB2312"/>
                <w:kern w:val="0"/>
                <w:sz w:val="18"/>
                <w:szCs w:val="18"/>
                <w:lang w:val="en-US" w:eastAsia="zh-CN" w:bidi="ar"/>
              </w:rPr>
              <w:t>或者</w:t>
            </w:r>
            <w:r>
              <w:rPr>
                <w:rFonts w:hint="eastAsia" w:ascii="仿宋_GB2312" w:hAnsi="宋体" w:eastAsia="仿宋_GB2312" w:cs="仿宋_GB2312"/>
                <w:kern w:val="0"/>
                <w:sz w:val="18"/>
                <w:szCs w:val="18"/>
                <w:lang w:bidi="ar"/>
              </w:rPr>
              <w:t>2名以上安全生产管理人员未按照规定经考核合格的。</w:t>
            </w:r>
          </w:p>
        </w:tc>
        <w:tc>
          <w:tcPr>
            <w:tcW w:w="2655" w:type="dxa"/>
            <w:tcBorders>
              <w:tl2br w:val="nil"/>
              <w:tr2bl w:val="nil"/>
            </w:tcBorders>
            <w:shd w:val="clear" w:color="auto" w:fill="auto"/>
            <w:tcMar>
              <w:top w:w="15" w:type="dxa"/>
              <w:left w:w="15" w:type="dxa"/>
              <w:right w:w="15" w:type="dxa"/>
            </w:tcMar>
            <w:vAlign w:val="center"/>
          </w:tcPr>
          <w:p w14:paraId="7FB3D10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处5万元以上8万元以下的罚款。</w:t>
            </w:r>
          </w:p>
        </w:tc>
      </w:tr>
      <w:tr w14:paraId="532387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B8BDEC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F2CADF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88E90F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E9D5ED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B8F61F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1CA04A8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主要负责人和1名以上安全生产管理人员均未按照规定经考核合格的，或者3名以上安全生产管理人员未按照规定经考核合格的。</w:t>
            </w:r>
          </w:p>
        </w:tc>
        <w:tc>
          <w:tcPr>
            <w:tcW w:w="2655" w:type="dxa"/>
            <w:tcBorders>
              <w:tl2br w:val="nil"/>
              <w:tr2bl w:val="nil"/>
            </w:tcBorders>
            <w:shd w:val="clear" w:color="auto" w:fill="auto"/>
            <w:tcMar>
              <w:top w:w="15" w:type="dxa"/>
              <w:left w:w="15" w:type="dxa"/>
              <w:right w:w="15" w:type="dxa"/>
            </w:tcMar>
            <w:vAlign w:val="center"/>
          </w:tcPr>
          <w:p w14:paraId="7816D4F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处8万元以上10万元以下的罚款。</w:t>
            </w:r>
          </w:p>
        </w:tc>
      </w:tr>
      <w:tr w14:paraId="21F60A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5047671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1</w:t>
            </w:r>
            <w:del w:id="2977" w:author="LV" w:date="2026-07-14T17:03:01Z">
              <w:r>
                <w:rPr>
                  <w:rFonts w:hint="default" w:ascii="仿宋_GB2312" w:hAnsi="宋体" w:eastAsia="仿宋_GB2312" w:cs="仿宋_GB2312"/>
                  <w:kern w:val="0"/>
                  <w:sz w:val="18"/>
                  <w:szCs w:val="18"/>
                  <w:lang w:val="en-US" w:bidi="ar"/>
                </w:rPr>
                <w:delText>8</w:delText>
              </w:r>
            </w:del>
            <w:del w:id="2978" w:author="LV" w:date="2026-07-14T17:03:01Z">
              <w:r>
                <w:rPr>
                  <w:rFonts w:hint="default" w:ascii="仿宋_GB2312" w:hAnsi="宋体" w:eastAsia="仿宋_GB2312" w:cs="仿宋_GB2312"/>
                  <w:kern w:val="0"/>
                  <w:sz w:val="18"/>
                  <w:szCs w:val="18"/>
                  <w:lang w:val="en-US" w:eastAsia="zh-CN" w:bidi="ar"/>
                </w:rPr>
                <w:delText>6</w:delText>
              </w:r>
            </w:del>
            <w:ins w:id="2979" w:author="LV" w:date="2026-07-14T17:03:01Z">
              <w:r>
                <w:rPr>
                  <w:rFonts w:hint="eastAsia" w:ascii="仿宋_GB2312" w:hAnsi="宋体" w:eastAsia="仿宋_GB2312" w:cs="仿宋_GB2312"/>
                  <w:kern w:val="0"/>
                  <w:sz w:val="18"/>
                  <w:szCs w:val="18"/>
                  <w:lang w:val="en-US" w:eastAsia="zh-CN" w:bidi="ar"/>
                </w:rPr>
                <w:t>92</w:t>
              </w:r>
            </w:ins>
          </w:p>
        </w:tc>
        <w:tc>
          <w:tcPr>
            <w:tcW w:w="1005" w:type="dxa"/>
            <w:vMerge w:val="restart"/>
            <w:tcBorders>
              <w:tl2br w:val="nil"/>
              <w:tr2bl w:val="nil"/>
            </w:tcBorders>
            <w:shd w:val="clear" w:color="auto" w:fill="auto"/>
            <w:tcMar>
              <w:top w:w="15" w:type="dxa"/>
              <w:left w:w="15" w:type="dxa"/>
              <w:right w:w="15" w:type="dxa"/>
            </w:tcMar>
            <w:vAlign w:val="center"/>
          </w:tcPr>
          <w:p w14:paraId="418274E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lang w:val="en-US" w:eastAsia="zh-CN"/>
              </w:rPr>
            </w:pPr>
            <w:r>
              <w:rPr>
                <w:rFonts w:hint="eastAsia" w:ascii="仿宋_GB2312" w:hAnsi="宋体" w:eastAsia="仿宋_GB2312" w:cs="仿宋_GB2312"/>
                <w:kern w:val="0"/>
                <w:sz w:val="18"/>
                <w:szCs w:val="18"/>
                <w:highlight w:val="none"/>
                <w:lang w:bidi="ar"/>
              </w:rPr>
              <w:t>煤矿企业主要负责人和安全生产管理人员未按照规定经考核合格，逾期未改正</w:t>
            </w:r>
            <w:r>
              <w:rPr>
                <w:rFonts w:hint="eastAsia" w:ascii="仿宋_GB2312" w:hAnsi="宋体" w:eastAsia="仿宋_GB2312" w:cs="仿宋_GB2312"/>
                <w:kern w:val="0"/>
                <w:sz w:val="18"/>
                <w:szCs w:val="18"/>
                <w:highlight w:val="none"/>
                <w:lang w:val="en-US" w:eastAsia="zh-CN" w:bidi="ar"/>
              </w:rPr>
              <w:t>的</w:t>
            </w:r>
          </w:p>
        </w:tc>
        <w:tc>
          <w:tcPr>
            <w:tcW w:w="3667" w:type="dxa"/>
            <w:vMerge w:val="restart"/>
            <w:tcBorders>
              <w:tl2br w:val="nil"/>
              <w:tr2bl w:val="nil"/>
            </w:tcBorders>
            <w:shd w:val="clear" w:color="auto" w:fill="auto"/>
            <w:tcMar>
              <w:top w:w="15" w:type="dxa"/>
              <w:left w:w="15" w:type="dxa"/>
              <w:right w:w="15" w:type="dxa"/>
            </w:tcMar>
            <w:vAlign w:val="center"/>
          </w:tcPr>
          <w:p w14:paraId="047175B2">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《安全生产法》第二十七条第二款</w:t>
            </w:r>
            <w:r>
              <w:rPr>
                <w:rFonts w:ascii="仿宋_GB2312" w:hAnsi="宋体" w:eastAsia="仿宋_GB2312" w:cs="仿宋_GB2312"/>
                <w:kern w:val="0"/>
                <w:sz w:val="18"/>
                <w:szCs w:val="18"/>
                <w:lang w:bidi="ar"/>
              </w:rPr>
              <w:t xml:space="preserve"> </w:t>
            </w:r>
            <w:r>
              <w:rPr>
                <w:rFonts w:hint="eastAsia" w:ascii="仿宋_GB2312" w:hAnsi="宋体" w:eastAsia="仿宋_GB2312" w:cs="仿宋_GB2312"/>
                <w:kern w:val="0"/>
                <w:sz w:val="18"/>
                <w:szCs w:val="18"/>
                <w:lang w:bidi="ar"/>
              </w:rPr>
              <w:t>物品的生产、经营、储存、装卸单位以及矿山、金属冶炼、建筑施工、运输单位的主要负责人和安全生产管理人员，应当由主管的负有安全生产监督管理职责的部门对其安全生产知识和管理能力考核合格。考核不得收费。</w:t>
            </w:r>
          </w:p>
          <w:p w14:paraId="58F7DE84">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《山东省安全生产条例》第二十七条第二款</w:t>
            </w:r>
            <w:r>
              <w:rPr>
                <w:rFonts w:ascii="仿宋_GB2312" w:hAnsi="宋体" w:eastAsia="仿宋_GB2312" w:cs="仿宋_GB2312"/>
                <w:kern w:val="0"/>
                <w:sz w:val="18"/>
                <w:szCs w:val="18"/>
                <w:lang w:bidi="ar"/>
              </w:rPr>
              <w:t xml:space="preserve"> </w:t>
            </w:r>
            <w:r>
              <w:rPr>
                <w:rFonts w:hint="eastAsia" w:ascii="仿宋_GB2312" w:hAnsi="宋体" w:eastAsia="仿宋_GB2312" w:cs="仿宋_GB2312"/>
                <w:kern w:val="0"/>
                <w:sz w:val="18"/>
                <w:szCs w:val="18"/>
                <w:lang w:bidi="ar"/>
              </w:rPr>
              <w:t>高危生产经营单位的主要负责人、分管安全生产的负责人或者安全总监、安全生产管理人员，应当按照规定经主管的负有安全生产监督管理职责的部门考核合格。考核不得收费。</w:t>
            </w:r>
          </w:p>
          <w:p w14:paraId="74BA57A7">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《生产经营单位安全培训规定》第二十四条  煤矿、非煤矿山、危险化学品、烟花爆竹、金属冶炼等生产经营单位主要负责人和安全生产管理人员，自任职之日起6个月内，必须经安全生产监管监察部门对其安全生产知识和管理能力考核合格。</w:t>
            </w:r>
          </w:p>
          <w:p w14:paraId="0B368CCE">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《煤矿安全培训规定》第十七条第一款</w:t>
            </w:r>
            <w:r>
              <w:rPr>
                <w:rFonts w:ascii="仿宋_GB2312" w:hAnsi="宋体" w:eastAsia="仿宋_GB2312" w:cs="仿宋_GB2312"/>
                <w:kern w:val="0"/>
                <w:sz w:val="18"/>
                <w:szCs w:val="18"/>
                <w:lang w:bidi="ar"/>
              </w:rPr>
              <w:t xml:space="preserve"> </w:t>
            </w:r>
            <w:r>
              <w:rPr>
                <w:rFonts w:hint="eastAsia" w:ascii="仿宋_GB2312" w:hAnsi="宋体" w:eastAsia="仿宋_GB2312" w:cs="仿宋_GB2312"/>
                <w:kern w:val="0"/>
                <w:sz w:val="18"/>
                <w:szCs w:val="18"/>
                <w:lang w:bidi="ar"/>
              </w:rPr>
              <w:t>煤矿企业主要负责人和安全生产管理人员应当自任职之日起六个月内通过考核部门组织的安全生产知识和管理能力考核，并持续保持相应水平和能力。</w:t>
            </w:r>
          </w:p>
          <w:p w14:paraId="72C4434F">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《煤矿安全生产条例》第六十二条第二项  煤矿企业有下列行为之一的，依照《中华人民共和国安全生产法》有关规定予以处罚： （二）主要负责人和安全生产管理人员未按照规定经考核合格并持续保持相应水平和能力的；</w:t>
            </w:r>
          </w:p>
        </w:tc>
        <w:tc>
          <w:tcPr>
            <w:tcW w:w="4082" w:type="dxa"/>
            <w:vMerge w:val="restart"/>
            <w:tcBorders>
              <w:tl2br w:val="nil"/>
              <w:tr2bl w:val="nil"/>
            </w:tcBorders>
            <w:shd w:val="clear" w:color="auto" w:fill="auto"/>
            <w:tcMar>
              <w:top w:w="15" w:type="dxa"/>
              <w:left w:w="15" w:type="dxa"/>
              <w:right w:w="15" w:type="dxa"/>
            </w:tcMar>
            <w:vAlign w:val="center"/>
          </w:tcPr>
          <w:p w14:paraId="441E04E4">
            <w:pPr>
              <w:keepNext w:val="0"/>
              <w:keepLines w:val="0"/>
              <w:pageBreakBefore w:val="0"/>
              <w:widowControl w:val="0"/>
              <w:kinsoku/>
              <w:wordWrap/>
              <w:overflowPunct w:val="0"/>
              <w:topLinePunct w:val="0"/>
              <w:autoSpaceDE/>
              <w:autoSpaceDN/>
              <w:bidi w:val="0"/>
              <w:adjustRightInd/>
              <w:snapToGrid/>
              <w:spacing w:line="230" w:lineRule="exact"/>
              <w:textAlignment w:val="center"/>
              <w:rPr>
                <w:rFonts w:hint="eastAsia" w:ascii="仿宋_GB2312" w:hAnsi="宋体" w:eastAsia="仿宋_GB2312" w:cs="仿宋_GB2312"/>
                <w:w w:val="95"/>
                <w:kern w:val="0"/>
                <w:sz w:val="18"/>
                <w:szCs w:val="18"/>
                <w:lang w:eastAsia="zh-CN" w:bidi="ar"/>
              </w:rPr>
            </w:pPr>
            <w:r>
              <w:rPr>
                <w:rFonts w:hint="eastAsia" w:ascii="仿宋_GB2312" w:hAnsi="宋体" w:eastAsia="仿宋_GB2312" w:cs="仿宋_GB2312"/>
                <w:w w:val="95"/>
                <w:kern w:val="0"/>
                <w:sz w:val="18"/>
                <w:szCs w:val="18"/>
                <w:lang w:bidi="ar"/>
              </w:rPr>
              <w:t>《安全生产法》第九十七条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二）危险物品的生产、经营、储存、装卸单位以及矿山、金属冶炼、建筑施工、运输单位的主要负责人和安全生产管理人员未按照规定经考核合格的</w:t>
            </w:r>
            <w:r>
              <w:rPr>
                <w:rFonts w:hint="eastAsia" w:ascii="仿宋_GB2312" w:hAnsi="宋体" w:eastAsia="仿宋_GB2312" w:cs="仿宋_GB2312"/>
                <w:w w:val="95"/>
                <w:kern w:val="0"/>
                <w:sz w:val="18"/>
                <w:szCs w:val="18"/>
                <w:lang w:eastAsia="zh-CN" w:bidi="ar"/>
              </w:rPr>
              <w:t>。</w:t>
            </w:r>
            <w:r>
              <w:rPr>
                <w:rFonts w:hint="eastAsia" w:ascii="仿宋_GB2312" w:hAnsi="宋体" w:eastAsia="仿宋_GB2312" w:cs="仿宋_GB2312"/>
                <w:w w:val="95"/>
                <w:kern w:val="0"/>
                <w:sz w:val="18"/>
                <w:szCs w:val="18"/>
                <w:lang w:bidi="ar"/>
              </w:rPr>
              <w:br w:type="textWrapping"/>
            </w:r>
            <w:r>
              <w:rPr>
                <w:rFonts w:hint="eastAsia" w:ascii="仿宋_GB2312" w:hAnsi="宋体" w:eastAsia="仿宋_GB2312" w:cs="仿宋_GB2312"/>
                <w:w w:val="95"/>
                <w:kern w:val="0"/>
                <w:sz w:val="18"/>
                <w:szCs w:val="18"/>
                <w:lang w:bidi="ar"/>
              </w:rPr>
              <w:t>《山东省安全生产条例》第七十五条第五项</w:t>
            </w:r>
            <w:r>
              <w:rPr>
                <w:rFonts w:ascii="仿宋_GB2312" w:hAnsi="宋体" w:eastAsia="仿宋_GB2312" w:cs="仿宋_GB2312"/>
                <w:w w:val="95"/>
                <w:kern w:val="0"/>
                <w:sz w:val="18"/>
                <w:szCs w:val="18"/>
                <w:lang w:bidi="ar"/>
              </w:rPr>
              <w:t xml:space="preserve"> </w:t>
            </w:r>
            <w:r>
              <w:rPr>
                <w:rFonts w:hint="eastAsia" w:ascii="仿宋_GB2312" w:hAnsi="宋体" w:eastAsia="仿宋_GB2312" w:cs="仿宋_GB2312"/>
                <w:w w:val="95"/>
                <w:kern w:val="0"/>
                <w:sz w:val="18"/>
                <w:szCs w:val="18"/>
                <w:lang w:bidi="ar"/>
              </w:rPr>
              <w:t>违反本条例规定，生产经营单位有下列情形之一的，责令限期改正，处三万元以上十万元以下的罚款；逾期未改正的，责令停产停业整顿，并处十万元以上二十万元以下的罚款，对直接负责的主管人员和其他直接责任人员处二万元以上五万元以下的罚款：(五)高危生产经营单位的主要负责人、分管安全生产的负责人或者安全总监、安全生产管理人员未按照规定经考核合格的</w:t>
            </w:r>
            <w:r>
              <w:rPr>
                <w:rFonts w:hint="eastAsia" w:ascii="仿宋_GB2312" w:hAnsi="宋体" w:eastAsia="仿宋_GB2312" w:cs="仿宋_GB2312"/>
                <w:w w:val="95"/>
                <w:kern w:val="0"/>
                <w:sz w:val="18"/>
                <w:szCs w:val="18"/>
                <w:lang w:eastAsia="zh-CN" w:bidi="ar"/>
              </w:rPr>
              <w:t>。</w:t>
            </w:r>
          </w:p>
          <w:p w14:paraId="045B0514">
            <w:pPr>
              <w:keepNext w:val="0"/>
              <w:keepLines w:val="0"/>
              <w:pageBreakBefore w:val="0"/>
              <w:widowControl w:val="0"/>
              <w:kinsoku/>
              <w:wordWrap/>
              <w:overflowPunct w:val="0"/>
              <w:topLinePunct w:val="0"/>
              <w:autoSpaceDE/>
              <w:autoSpaceDN/>
              <w:bidi w:val="0"/>
              <w:adjustRightInd/>
              <w:snapToGrid/>
              <w:spacing w:line="230" w:lineRule="exact"/>
              <w:textAlignment w:val="center"/>
              <w:rPr>
                <w:rFonts w:hint="eastAsia" w:ascii="仿宋_GB2312" w:hAnsi="宋体" w:eastAsia="仿宋_GB2312" w:cs="仿宋_GB2312"/>
                <w:w w:val="95"/>
                <w:kern w:val="0"/>
                <w:sz w:val="18"/>
                <w:szCs w:val="18"/>
                <w:lang w:bidi="ar"/>
              </w:rPr>
            </w:pPr>
            <w:r>
              <w:rPr>
                <w:rFonts w:hint="eastAsia" w:ascii="仿宋_GB2312" w:hAnsi="宋体" w:eastAsia="仿宋_GB2312" w:cs="仿宋_GB2312"/>
                <w:w w:val="95"/>
                <w:kern w:val="0"/>
                <w:sz w:val="18"/>
                <w:szCs w:val="18"/>
                <w:lang w:bidi="ar"/>
              </w:rPr>
              <w:t>《生产经营单位安全培训规定》第三十条 生产经营单位有下列行为之一的，由安全生产监管监察部门责令其限期改正，可以处5万元以下的罚款；逾期未改正的，责令停产停业整顿，并处5万元以上10万元以下的罚款，对其直接负责的主管人员和其他直接责任人员处1万元以上2万元以下的罚款：（一）煤矿、非煤矿山、危险化学品、烟花爆竹、金属冶炼等生产经营单位主要负责人和安全管理人员未按照规定经考核合格的</w:t>
            </w:r>
            <w:r>
              <w:rPr>
                <w:rFonts w:hint="eastAsia" w:ascii="仿宋_GB2312" w:hAnsi="宋体" w:eastAsia="仿宋_GB2312" w:cs="仿宋_GB2312"/>
                <w:w w:val="95"/>
                <w:kern w:val="0"/>
                <w:sz w:val="18"/>
                <w:szCs w:val="18"/>
                <w:lang w:eastAsia="zh-CN" w:bidi="ar"/>
              </w:rPr>
              <w:t>。</w:t>
            </w:r>
            <w:r>
              <w:rPr>
                <w:rFonts w:hint="eastAsia" w:ascii="仿宋_GB2312" w:hAnsi="宋体" w:eastAsia="仿宋_GB2312" w:cs="仿宋_GB2312"/>
                <w:w w:val="95"/>
                <w:kern w:val="0"/>
                <w:sz w:val="18"/>
                <w:szCs w:val="18"/>
                <w:lang w:bidi="ar"/>
              </w:rPr>
              <w:br w:type="textWrapping"/>
            </w:r>
            <w:r>
              <w:rPr>
                <w:rFonts w:hint="eastAsia" w:ascii="仿宋_GB2312" w:hAnsi="宋体" w:eastAsia="仿宋_GB2312" w:cs="仿宋_GB2312"/>
                <w:w w:val="95"/>
                <w:kern w:val="0"/>
                <w:sz w:val="18"/>
                <w:szCs w:val="18"/>
                <w:lang w:bidi="ar"/>
              </w:rPr>
              <w:t>《煤矿安全培训规定》第四十七条 煤矿企业有下列行为之一的，由煤矿安全培训主管部门或者煤矿安全监察机构责令其限期改正，可以处五万元以下的罚款；逾期未改正的，责令停产停业整顿，并处五万元以上十万元以下的罚款，对其直接负责的主管人员和其他直接责任人员处一万元以上二万元以下的罚款：（一）主要负责人和安全生产管理人员未按照规定经考核合格的。</w:t>
            </w:r>
          </w:p>
          <w:p w14:paraId="3D0358A5">
            <w:pPr>
              <w:keepNext w:val="0"/>
              <w:keepLines w:val="0"/>
              <w:pageBreakBefore w:val="0"/>
              <w:widowControl w:val="0"/>
              <w:kinsoku/>
              <w:wordWrap/>
              <w:overflowPunct w:val="0"/>
              <w:topLinePunct w:val="0"/>
              <w:autoSpaceDE/>
              <w:autoSpaceDN/>
              <w:bidi w:val="0"/>
              <w:adjustRightInd/>
              <w:snapToGrid/>
              <w:spacing w:line="23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w w:val="95"/>
                <w:kern w:val="0"/>
                <w:sz w:val="18"/>
                <w:szCs w:val="18"/>
                <w:lang w:bidi="ar"/>
              </w:rPr>
              <w:t>《煤矿安全生产条例》第六十二条第二项  煤矿企业有下列行为之一的，依照《中华人民共和国安全生产法》有关规定予以处罚：（二）主要负责人和安全生产管理人员未按照规定经考核合格并持续保持相应水平和能力的；</w:t>
            </w:r>
          </w:p>
        </w:tc>
        <w:tc>
          <w:tcPr>
            <w:tcW w:w="459" w:type="dxa"/>
            <w:tcBorders>
              <w:tl2br w:val="nil"/>
              <w:tr2bl w:val="nil"/>
            </w:tcBorders>
            <w:shd w:val="clear" w:color="auto" w:fill="auto"/>
            <w:noWrap/>
            <w:tcMar>
              <w:top w:w="15" w:type="dxa"/>
              <w:left w:w="15" w:type="dxa"/>
              <w:right w:w="15" w:type="dxa"/>
            </w:tcMar>
            <w:vAlign w:val="center"/>
          </w:tcPr>
          <w:p w14:paraId="6C948EB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062AB43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023ACCE">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80F83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A261D1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3D414D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3B20C2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FD88C1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996DE5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1D4E4F0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43C0602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2941A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8A4082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B992A0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B8630C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926476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F7C655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1E30358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61F4A73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511F7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2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DD8AFC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EAF3E3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C4E047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66CFD9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5935BF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306446D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发现1名安全生产管理人员未按照规定经考核合格，逾期未改正的。</w:t>
            </w:r>
          </w:p>
        </w:tc>
        <w:tc>
          <w:tcPr>
            <w:tcW w:w="2655" w:type="dxa"/>
            <w:tcBorders>
              <w:tl2br w:val="nil"/>
              <w:tr2bl w:val="nil"/>
            </w:tcBorders>
            <w:shd w:val="clear" w:color="auto" w:fill="auto"/>
            <w:tcMar>
              <w:top w:w="15" w:type="dxa"/>
              <w:left w:w="15" w:type="dxa"/>
              <w:right w:w="15" w:type="dxa"/>
            </w:tcMar>
            <w:vAlign w:val="center"/>
          </w:tcPr>
          <w:p w14:paraId="21B3694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责令停产停业整顿，处10万元以上13万元以下的罚款，对其直接负责的主管人员和其他直接责任人员处2万元以上3万元以下的罚款。</w:t>
            </w:r>
          </w:p>
        </w:tc>
      </w:tr>
      <w:tr w14:paraId="790D6E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AFFE45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4F4D9D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5C01AD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388B9F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E77D8C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2C05ED1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主要负责人或2名以上安全生产管理人员未按照规定经考核合格，逾期未改正涉及1人以上的。</w:t>
            </w:r>
          </w:p>
        </w:tc>
        <w:tc>
          <w:tcPr>
            <w:tcW w:w="2655" w:type="dxa"/>
            <w:tcBorders>
              <w:tl2br w:val="nil"/>
              <w:tr2bl w:val="nil"/>
            </w:tcBorders>
            <w:shd w:val="clear" w:color="auto" w:fill="auto"/>
            <w:tcMar>
              <w:top w:w="15" w:type="dxa"/>
              <w:left w:w="15" w:type="dxa"/>
              <w:right w:w="15" w:type="dxa"/>
            </w:tcMar>
            <w:vAlign w:val="center"/>
          </w:tcPr>
          <w:p w14:paraId="371FCEB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责令停产停业整顿，处13万元以上17万元以下的罚款，对其直接负责的主管人员和其他直接责任人员处3万元以上4万元以下的罚款。</w:t>
            </w:r>
          </w:p>
        </w:tc>
      </w:tr>
      <w:tr w14:paraId="774DB5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CF1029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117089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9100B9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642F11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E31DBE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120903D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主要负责人和1名以上安全生产管理人员均未按照规定经考核合格的，或者3名以上安全生产管理人员未按照规定经考核合格，逾期未改正涉及1人以上的。</w:t>
            </w:r>
          </w:p>
        </w:tc>
        <w:tc>
          <w:tcPr>
            <w:tcW w:w="2655" w:type="dxa"/>
            <w:tcBorders>
              <w:tl2br w:val="nil"/>
              <w:tr2bl w:val="nil"/>
            </w:tcBorders>
            <w:shd w:val="clear" w:color="auto" w:fill="auto"/>
            <w:tcMar>
              <w:top w:w="15" w:type="dxa"/>
              <w:left w:w="15" w:type="dxa"/>
              <w:right w:w="15" w:type="dxa"/>
            </w:tcMar>
            <w:vAlign w:val="center"/>
          </w:tcPr>
          <w:p w14:paraId="5708FB7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责令停产停业整顿，处17万元以上20万元以下的罚款，对其直接负责的主管人员和其他直接责任人员处4万元以上5万元以下的罚款。</w:t>
            </w:r>
          </w:p>
        </w:tc>
      </w:tr>
      <w:tr w14:paraId="742FED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0FA0709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bidi="ar"/>
              </w:rPr>
              <w:t>1</w:t>
            </w:r>
            <w:del w:id="2980" w:author="LV" w:date="2026-07-14T17:03:06Z">
              <w:r>
                <w:rPr>
                  <w:rFonts w:hint="default" w:ascii="仿宋_GB2312" w:hAnsi="宋体" w:eastAsia="仿宋_GB2312" w:cs="仿宋_GB2312"/>
                  <w:kern w:val="0"/>
                  <w:sz w:val="18"/>
                  <w:szCs w:val="18"/>
                  <w:lang w:val="en-US" w:bidi="ar"/>
                </w:rPr>
                <w:delText>8</w:delText>
              </w:r>
            </w:del>
            <w:del w:id="2981" w:author="LV" w:date="2026-07-14T17:03:06Z">
              <w:r>
                <w:rPr>
                  <w:rFonts w:hint="default" w:ascii="仿宋_GB2312" w:hAnsi="宋体" w:eastAsia="仿宋_GB2312" w:cs="仿宋_GB2312"/>
                  <w:kern w:val="0"/>
                  <w:sz w:val="18"/>
                  <w:szCs w:val="18"/>
                  <w:lang w:val="en-US" w:eastAsia="zh-CN" w:bidi="ar"/>
                </w:rPr>
                <w:delText>7</w:delText>
              </w:r>
            </w:del>
            <w:ins w:id="2982" w:author="LV" w:date="2026-07-14T17:03:06Z">
              <w:r>
                <w:rPr>
                  <w:rFonts w:hint="eastAsia" w:ascii="仿宋_GB2312" w:hAnsi="宋体" w:eastAsia="仿宋_GB2312" w:cs="仿宋_GB2312"/>
                  <w:kern w:val="0"/>
                  <w:sz w:val="18"/>
                  <w:szCs w:val="18"/>
                  <w:lang w:val="en-US" w:eastAsia="zh-CN" w:bidi="ar"/>
                </w:rPr>
                <w:t>9</w:t>
              </w:r>
            </w:ins>
            <w:ins w:id="2983" w:author="LV" w:date="2026-07-14T17:03:07Z">
              <w:r>
                <w:rPr>
                  <w:rFonts w:hint="eastAsia" w:ascii="仿宋_GB2312" w:hAnsi="宋体" w:eastAsia="仿宋_GB2312" w:cs="仿宋_GB2312"/>
                  <w:kern w:val="0"/>
                  <w:sz w:val="18"/>
                  <w:szCs w:val="18"/>
                  <w:lang w:val="en-US" w:eastAsia="zh-CN" w:bidi="ar"/>
                </w:rPr>
                <w:t>3</w:t>
              </w:r>
            </w:ins>
          </w:p>
        </w:tc>
        <w:tc>
          <w:tcPr>
            <w:tcW w:w="1005" w:type="dxa"/>
            <w:vMerge w:val="restart"/>
            <w:tcBorders>
              <w:tl2br w:val="nil"/>
              <w:tr2bl w:val="nil"/>
            </w:tcBorders>
            <w:shd w:val="clear" w:color="auto" w:fill="auto"/>
            <w:tcMar>
              <w:top w:w="15" w:type="dxa"/>
              <w:left w:w="15" w:type="dxa"/>
              <w:right w:w="15" w:type="dxa"/>
            </w:tcMar>
            <w:vAlign w:val="center"/>
          </w:tcPr>
          <w:p w14:paraId="6D31C16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煤矿未取得安全生产许可证擅自从事生产的</w:t>
            </w:r>
          </w:p>
        </w:tc>
        <w:tc>
          <w:tcPr>
            <w:tcW w:w="3667" w:type="dxa"/>
            <w:vMerge w:val="restart"/>
            <w:tcBorders>
              <w:tl2br w:val="nil"/>
              <w:tr2bl w:val="nil"/>
            </w:tcBorders>
            <w:shd w:val="clear" w:color="auto" w:fill="auto"/>
            <w:tcMar>
              <w:top w:w="15" w:type="dxa"/>
              <w:left w:w="15" w:type="dxa"/>
              <w:right w:w="15" w:type="dxa"/>
            </w:tcMar>
            <w:vAlign w:val="center"/>
          </w:tcPr>
          <w:p w14:paraId="32A025E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《安全生产许可证条例》第二条第二款 企业未取得安全生产许可证的，不得从事生产活动。</w:t>
            </w:r>
          </w:p>
          <w:p w14:paraId="2E0ACE8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《煤矿安全生产条例》第十七条第煤矿企业进行生产，应当依照《安全生产许可证条例》的规定取得安全生产许可证。未取得安全生产许可证的，不得生产。</w:t>
            </w:r>
          </w:p>
        </w:tc>
        <w:tc>
          <w:tcPr>
            <w:tcW w:w="4082" w:type="dxa"/>
            <w:vMerge w:val="restart"/>
            <w:tcBorders>
              <w:tl2br w:val="nil"/>
              <w:tr2bl w:val="nil"/>
            </w:tcBorders>
            <w:shd w:val="clear" w:color="auto" w:fill="auto"/>
            <w:tcMar>
              <w:top w:w="15" w:type="dxa"/>
              <w:left w:w="15" w:type="dxa"/>
              <w:right w:w="15" w:type="dxa"/>
            </w:tcMar>
            <w:vAlign w:val="center"/>
          </w:tcPr>
          <w:p w14:paraId="6EAA1B8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《安全生产许可证条例》第十九条 违反本条例规定，未取得安全生产许可证擅自进行生产的，责令停止生产，没收违法所得，并处10万元以上50万元以下的罚款；造成重大事故或者其他严重后果，构成犯罪的，依法追究刑事责任。</w:t>
            </w:r>
          </w:p>
          <w:p w14:paraId="11FD37E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《煤矿安全生产条例》第六十一条第一款  未依法取得安全生产许可证等擅自进行煤矿生产的，应当责令立即停止生产，没收违法所得和开采出的煤炭以及采掘设备；违法所得在10万元以上的，并处违法所得2倍以上5倍以下的罚款；没有违法所得或者违法所得不足10万元的，并处10万元以上20万元以下的罚款。</w:t>
            </w:r>
          </w:p>
        </w:tc>
        <w:tc>
          <w:tcPr>
            <w:tcW w:w="459" w:type="dxa"/>
            <w:tcBorders>
              <w:bottom w:val="single" w:color="auto" w:sz="4" w:space="0"/>
              <w:tl2br w:val="nil"/>
              <w:tr2bl w:val="nil"/>
            </w:tcBorders>
            <w:shd w:val="clear" w:color="auto" w:fill="auto"/>
            <w:noWrap/>
            <w:tcMar>
              <w:top w:w="15" w:type="dxa"/>
              <w:left w:w="15" w:type="dxa"/>
              <w:right w:w="15" w:type="dxa"/>
            </w:tcMar>
            <w:vAlign w:val="center"/>
          </w:tcPr>
          <w:p w14:paraId="27BB015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不予处罚</w:t>
            </w:r>
          </w:p>
        </w:tc>
        <w:tc>
          <w:tcPr>
            <w:tcW w:w="1829" w:type="dxa"/>
            <w:tcBorders>
              <w:bottom w:val="single" w:color="auto" w:sz="4" w:space="0"/>
              <w:tl2br w:val="nil"/>
              <w:tr2bl w:val="nil"/>
            </w:tcBorders>
            <w:shd w:val="clear" w:color="auto" w:fill="auto"/>
            <w:tcMar>
              <w:top w:w="15" w:type="dxa"/>
              <w:left w:w="15" w:type="dxa"/>
              <w:right w:w="15" w:type="dxa"/>
            </w:tcMar>
            <w:vAlign w:val="center"/>
          </w:tcPr>
          <w:p w14:paraId="69CD9E1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655" w:type="dxa"/>
            <w:tcBorders>
              <w:bottom w:val="single" w:color="auto" w:sz="4" w:space="0"/>
              <w:tl2br w:val="nil"/>
              <w:tr2bl w:val="nil"/>
            </w:tcBorders>
            <w:shd w:val="clear" w:color="auto" w:fill="auto"/>
            <w:tcMar>
              <w:top w:w="15" w:type="dxa"/>
              <w:left w:w="15" w:type="dxa"/>
              <w:right w:w="15" w:type="dxa"/>
            </w:tcMar>
            <w:vAlign w:val="center"/>
          </w:tcPr>
          <w:p w14:paraId="104E42F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41261B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409B9D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5" w:type="dxa"/>
            <w:vMerge w:val="continue"/>
            <w:tcBorders>
              <w:tl2br w:val="nil"/>
              <w:tr2bl w:val="nil"/>
            </w:tcBorders>
            <w:shd w:val="clear" w:color="auto" w:fill="auto"/>
            <w:tcMar>
              <w:top w:w="15" w:type="dxa"/>
              <w:left w:w="15" w:type="dxa"/>
              <w:right w:w="15" w:type="dxa"/>
            </w:tcMar>
            <w:vAlign w:val="center"/>
          </w:tcPr>
          <w:p w14:paraId="7DB327D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3667" w:type="dxa"/>
            <w:vMerge w:val="continue"/>
            <w:tcBorders>
              <w:tl2br w:val="nil"/>
              <w:tr2bl w:val="nil"/>
            </w:tcBorders>
            <w:shd w:val="clear" w:color="auto" w:fill="auto"/>
            <w:tcMar>
              <w:top w:w="15" w:type="dxa"/>
              <w:left w:w="15" w:type="dxa"/>
              <w:right w:w="15" w:type="dxa"/>
            </w:tcMar>
            <w:vAlign w:val="center"/>
          </w:tcPr>
          <w:p w14:paraId="5AB423C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2" w:type="dxa"/>
            <w:vMerge w:val="continue"/>
            <w:tcBorders>
              <w:tl2br w:val="nil"/>
              <w:tr2bl w:val="nil"/>
            </w:tcBorders>
            <w:shd w:val="clear" w:color="auto" w:fill="auto"/>
            <w:tcMar>
              <w:top w:w="15" w:type="dxa"/>
              <w:left w:w="15" w:type="dxa"/>
              <w:right w:w="15" w:type="dxa"/>
            </w:tcMar>
            <w:vAlign w:val="center"/>
          </w:tcPr>
          <w:p w14:paraId="27236B4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59"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42741AB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免予处罚</w:t>
            </w:r>
          </w:p>
        </w:tc>
        <w:tc>
          <w:tcPr>
            <w:tcW w:w="1829"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01D96AA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 xml:space="preserve"> 不适用</w:t>
            </w:r>
          </w:p>
        </w:tc>
        <w:tc>
          <w:tcPr>
            <w:tcW w:w="2655"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317800E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579810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77A488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5" w:type="dxa"/>
            <w:vMerge w:val="continue"/>
            <w:tcBorders>
              <w:tl2br w:val="nil"/>
              <w:tr2bl w:val="nil"/>
            </w:tcBorders>
            <w:shd w:val="clear" w:color="auto" w:fill="auto"/>
            <w:tcMar>
              <w:top w:w="15" w:type="dxa"/>
              <w:left w:w="15" w:type="dxa"/>
              <w:right w:w="15" w:type="dxa"/>
            </w:tcMar>
            <w:vAlign w:val="center"/>
          </w:tcPr>
          <w:p w14:paraId="1966B0B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3667" w:type="dxa"/>
            <w:vMerge w:val="continue"/>
            <w:tcBorders>
              <w:tl2br w:val="nil"/>
              <w:tr2bl w:val="nil"/>
            </w:tcBorders>
            <w:shd w:val="clear" w:color="auto" w:fill="auto"/>
            <w:tcMar>
              <w:top w:w="15" w:type="dxa"/>
              <w:left w:w="15" w:type="dxa"/>
              <w:right w:w="15" w:type="dxa"/>
            </w:tcMar>
            <w:vAlign w:val="center"/>
          </w:tcPr>
          <w:p w14:paraId="24A6006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2" w:type="dxa"/>
            <w:vMerge w:val="continue"/>
            <w:tcBorders>
              <w:tl2br w:val="nil"/>
              <w:tr2bl w:val="nil"/>
            </w:tcBorders>
            <w:shd w:val="clear" w:color="auto" w:fill="auto"/>
            <w:tcMar>
              <w:top w:w="15" w:type="dxa"/>
              <w:left w:w="15" w:type="dxa"/>
              <w:right w:w="15" w:type="dxa"/>
            </w:tcMar>
            <w:vAlign w:val="center"/>
          </w:tcPr>
          <w:p w14:paraId="071648A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59"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040D5D1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减轻处罚</w:t>
            </w:r>
          </w:p>
        </w:tc>
        <w:tc>
          <w:tcPr>
            <w:tcW w:w="1829"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36BAA95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655"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5E4E260F">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172081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67EB29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5" w:type="dxa"/>
            <w:vMerge w:val="continue"/>
            <w:tcBorders>
              <w:tl2br w:val="nil"/>
              <w:tr2bl w:val="nil"/>
            </w:tcBorders>
            <w:shd w:val="clear" w:color="auto" w:fill="auto"/>
            <w:tcMar>
              <w:top w:w="15" w:type="dxa"/>
              <w:left w:w="15" w:type="dxa"/>
              <w:right w:w="15" w:type="dxa"/>
            </w:tcMar>
            <w:vAlign w:val="center"/>
          </w:tcPr>
          <w:p w14:paraId="399F6EE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3667" w:type="dxa"/>
            <w:vMerge w:val="continue"/>
            <w:tcBorders>
              <w:tl2br w:val="nil"/>
              <w:tr2bl w:val="nil"/>
            </w:tcBorders>
            <w:shd w:val="clear" w:color="auto" w:fill="auto"/>
            <w:tcMar>
              <w:top w:w="15" w:type="dxa"/>
              <w:left w:w="15" w:type="dxa"/>
              <w:right w:w="15" w:type="dxa"/>
            </w:tcMar>
            <w:vAlign w:val="center"/>
          </w:tcPr>
          <w:p w14:paraId="38F7050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2" w:type="dxa"/>
            <w:vMerge w:val="continue"/>
            <w:tcBorders>
              <w:tl2br w:val="nil"/>
              <w:tr2bl w:val="nil"/>
            </w:tcBorders>
            <w:shd w:val="clear" w:color="auto" w:fill="auto"/>
            <w:tcMar>
              <w:top w:w="15" w:type="dxa"/>
              <w:left w:w="15" w:type="dxa"/>
              <w:right w:w="15" w:type="dxa"/>
            </w:tcMar>
            <w:vAlign w:val="center"/>
          </w:tcPr>
          <w:p w14:paraId="7E764E9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59"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62DF071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从轻处罚</w:t>
            </w:r>
          </w:p>
        </w:tc>
        <w:tc>
          <w:tcPr>
            <w:tcW w:w="1829"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608333A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没有违法所得或违法所得不足10万元的</w:t>
            </w:r>
          </w:p>
        </w:tc>
        <w:tc>
          <w:tcPr>
            <w:tcW w:w="2655"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3462E49B">
            <w:pPr>
              <w:keepNext w:val="0"/>
              <w:keepLines w:val="0"/>
              <w:pageBreakBefore w:val="0"/>
              <w:widowControl w:val="0"/>
              <w:kinsoku/>
              <w:wordWrap/>
              <w:overflowPunct w:val="0"/>
              <w:topLinePunct w:val="0"/>
              <w:autoSpaceDE/>
              <w:autoSpaceDN/>
              <w:bidi w:val="0"/>
              <w:adjustRightInd/>
              <w:snapToGrid/>
              <w:spacing w:line="240" w:lineRule="exact"/>
              <w:jc w:val="lef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没收违法所得和开采出的煤炭以及采掘设备，处10万元以上20万元以下罚款；</w:t>
            </w:r>
          </w:p>
        </w:tc>
      </w:tr>
      <w:tr w14:paraId="2F3EA4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B77EB3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5" w:type="dxa"/>
            <w:vMerge w:val="continue"/>
            <w:tcBorders>
              <w:tl2br w:val="nil"/>
              <w:tr2bl w:val="nil"/>
            </w:tcBorders>
            <w:shd w:val="clear" w:color="auto" w:fill="auto"/>
            <w:tcMar>
              <w:top w:w="15" w:type="dxa"/>
              <w:left w:w="15" w:type="dxa"/>
              <w:right w:w="15" w:type="dxa"/>
            </w:tcMar>
            <w:vAlign w:val="center"/>
          </w:tcPr>
          <w:p w14:paraId="3684CB0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3667" w:type="dxa"/>
            <w:vMerge w:val="continue"/>
            <w:tcBorders>
              <w:tl2br w:val="nil"/>
              <w:tr2bl w:val="nil"/>
            </w:tcBorders>
            <w:shd w:val="clear" w:color="auto" w:fill="auto"/>
            <w:tcMar>
              <w:top w:w="15" w:type="dxa"/>
              <w:left w:w="15" w:type="dxa"/>
              <w:right w:w="15" w:type="dxa"/>
            </w:tcMar>
            <w:vAlign w:val="center"/>
          </w:tcPr>
          <w:p w14:paraId="00D1F82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2" w:type="dxa"/>
            <w:vMerge w:val="continue"/>
            <w:tcBorders>
              <w:tl2br w:val="nil"/>
              <w:tr2bl w:val="nil"/>
            </w:tcBorders>
            <w:shd w:val="clear" w:color="auto" w:fill="auto"/>
            <w:tcMar>
              <w:top w:w="15" w:type="dxa"/>
              <w:left w:w="15" w:type="dxa"/>
              <w:right w:w="15" w:type="dxa"/>
            </w:tcMar>
            <w:vAlign w:val="center"/>
          </w:tcPr>
          <w:p w14:paraId="478EDAD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59"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5E962B7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一般处罚</w:t>
            </w:r>
          </w:p>
        </w:tc>
        <w:tc>
          <w:tcPr>
            <w:tcW w:w="1829"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3BE501C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违法所得在10万元以上100万元以下的</w:t>
            </w:r>
          </w:p>
        </w:tc>
        <w:tc>
          <w:tcPr>
            <w:tcW w:w="2655"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419A8EA2">
            <w:pPr>
              <w:keepNext w:val="0"/>
              <w:keepLines w:val="0"/>
              <w:pageBreakBefore w:val="0"/>
              <w:widowControl w:val="0"/>
              <w:kinsoku/>
              <w:wordWrap/>
              <w:overflowPunct w:val="0"/>
              <w:topLinePunct w:val="0"/>
              <w:autoSpaceDE/>
              <w:autoSpaceDN/>
              <w:bidi w:val="0"/>
              <w:adjustRightInd/>
              <w:snapToGrid/>
              <w:spacing w:line="240" w:lineRule="exact"/>
              <w:jc w:val="lef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没收违法所得和开采出的煤炭以及采掘设备，处违法所得2倍以上4倍以下罚款；</w:t>
            </w:r>
          </w:p>
        </w:tc>
      </w:tr>
      <w:tr w14:paraId="51B55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2E7A54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5" w:type="dxa"/>
            <w:vMerge w:val="continue"/>
            <w:tcBorders>
              <w:tl2br w:val="nil"/>
              <w:tr2bl w:val="nil"/>
            </w:tcBorders>
            <w:shd w:val="clear" w:color="auto" w:fill="auto"/>
            <w:tcMar>
              <w:top w:w="15" w:type="dxa"/>
              <w:left w:w="15" w:type="dxa"/>
              <w:right w:w="15" w:type="dxa"/>
            </w:tcMar>
            <w:vAlign w:val="center"/>
          </w:tcPr>
          <w:p w14:paraId="0B608A5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3667" w:type="dxa"/>
            <w:vMerge w:val="continue"/>
            <w:tcBorders>
              <w:tl2br w:val="nil"/>
              <w:tr2bl w:val="nil"/>
            </w:tcBorders>
            <w:shd w:val="clear" w:color="auto" w:fill="auto"/>
            <w:tcMar>
              <w:top w:w="15" w:type="dxa"/>
              <w:left w:w="15" w:type="dxa"/>
              <w:right w:w="15" w:type="dxa"/>
            </w:tcMar>
            <w:vAlign w:val="center"/>
          </w:tcPr>
          <w:p w14:paraId="74D1B39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2" w:type="dxa"/>
            <w:vMerge w:val="continue"/>
            <w:tcBorders>
              <w:tl2br w:val="nil"/>
              <w:tr2bl w:val="nil"/>
            </w:tcBorders>
            <w:shd w:val="clear" w:color="auto" w:fill="auto"/>
            <w:tcMar>
              <w:top w:w="15" w:type="dxa"/>
              <w:left w:w="15" w:type="dxa"/>
              <w:right w:w="15" w:type="dxa"/>
            </w:tcMar>
            <w:vAlign w:val="center"/>
          </w:tcPr>
          <w:p w14:paraId="39AE913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59"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1D22B1A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从重处罚</w:t>
            </w:r>
          </w:p>
        </w:tc>
        <w:tc>
          <w:tcPr>
            <w:tcW w:w="1829"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3538F47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违法所得在100万元以上的</w:t>
            </w:r>
          </w:p>
        </w:tc>
        <w:tc>
          <w:tcPr>
            <w:tcW w:w="2655"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2482202E">
            <w:pPr>
              <w:keepNext w:val="0"/>
              <w:keepLines w:val="0"/>
              <w:pageBreakBefore w:val="0"/>
              <w:widowControl w:val="0"/>
              <w:kinsoku/>
              <w:wordWrap/>
              <w:overflowPunct w:val="0"/>
              <w:topLinePunct w:val="0"/>
              <w:autoSpaceDE/>
              <w:autoSpaceDN/>
              <w:bidi w:val="0"/>
              <w:adjustRightInd/>
              <w:snapToGrid/>
              <w:spacing w:line="240" w:lineRule="exact"/>
              <w:jc w:val="lef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没收违法所得和开采出的煤炭以及采掘设备，处违法所得4倍以上5倍以下罚款。</w:t>
            </w:r>
          </w:p>
        </w:tc>
      </w:tr>
      <w:tr w14:paraId="2BA5A5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5FAB25B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1</w:t>
            </w:r>
            <w:del w:id="2984" w:author="LV" w:date="2026-07-14T17:03:12Z">
              <w:r>
                <w:rPr>
                  <w:rFonts w:hint="default" w:ascii="仿宋_GB2312" w:hAnsi="宋体" w:eastAsia="仿宋_GB2312" w:cs="仿宋_GB2312"/>
                  <w:kern w:val="0"/>
                  <w:sz w:val="18"/>
                  <w:szCs w:val="18"/>
                  <w:lang w:val="en-US" w:bidi="ar"/>
                </w:rPr>
                <w:delText>8</w:delText>
              </w:r>
            </w:del>
            <w:del w:id="2985" w:author="LV" w:date="2026-07-14T17:03:12Z">
              <w:r>
                <w:rPr>
                  <w:rFonts w:hint="default" w:ascii="仿宋_GB2312" w:hAnsi="宋体" w:eastAsia="仿宋_GB2312" w:cs="仿宋_GB2312"/>
                  <w:kern w:val="0"/>
                  <w:sz w:val="18"/>
                  <w:szCs w:val="18"/>
                  <w:lang w:val="en-US" w:eastAsia="zh-CN" w:bidi="ar"/>
                </w:rPr>
                <w:delText>8</w:delText>
              </w:r>
            </w:del>
            <w:ins w:id="2986" w:author="LV" w:date="2026-07-14T17:03:12Z">
              <w:r>
                <w:rPr>
                  <w:rFonts w:hint="eastAsia" w:ascii="仿宋_GB2312" w:hAnsi="宋体" w:eastAsia="仿宋_GB2312" w:cs="仿宋_GB2312"/>
                  <w:kern w:val="0"/>
                  <w:sz w:val="18"/>
                  <w:szCs w:val="18"/>
                  <w:lang w:val="en-US" w:eastAsia="zh-CN" w:bidi="ar"/>
                </w:rPr>
                <w:t>9</w:t>
              </w:r>
            </w:ins>
            <w:ins w:id="2987" w:author="LV" w:date="2026-07-14T17:03:13Z">
              <w:r>
                <w:rPr>
                  <w:rFonts w:hint="eastAsia" w:ascii="仿宋_GB2312" w:hAnsi="宋体" w:eastAsia="仿宋_GB2312" w:cs="仿宋_GB2312"/>
                  <w:kern w:val="0"/>
                  <w:sz w:val="18"/>
                  <w:szCs w:val="18"/>
                  <w:lang w:val="en-US" w:eastAsia="zh-CN" w:bidi="ar"/>
                </w:rPr>
                <w:t>4</w:t>
              </w:r>
            </w:ins>
          </w:p>
        </w:tc>
        <w:tc>
          <w:tcPr>
            <w:tcW w:w="1005" w:type="dxa"/>
            <w:vMerge w:val="restart"/>
            <w:tcBorders>
              <w:tl2br w:val="nil"/>
              <w:tr2bl w:val="nil"/>
            </w:tcBorders>
            <w:shd w:val="clear" w:color="auto" w:fill="auto"/>
            <w:tcMar>
              <w:top w:w="15" w:type="dxa"/>
              <w:left w:w="15" w:type="dxa"/>
              <w:right w:w="15" w:type="dxa"/>
            </w:tcMar>
            <w:vAlign w:val="center"/>
          </w:tcPr>
          <w:p w14:paraId="07507F1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highlight w:val="none"/>
                <w:lang w:bidi="ar"/>
              </w:rPr>
              <w:t>煤矿企业在安全生产许可证有效期满未申请办理延期手续，继续进行生产的</w:t>
            </w:r>
          </w:p>
        </w:tc>
        <w:tc>
          <w:tcPr>
            <w:tcW w:w="3667" w:type="dxa"/>
            <w:vMerge w:val="restart"/>
            <w:tcBorders>
              <w:tl2br w:val="nil"/>
              <w:tr2bl w:val="nil"/>
            </w:tcBorders>
            <w:shd w:val="clear" w:color="auto" w:fill="auto"/>
            <w:tcMar>
              <w:top w:w="15" w:type="dxa"/>
              <w:left w:w="15" w:type="dxa"/>
              <w:right w:w="15" w:type="dxa"/>
            </w:tcMar>
            <w:vAlign w:val="center"/>
          </w:tcPr>
          <w:p w14:paraId="60044ED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 xml:space="preserve">《安全生产许可证条例》第九条 </w:t>
            </w:r>
            <w:r>
              <w:rPr>
                <w:rFonts w:hint="eastAsia" w:ascii="仿宋_GB2312" w:hAnsi="宋体" w:eastAsia="仿宋_GB2312" w:cs="仿宋_GB2312"/>
                <w:kern w:val="0"/>
                <w:sz w:val="18"/>
                <w:szCs w:val="18"/>
                <w:lang w:val="en-US" w:eastAsia="zh-CN" w:bidi="ar"/>
              </w:rPr>
              <w:t>安全生</w:t>
            </w:r>
            <w:r>
              <w:rPr>
                <w:rFonts w:hint="eastAsia" w:ascii="仿宋_GB2312" w:hAnsi="宋体" w:eastAsia="仿宋_GB2312" w:cs="仿宋_GB2312"/>
                <w:kern w:val="0"/>
                <w:sz w:val="18"/>
                <w:szCs w:val="18"/>
                <w:lang w:bidi="ar"/>
              </w:rPr>
              <w:t>产许可证的有效期为3年。安全生产许可证有效期满需要延期的，企业应当于期满前3个月向原安全生产许可证颁发管理机关办理延期手续。</w:t>
            </w:r>
          </w:p>
          <w:p w14:paraId="080A064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 xml:space="preserve">《煤矿企业安全生产许可证实施办法》第十七条 </w:t>
            </w:r>
            <w:r>
              <w:rPr>
                <w:rFonts w:hint="eastAsia" w:ascii="仿宋_GB2312" w:hAnsi="宋体" w:eastAsia="仿宋_GB2312" w:cs="仿宋_GB2312"/>
                <w:kern w:val="0"/>
                <w:sz w:val="18"/>
                <w:szCs w:val="18"/>
                <w:lang w:val="en-US" w:eastAsia="zh-CN" w:bidi="ar"/>
              </w:rPr>
              <w:t>安</w:t>
            </w:r>
            <w:r>
              <w:rPr>
                <w:rFonts w:hint="eastAsia" w:ascii="仿宋_GB2312" w:hAnsi="宋体" w:eastAsia="仿宋_GB2312" w:cs="仿宋_GB2312"/>
                <w:kern w:val="0"/>
                <w:sz w:val="18"/>
                <w:szCs w:val="18"/>
                <w:lang w:bidi="ar"/>
              </w:rPr>
              <w:t>全</w:t>
            </w:r>
            <w:r>
              <w:rPr>
                <w:rFonts w:hint="eastAsia" w:ascii="仿宋_GB2312" w:hAnsi="宋体" w:eastAsia="仿宋_GB2312" w:cs="仿宋_GB2312"/>
                <w:kern w:val="0"/>
                <w:sz w:val="18"/>
                <w:szCs w:val="18"/>
                <w:lang w:val="en-US" w:eastAsia="zh-CN" w:bidi="ar"/>
              </w:rPr>
              <w:t>生</w:t>
            </w:r>
            <w:r>
              <w:rPr>
                <w:rFonts w:hint="eastAsia" w:ascii="仿宋_GB2312" w:hAnsi="宋体" w:eastAsia="仿宋_GB2312" w:cs="仿宋_GB2312"/>
                <w:kern w:val="0"/>
                <w:sz w:val="18"/>
                <w:szCs w:val="18"/>
                <w:lang w:bidi="ar"/>
              </w:rPr>
              <w:t>产许可证的有效期为3年。安全生产许可证有效期满需要延期的，煤矿企业应当于期满前3个月按照本实施办法第十条的规定，向原安全生产许可证颁发管理机关提出延期申请，并提交本实施办法第十一条规定的文件、资料和安全生产许可证正本、副本。</w:t>
            </w:r>
          </w:p>
        </w:tc>
        <w:tc>
          <w:tcPr>
            <w:tcW w:w="4082" w:type="dxa"/>
            <w:vMerge w:val="restart"/>
            <w:tcBorders>
              <w:tl2br w:val="nil"/>
              <w:tr2bl w:val="nil"/>
            </w:tcBorders>
            <w:shd w:val="clear" w:color="auto" w:fill="auto"/>
            <w:tcMar>
              <w:top w:w="15" w:type="dxa"/>
              <w:left w:w="15" w:type="dxa"/>
              <w:right w:w="15" w:type="dxa"/>
            </w:tcMar>
            <w:vAlign w:val="center"/>
          </w:tcPr>
          <w:p w14:paraId="15EAFFE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《安全生产许可证条例》第二十条 违反本条例规定，安全生产许可证有效期满未办理延期手续，继续进行生产的，责令停止生产，限期补办延期手续，没收违法所得，并处5万元以上10万元以下的罚款；逾期仍不办理延期手续，继续进行生产的，依照本条例第十九条的规定处罚。</w:t>
            </w:r>
          </w:p>
          <w:p w14:paraId="59E8686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《煤矿企业安全生产许可证实施办法》第四十一条 在安全生产许可证有效期满未申请办理延期手续，继续进行生产的，责令停止生产，限期补办延期手续，没收违法所得，并处5万元以上10万元以下的罚款；逾期仍不申请办理延期手续，依照本实施办法第二十九条、第四十条的规定处理。</w:t>
            </w:r>
          </w:p>
        </w:tc>
        <w:tc>
          <w:tcPr>
            <w:tcW w:w="459" w:type="dxa"/>
            <w:tcBorders>
              <w:tl2br w:val="nil"/>
              <w:tr2bl w:val="nil"/>
            </w:tcBorders>
            <w:shd w:val="clear" w:color="auto" w:fill="auto"/>
            <w:noWrap/>
            <w:tcMar>
              <w:top w:w="15" w:type="dxa"/>
              <w:left w:w="15" w:type="dxa"/>
              <w:right w:w="15" w:type="dxa"/>
            </w:tcMar>
            <w:vAlign w:val="center"/>
          </w:tcPr>
          <w:p w14:paraId="0324F17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4046301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DFE5AB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06293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73653F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3BEBA5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3DEA34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7FF7BB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DDF508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5858283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3E8AB04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6F82D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C57F03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0A7394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DFAE4E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FF38EE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tcMar>
              <w:top w:w="15" w:type="dxa"/>
              <w:left w:w="15" w:type="dxa"/>
              <w:right w:w="15" w:type="dxa"/>
            </w:tcMar>
            <w:vAlign w:val="center"/>
          </w:tcPr>
          <w:p w14:paraId="322939D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1AB9C1E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E6F1C2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64BC5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8122ED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F646BC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9E5B79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B5B879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EBEC08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2688520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违法所得不足10万元的</w:t>
            </w:r>
          </w:p>
        </w:tc>
        <w:tc>
          <w:tcPr>
            <w:tcW w:w="2655" w:type="dxa"/>
            <w:tcBorders>
              <w:tl2br w:val="nil"/>
              <w:tr2bl w:val="nil"/>
            </w:tcBorders>
            <w:shd w:val="clear" w:color="auto" w:fill="auto"/>
            <w:tcMar>
              <w:top w:w="15" w:type="dxa"/>
              <w:left w:w="15" w:type="dxa"/>
              <w:right w:w="15" w:type="dxa"/>
            </w:tcMar>
            <w:vAlign w:val="center"/>
          </w:tcPr>
          <w:p w14:paraId="54C089F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没收违法所得，处5万元以上7万元以下的罚款。</w:t>
            </w:r>
          </w:p>
        </w:tc>
      </w:tr>
      <w:tr w14:paraId="46797A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E129E4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DA7ED8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E8FEB8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F46079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D37CC5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3AF718B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违法所得10万元以上50万元以下的</w:t>
            </w:r>
          </w:p>
        </w:tc>
        <w:tc>
          <w:tcPr>
            <w:tcW w:w="2655" w:type="dxa"/>
            <w:tcBorders>
              <w:tl2br w:val="nil"/>
              <w:tr2bl w:val="nil"/>
            </w:tcBorders>
            <w:shd w:val="clear" w:color="auto" w:fill="auto"/>
            <w:tcMar>
              <w:top w:w="15" w:type="dxa"/>
              <w:left w:w="15" w:type="dxa"/>
              <w:right w:w="15" w:type="dxa"/>
            </w:tcMar>
            <w:vAlign w:val="center"/>
          </w:tcPr>
          <w:p w14:paraId="05C8437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没收违法所得，处7万元以上9万元以下的罚款。</w:t>
            </w:r>
          </w:p>
        </w:tc>
      </w:tr>
      <w:tr w14:paraId="2AAC22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D19E77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406131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CC9B9C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B604B1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942F58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020EE58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违法所得50万元以上的</w:t>
            </w:r>
          </w:p>
        </w:tc>
        <w:tc>
          <w:tcPr>
            <w:tcW w:w="2655" w:type="dxa"/>
            <w:tcBorders>
              <w:tl2br w:val="nil"/>
              <w:tr2bl w:val="nil"/>
            </w:tcBorders>
            <w:shd w:val="clear" w:color="auto" w:fill="auto"/>
            <w:tcMar>
              <w:top w:w="15" w:type="dxa"/>
              <w:left w:w="15" w:type="dxa"/>
              <w:right w:w="15" w:type="dxa"/>
            </w:tcMar>
            <w:vAlign w:val="center"/>
          </w:tcPr>
          <w:p w14:paraId="436FAE9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没收违法所得，处9万元以上10万元以下的罚款。</w:t>
            </w:r>
          </w:p>
        </w:tc>
      </w:tr>
      <w:tr w14:paraId="57DF0B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46B10FA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hint="default" w:ascii="仿宋_GB2312" w:hAnsi="宋体" w:eastAsia="仿宋_GB2312" w:cs="仿宋_GB2312"/>
                <w:sz w:val="18"/>
                <w:szCs w:val="18"/>
                <w:lang w:val="en-US" w:eastAsia="zh-CN"/>
              </w:rPr>
            </w:pPr>
            <w:r>
              <w:rPr>
                <w:rFonts w:hint="eastAsia" w:ascii="仿宋_GB2312" w:hAnsi="宋体" w:eastAsia="仿宋_GB2312" w:cs="仿宋_GB2312"/>
                <w:sz w:val="18"/>
                <w:szCs w:val="18"/>
                <w:lang w:val="en-US" w:eastAsia="zh-CN"/>
              </w:rPr>
              <w:t>1</w:t>
            </w:r>
            <w:del w:id="2988" w:author="LV" w:date="2026-07-14T17:03:18Z">
              <w:r>
                <w:rPr>
                  <w:rFonts w:hint="default" w:ascii="仿宋_GB2312" w:hAnsi="宋体" w:eastAsia="仿宋_GB2312" w:cs="仿宋_GB2312"/>
                  <w:sz w:val="18"/>
                  <w:szCs w:val="18"/>
                  <w:lang w:val="en-US" w:eastAsia="zh-CN"/>
                </w:rPr>
                <w:delText>89</w:delText>
              </w:r>
            </w:del>
            <w:ins w:id="2989" w:author="LV" w:date="2026-07-14T17:03:18Z">
              <w:r>
                <w:rPr>
                  <w:rFonts w:hint="eastAsia" w:ascii="仿宋_GB2312" w:hAnsi="宋体" w:eastAsia="仿宋_GB2312" w:cs="仿宋_GB2312"/>
                  <w:sz w:val="18"/>
                  <w:szCs w:val="18"/>
                  <w:lang w:val="en-US" w:eastAsia="zh-CN"/>
                </w:rPr>
                <w:t>95</w:t>
              </w:r>
            </w:ins>
          </w:p>
        </w:tc>
        <w:tc>
          <w:tcPr>
            <w:tcW w:w="1005" w:type="dxa"/>
            <w:vMerge w:val="restart"/>
            <w:tcBorders>
              <w:tl2br w:val="nil"/>
              <w:tr2bl w:val="nil"/>
            </w:tcBorders>
            <w:shd w:val="clear" w:color="auto" w:fill="auto"/>
            <w:tcMar>
              <w:top w:w="15" w:type="dxa"/>
              <w:left w:w="15" w:type="dxa"/>
              <w:right w:w="15" w:type="dxa"/>
            </w:tcMar>
            <w:vAlign w:val="center"/>
          </w:tcPr>
          <w:p w14:paraId="3A8F5DB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hint="eastAsia" w:ascii="仿宋_GB2312" w:hAnsi="宋体" w:eastAsia="仿宋_GB2312" w:cs="仿宋_GB2312"/>
                <w:sz w:val="18"/>
                <w:szCs w:val="18"/>
              </w:rPr>
              <w:t>改建、扩建工程已经验收合格，逾期仍不办理安全生产许可证变更手续，继续进行生产的</w:t>
            </w:r>
          </w:p>
        </w:tc>
        <w:tc>
          <w:tcPr>
            <w:tcW w:w="3667" w:type="dxa"/>
            <w:vMerge w:val="restart"/>
            <w:tcBorders>
              <w:tl2br w:val="nil"/>
              <w:tr2bl w:val="nil"/>
            </w:tcBorders>
            <w:shd w:val="clear" w:color="auto" w:fill="auto"/>
            <w:tcMar>
              <w:top w:w="15" w:type="dxa"/>
              <w:left w:w="15" w:type="dxa"/>
              <w:right w:w="15" w:type="dxa"/>
            </w:tcMar>
            <w:vAlign w:val="center"/>
          </w:tcPr>
          <w:p w14:paraId="2FE3BB73">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sz w:val="18"/>
                <w:szCs w:val="18"/>
              </w:rPr>
            </w:pPr>
            <w:r>
              <w:rPr>
                <w:rFonts w:hint="eastAsia" w:ascii="仿宋_GB2312" w:hAnsi="宋体" w:eastAsia="仿宋_GB2312" w:cs="仿宋_GB2312"/>
                <w:sz w:val="18"/>
                <w:szCs w:val="18"/>
              </w:rPr>
              <w:t>《煤矿安全生产条例》第十七条第煤矿企业进行生产，应当依照《安全生产许可证条例》的规定取得安全生产许可证。未取得安全生产许可证的，不得生产。</w:t>
            </w:r>
          </w:p>
          <w:p w14:paraId="51197FC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hint="eastAsia" w:ascii="仿宋_GB2312" w:hAnsi="宋体" w:eastAsia="仿宋_GB2312" w:cs="仿宋_GB2312"/>
                <w:sz w:val="18"/>
                <w:szCs w:val="18"/>
              </w:rPr>
              <w:t>《煤矿企业安全生产许可证实施办法》第四十二条第二款  改建、扩建工程已经验收合格，未按本实施办法规定申请办理变更手续擅自投入生产的，责令停止生产，限期补办变更手续，并处1万元以上3万元以下罚款；逾期仍不办理变更手续，继续进行生产的，依照本实施办法第四十条的规定处罚。</w:t>
            </w:r>
          </w:p>
        </w:tc>
        <w:tc>
          <w:tcPr>
            <w:tcW w:w="4082" w:type="dxa"/>
            <w:vMerge w:val="restart"/>
            <w:tcBorders>
              <w:tl2br w:val="nil"/>
              <w:tr2bl w:val="nil"/>
            </w:tcBorders>
            <w:shd w:val="clear" w:color="auto" w:fill="auto"/>
            <w:tcMar>
              <w:top w:w="15" w:type="dxa"/>
              <w:left w:w="15" w:type="dxa"/>
              <w:right w:w="15" w:type="dxa"/>
            </w:tcMar>
            <w:vAlign w:val="center"/>
          </w:tcPr>
          <w:p w14:paraId="59076A96">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sz w:val="18"/>
                <w:szCs w:val="18"/>
              </w:rPr>
            </w:pPr>
            <w:r>
              <w:rPr>
                <w:rFonts w:hint="eastAsia" w:ascii="仿宋_GB2312" w:hAnsi="宋体" w:eastAsia="仿宋_GB2312" w:cs="仿宋_GB2312"/>
                <w:sz w:val="18"/>
                <w:szCs w:val="18"/>
              </w:rPr>
              <w:t>《煤矿安全生产条例》第六十一条第一款  未依法取得安全生产许可证等擅自进行煤矿生产的，应当责令立即停止生产，没收违法所得和开采出的煤炭以及采掘设备；违法所得在10万元以上的，并处违法所得2 倍以上5倍以下的罚款；没有违法所得或者违法所得不足 10万元的，并处10万元以上20万元以下的罚款。</w:t>
            </w:r>
          </w:p>
          <w:p w14:paraId="209DFAD7">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sz w:val="18"/>
                <w:szCs w:val="18"/>
              </w:rPr>
            </w:pPr>
            <w:r>
              <w:rPr>
                <w:rFonts w:hint="eastAsia" w:ascii="仿宋_GB2312" w:hAnsi="宋体" w:eastAsia="仿宋_GB2312" w:cs="仿宋_GB2312"/>
                <w:sz w:val="18"/>
                <w:szCs w:val="18"/>
              </w:rPr>
              <w:t xml:space="preserve">《安全生产许可证条例》第十九条  违反本条例规定，未取得安全生产许可证擅自进行生产的，责令停止生产，没收违法所得，并处10万元以上50万元以下的罚款；造成重大事故或者其他严重后果，构成犯罪的，依法追究刑事责任。 </w:t>
            </w:r>
          </w:p>
          <w:p w14:paraId="12B8DC9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hint="eastAsia" w:ascii="仿宋_GB2312" w:hAnsi="宋体" w:eastAsia="仿宋_GB2312" w:cs="仿宋_GB2312"/>
                <w:sz w:val="18"/>
                <w:szCs w:val="18"/>
              </w:rPr>
              <w:t>《煤矿企业安全生产许可证实施办法》第四十条  发现煤矿 企业有下列行为之一的，责令停止生产，没收违法所得，并处10万元以上50万元以下的罚款；构成犯罪的，依法追究刑事责任：（一）未取得安全生产许可证，擅自进行生产的；（二）接受转让的安全生产许可证的；（三）冒用安全生产许可证的；（四）使用伪造安全生产许可证的。</w:t>
            </w:r>
          </w:p>
        </w:tc>
        <w:tc>
          <w:tcPr>
            <w:tcW w:w="459" w:type="dxa"/>
            <w:tcBorders>
              <w:tl2br w:val="nil"/>
              <w:tr2bl w:val="nil"/>
            </w:tcBorders>
            <w:shd w:val="clear" w:color="auto" w:fill="auto"/>
            <w:noWrap/>
            <w:tcMar>
              <w:top w:w="15" w:type="dxa"/>
              <w:left w:w="15" w:type="dxa"/>
              <w:right w:w="15" w:type="dxa"/>
            </w:tcMar>
            <w:vAlign w:val="center"/>
          </w:tcPr>
          <w:p w14:paraId="684C65D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6316E16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786B6E6D">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06B009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246C91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0C20B7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3872B1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36DA0E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0BF0B7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2297E85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6F0FB8A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29F8B7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5C7085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9C96E3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B9846A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7B9D2B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7C1491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215580E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22379ED">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6D747E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20BC50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55FE9E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69186E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76D468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E8E60D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1332466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rPr>
            </w:pPr>
            <w:r>
              <w:rPr>
                <w:rFonts w:hint="eastAsia" w:ascii="仿宋_GB2312" w:hAnsi="宋体" w:eastAsia="仿宋_GB2312" w:cs="仿宋_GB2312"/>
                <w:sz w:val="18"/>
                <w:szCs w:val="18"/>
              </w:rPr>
              <w:t>没有违法所得或违法所得不足10万元的</w:t>
            </w:r>
          </w:p>
        </w:tc>
        <w:tc>
          <w:tcPr>
            <w:tcW w:w="2655" w:type="dxa"/>
            <w:tcBorders>
              <w:tl2br w:val="nil"/>
              <w:tr2bl w:val="nil"/>
            </w:tcBorders>
            <w:shd w:val="clear" w:color="auto" w:fill="auto"/>
            <w:tcMar>
              <w:top w:w="15" w:type="dxa"/>
              <w:left w:w="15" w:type="dxa"/>
              <w:right w:w="15" w:type="dxa"/>
            </w:tcMar>
            <w:vAlign w:val="center"/>
          </w:tcPr>
          <w:p w14:paraId="77A3B19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rPr>
            </w:pPr>
            <w:r>
              <w:rPr>
                <w:rFonts w:hint="eastAsia" w:ascii="仿宋_GB2312" w:hAnsi="宋体" w:eastAsia="仿宋_GB2312" w:cs="仿宋_GB2312"/>
                <w:sz w:val="18"/>
                <w:szCs w:val="18"/>
              </w:rPr>
              <w:t>没收违法所得和开采出的煤炭以及采掘设备，处10万元以上20万元以下罚款；</w:t>
            </w:r>
          </w:p>
        </w:tc>
      </w:tr>
      <w:tr w14:paraId="55B9C2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ABB1B6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D87723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9BA52F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FEC4E4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3F94CD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705C122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rPr>
            </w:pPr>
            <w:r>
              <w:rPr>
                <w:rFonts w:hint="eastAsia" w:ascii="仿宋_GB2312" w:hAnsi="宋体" w:eastAsia="仿宋_GB2312" w:cs="仿宋_GB2312"/>
                <w:sz w:val="18"/>
                <w:szCs w:val="18"/>
              </w:rPr>
              <w:t>违法所得在10万元以上100万元以下的</w:t>
            </w:r>
          </w:p>
        </w:tc>
        <w:tc>
          <w:tcPr>
            <w:tcW w:w="2655" w:type="dxa"/>
            <w:tcBorders>
              <w:tl2br w:val="nil"/>
              <w:tr2bl w:val="nil"/>
            </w:tcBorders>
            <w:shd w:val="clear" w:color="auto" w:fill="auto"/>
            <w:tcMar>
              <w:top w:w="15" w:type="dxa"/>
              <w:left w:w="15" w:type="dxa"/>
              <w:right w:w="15" w:type="dxa"/>
            </w:tcMar>
            <w:vAlign w:val="center"/>
          </w:tcPr>
          <w:p w14:paraId="02814AE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rPr>
            </w:pPr>
            <w:r>
              <w:rPr>
                <w:rFonts w:hint="eastAsia" w:ascii="仿宋_GB2312" w:hAnsi="宋体" w:eastAsia="仿宋_GB2312" w:cs="仿宋_GB2312"/>
                <w:sz w:val="18"/>
                <w:szCs w:val="18"/>
              </w:rPr>
              <w:t>没收违法所得和开采出的煤炭以及采掘设备，处违法所得2倍以上4倍以下罚款；</w:t>
            </w:r>
          </w:p>
        </w:tc>
      </w:tr>
      <w:tr w14:paraId="7B47FE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6D990A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B5CF70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E10B13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9FFAA1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B77F0A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1E16C16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rPr>
            </w:pPr>
            <w:r>
              <w:rPr>
                <w:rFonts w:hint="eastAsia" w:ascii="仿宋_GB2312" w:hAnsi="宋体" w:eastAsia="仿宋_GB2312" w:cs="仿宋_GB2312"/>
                <w:sz w:val="18"/>
                <w:szCs w:val="18"/>
              </w:rPr>
              <w:t>违法所得在100万元以上的</w:t>
            </w:r>
          </w:p>
        </w:tc>
        <w:tc>
          <w:tcPr>
            <w:tcW w:w="2655" w:type="dxa"/>
            <w:tcBorders>
              <w:tl2br w:val="nil"/>
              <w:tr2bl w:val="nil"/>
            </w:tcBorders>
            <w:shd w:val="clear" w:color="auto" w:fill="auto"/>
            <w:tcMar>
              <w:top w:w="15" w:type="dxa"/>
              <w:left w:w="15" w:type="dxa"/>
              <w:right w:w="15" w:type="dxa"/>
            </w:tcMar>
            <w:vAlign w:val="center"/>
          </w:tcPr>
          <w:p w14:paraId="45E4417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rPr>
            </w:pPr>
            <w:r>
              <w:rPr>
                <w:rFonts w:hint="eastAsia" w:ascii="仿宋_GB2312" w:hAnsi="宋体" w:eastAsia="仿宋_GB2312" w:cs="仿宋_GB2312"/>
                <w:sz w:val="18"/>
                <w:szCs w:val="18"/>
              </w:rPr>
              <w:t>没收违法所得和开采出的煤炭以及采掘设备，处违法所得4倍以上5倍以下罚款。</w:t>
            </w:r>
          </w:p>
        </w:tc>
      </w:tr>
      <w:tr w14:paraId="0DEF47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5"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5FF1141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1</w:t>
            </w:r>
            <w:r>
              <w:rPr>
                <w:rFonts w:hint="eastAsia" w:ascii="仿宋_GB2312" w:hAnsi="宋体" w:eastAsia="仿宋_GB2312" w:cs="仿宋_GB2312"/>
                <w:kern w:val="0"/>
                <w:sz w:val="18"/>
                <w:szCs w:val="18"/>
                <w:lang w:val="en-US" w:eastAsia="zh-CN" w:bidi="ar"/>
              </w:rPr>
              <w:t>9</w:t>
            </w:r>
            <w:del w:id="2990" w:author="LV" w:date="2026-07-14T17:03:22Z">
              <w:r>
                <w:rPr>
                  <w:rFonts w:hint="default" w:ascii="仿宋_GB2312" w:hAnsi="宋体" w:eastAsia="仿宋_GB2312" w:cs="仿宋_GB2312"/>
                  <w:kern w:val="0"/>
                  <w:sz w:val="18"/>
                  <w:szCs w:val="18"/>
                  <w:lang w:val="en-US" w:eastAsia="zh-CN" w:bidi="ar"/>
                </w:rPr>
                <w:delText>0</w:delText>
              </w:r>
            </w:del>
            <w:ins w:id="2991" w:author="LV" w:date="2026-07-14T17:03:22Z">
              <w:r>
                <w:rPr>
                  <w:rFonts w:hint="eastAsia" w:ascii="仿宋_GB2312" w:hAnsi="宋体" w:eastAsia="仿宋_GB2312" w:cs="仿宋_GB2312"/>
                  <w:kern w:val="0"/>
                  <w:sz w:val="18"/>
                  <w:szCs w:val="18"/>
                  <w:lang w:val="en-US" w:eastAsia="zh-CN" w:bidi="ar"/>
                </w:rPr>
                <w:t>6</w:t>
              </w:r>
            </w:ins>
          </w:p>
        </w:tc>
        <w:tc>
          <w:tcPr>
            <w:tcW w:w="1005" w:type="dxa"/>
            <w:vMerge w:val="restart"/>
            <w:tcBorders>
              <w:tl2br w:val="nil"/>
              <w:tr2bl w:val="nil"/>
            </w:tcBorders>
            <w:shd w:val="clear" w:color="auto" w:fill="auto"/>
            <w:tcMar>
              <w:top w:w="15" w:type="dxa"/>
              <w:left w:w="15" w:type="dxa"/>
              <w:right w:w="15" w:type="dxa"/>
            </w:tcMar>
            <w:vAlign w:val="center"/>
          </w:tcPr>
          <w:p w14:paraId="56511B5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highlight w:val="none"/>
                <w:lang w:bidi="ar"/>
              </w:rPr>
              <w:t>未按规定对煤矿企业主要负责人变更的</w:t>
            </w:r>
          </w:p>
        </w:tc>
        <w:tc>
          <w:tcPr>
            <w:tcW w:w="3667" w:type="dxa"/>
            <w:vMerge w:val="restart"/>
            <w:tcBorders>
              <w:tl2br w:val="nil"/>
              <w:tr2bl w:val="nil"/>
            </w:tcBorders>
            <w:shd w:val="clear" w:color="auto" w:fill="auto"/>
            <w:tcMar>
              <w:top w:w="15" w:type="dxa"/>
              <w:left w:w="15" w:type="dxa"/>
              <w:right w:w="15" w:type="dxa"/>
            </w:tcMar>
            <w:vAlign w:val="center"/>
          </w:tcPr>
          <w:p w14:paraId="58C35A4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《煤矿企业安全生产许可证实施办法》第二十条 煤矿企业在安全生产许可证有效期内有下列情形之一的，应当向原安全生产许可证颁发管理机关申请变更安全生产许可证：（一）变更主要负责人的；（二）变更隶属关系的；（三）变更经济类型的；（四）变更煤矿企业名称的；（五）煤矿改建、扩建工程经验收合格的。变更本条第一款第一、二、三、四项的，自工商营业执照变更之日起10个工作日内提出申请；变更本条第一款第五项的，应当在改建、扩建工程验收合格后10个工作日内提出申请。申请变更本条第一款第一项的，应提供变更后的工商营业执照副本和主要负责人任命文件（或者聘书）；申请变更本条第一款第二、三、四项的，应提供变更后的工商营业执照副本；申请变更本条第一款第五项的，应提供改建、扩建工程安全设施及条件竣工验收合格的证明材料。</w:t>
            </w:r>
          </w:p>
          <w:p w14:paraId="57511DF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p>
        </w:tc>
        <w:tc>
          <w:tcPr>
            <w:tcW w:w="4082" w:type="dxa"/>
            <w:vMerge w:val="restart"/>
            <w:tcBorders>
              <w:tl2br w:val="nil"/>
              <w:tr2bl w:val="nil"/>
            </w:tcBorders>
            <w:shd w:val="clear" w:color="auto" w:fill="auto"/>
            <w:tcMar>
              <w:top w:w="15" w:type="dxa"/>
              <w:left w:w="15" w:type="dxa"/>
              <w:right w:w="15" w:type="dxa"/>
            </w:tcMar>
            <w:vAlign w:val="center"/>
          </w:tcPr>
          <w:p w14:paraId="641F52F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《煤矿企业安全生产许可证实施办法》第四十二条  在安全生产许可证有效期内，主要负责人、隶属关系、经济类型、煤矿企业名称发生变化，未按本实施办法申请办理变更手续的，责令限期补办变更手续，并处1万元以上3万元以下罚款。</w:t>
            </w:r>
          </w:p>
        </w:tc>
        <w:tc>
          <w:tcPr>
            <w:tcW w:w="459" w:type="dxa"/>
            <w:tcBorders>
              <w:tl2br w:val="nil"/>
              <w:tr2bl w:val="nil"/>
            </w:tcBorders>
            <w:shd w:val="clear" w:color="auto" w:fill="auto"/>
            <w:noWrap/>
            <w:tcMar>
              <w:top w:w="15" w:type="dxa"/>
              <w:left w:w="15" w:type="dxa"/>
              <w:right w:w="15" w:type="dxa"/>
            </w:tcMar>
            <w:vAlign w:val="center"/>
          </w:tcPr>
          <w:p w14:paraId="0EA02BE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681FDFC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2F8281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0C9AE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5"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E49D88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C77234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462DCF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76919F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F5C4E3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434D97F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3AFE93E">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1ABE7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5"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DA2779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226D3A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E05B3A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C779B6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D9F88F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611CE1E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F4E287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FB396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F6870C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2D35BA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491D8E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F9EF60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85BD70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7E39CD1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在安全生产许可证有效期内，主要负责人发生变化，</w:t>
            </w:r>
            <w:r>
              <w:rPr>
                <w:rFonts w:hint="eastAsia" w:ascii="仿宋_GB2312" w:hAnsi="宋体" w:eastAsia="仿宋_GB2312" w:cs="仿宋_GB2312"/>
                <w:kern w:val="0"/>
                <w:sz w:val="18"/>
                <w:szCs w:val="18"/>
                <w:lang w:val="en-US" w:eastAsia="zh-CN" w:bidi="ar"/>
              </w:rPr>
              <w:t>未</w:t>
            </w:r>
            <w:r>
              <w:rPr>
                <w:rFonts w:hint="eastAsia" w:ascii="仿宋_GB2312" w:hAnsi="宋体" w:eastAsia="仿宋_GB2312" w:cs="仿宋_GB2312"/>
                <w:kern w:val="0"/>
                <w:sz w:val="18"/>
                <w:szCs w:val="18"/>
                <w:lang w:bidi="ar"/>
              </w:rPr>
              <w:t>超过30个工作日在检查中被发现并及时改正的。</w:t>
            </w:r>
          </w:p>
        </w:tc>
        <w:tc>
          <w:tcPr>
            <w:tcW w:w="2655" w:type="dxa"/>
            <w:tcBorders>
              <w:tl2br w:val="nil"/>
              <w:tr2bl w:val="nil"/>
            </w:tcBorders>
            <w:shd w:val="clear" w:color="auto" w:fill="auto"/>
            <w:tcMar>
              <w:top w:w="15" w:type="dxa"/>
              <w:left w:w="15" w:type="dxa"/>
              <w:right w:w="15" w:type="dxa"/>
            </w:tcMar>
            <w:vAlign w:val="center"/>
          </w:tcPr>
          <w:p w14:paraId="7ACD9E1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default" w:ascii="仿宋_GB2312" w:hAnsi="宋体" w:eastAsia="仿宋_GB2312" w:cs="仿宋_GB2312"/>
                <w:sz w:val="18"/>
                <w:szCs w:val="18"/>
                <w:lang w:val="en-US"/>
              </w:rPr>
            </w:pPr>
            <w:r>
              <w:rPr>
                <w:rFonts w:hint="eastAsia" w:ascii="仿宋_GB2312" w:hAnsi="宋体" w:eastAsia="仿宋_GB2312" w:cs="仿宋_GB2312"/>
                <w:kern w:val="0"/>
                <w:sz w:val="18"/>
                <w:szCs w:val="18"/>
                <w:lang w:bidi="ar"/>
              </w:rPr>
              <w:t>责令限期补办变更手续，并处</w:t>
            </w:r>
            <w:r>
              <w:rPr>
                <w:rFonts w:hint="eastAsia" w:ascii="仿宋_GB2312" w:hAnsi="宋体" w:eastAsia="仿宋_GB2312" w:cs="仿宋_GB2312"/>
                <w:kern w:val="0"/>
                <w:sz w:val="18"/>
                <w:szCs w:val="18"/>
                <w:lang w:val="en-US" w:eastAsia="zh-CN" w:bidi="ar"/>
              </w:rPr>
              <w:t>1万元以上1.5万元以下的罚款。</w:t>
            </w:r>
          </w:p>
        </w:tc>
      </w:tr>
      <w:tr w14:paraId="06E6F7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264BA3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2BC01F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C2638A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2B545B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09B6F8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10FE611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在安全生产许可证有效期内，主要负责人发生变化，超过30个工作日未达到40个工作日在检查中被发现并及时改正的。</w:t>
            </w:r>
          </w:p>
        </w:tc>
        <w:tc>
          <w:tcPr>
            <w:tcW w:w="2655" w:type="dxa"/>
            <w:tcBorders>
              <w:tl2br w:val="nil"/>
              <w:tr2bl w:val="nil"/>
            </w:tcBorders>
            <w:shd w:val="clear" w:color="auto" w:fill="auto"/>
            <w:tcMar>
              <w:top w:w="15" w:type="dxa"/>
              <w:left w:w="15" w:type="dxa"/>
              <w:right w:w="15" w:type="dxa"/>
            </w:tcMar>
            <w:vAlign w:val="center"/>
          </w:tcPr>
          <w:p w14:paraId="5AA78F2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责令限期补办变更手续，并处</w:t>
            </w:r>
            <w:r>
              <w:rPr>
                <w:rFonts w:hint="eastAsia" w:ascii="仿宋_GB2312" w:hAnsi="宋体" w:eastAsia="仿宋_GB2312" w:cs="仿宋_GB2312"/>
                <w:kern w:val="0"/>
                <w:sz w:val="18"/>
                <w:szCs w:val="18"/>
                <w:lang w:val="en-US" w:eastAsia="zh-CN" w:bidi="ar"/>
              </w:rPr>
              <w:t>1.5万元以上2.5万元以下的罚款</w:t>
            </w:r>
            <w:r>
              <w:rPr>
                <w:rFonts w:hint="eastAsia" w:ascii="仿宋_GB2312" w:hAnsi="宋体" w:eastAsia="仿宋_GB2312" w:cs="仿宋_GB2312"/>
                <w:kern w:val="0"/>
                <w:sz w:val="18"/>
                <w:szCs w:val="18"/>
                <w:lang w:bidi="ar"/>
              </w:rPr>
              <w:t>。</w:t>
            </w:r>
          </w:p>
        </w:tc>
      </w:tr>
      <w:tr w14:paraId="21D9CC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8FE007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9D395C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E1EBEF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B17D1E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B625EF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7E73B48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在安全生产许可证有效期内，主要负责人发生变化，超过40个工作日未达到50个工作日在检查中被发现并及时改正的。</w:t>
            </w:r>
          </w:p>
        </w:tc>
        <w:tc>
          <w:tcPr>
            <w:tcW w:w="2655" w:type="dxa"/>
            <w:tcBorders>
              <w:tl2br w:val="nil"/>
              <w:tr2bl w:val="nil"/>
            </w:tcBorders>
            <w:shd w:val="clear" w:color="auto" w:fill="auto"/>
            <w:tcMar>
              <w:top w:w="15" w:type="dxa"/>
              <w:left w:w="15" w:type="dxa"/>
              <w:right w:w="15" w:type="dxa"/>
            </w:tcMar>
            <w:vAlign w:val="center"/>
          </w:tcPr>
          <w:p w14:paraId="22696F4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责令限期补办变更手续，并处</w:t>
            </w:r>
            <w:r>
              <w:rPr>
                <w:rFonts w:hint="eastAsia" w:ascii="仿宋_GB2312" w:hAnsi="宋体" w:eastAsia="仿宋_GB2312" w:cs="仿宋_GB2312"/>
                <w:kern w:val="0"/>
                <w:sz w:val="18"/>
                <w:szCs w:val="18"/>
                <w:lang w:val="en-US" w:eastAsia="zh-CN" w:bidi="ar"/>
              </w:rPr>
              <w:t>2.5万元以上3万元以下的罚款</w:t>
            </w:r>
            <w:r>
              <w:rPr>
                <w:rFonts w:hint="eastAsia" w:ascii="仿宋_GB2312" w:hAnsi="宋体" w:eastAsia="仿宋_GB2312" w:cs="仿宋_GB2312"/>
                <w:kern w:val="0"/>
                <w:sz w:val="18"/>
                <w:szCs w:val="18"/>
                <w:lang w:bidi="ar"/>
              </w:rPr>
              <w:t>。</w:t>
            </w:r>
          </w:p>
        </w:tc>
      </w:tr>
      <w:tr w14:paraId="5503DB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73E1235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1</w:t>
            </w:r>
            <w:r>
              <w:rPr>
                <w:rFonts w:hint="eastAsia" w:ascii="仿宋_GB2312" w:hAnsi="宋体" w:eastAsia="仿宋_GB2312" w:cs="仿宋_GB2312"/>
                <w:kern w:val="0"/>
                <w:sz w:val="18"/>
                <w:szCs w:val="18"/>
                <w:lang w:val="en-US" w:eastAsia="zh-CN" w:bidi="ar"/>
              </w:rPr>
              <w:t>9</w:t>
            </w:r>
            <w:del w:id="2992" w:author="LV" w:date="2026-07-14T17:03:26Z">
              <w:r>
                <w:rPr>
                  <w:rFonts w:hint="default" w:ascii="仿宋_GB2312" w:hAnsi="宋体" w:eastAsia="仿宋_GB2312" w:cs="仿宋_GB2312"/>
                  <w:kern w:val="0"/>
                  <w:sz w:val="18"/>
                  <w:szCs w:val="18"/>
                  <w:lang w:val="en-US" w:eastAsia="zh-CN" w:bidi="ar"/>
                </w:rPr>
                <w:delText>1</w:delText>
              </w:r>
            </w:del>
            <w:ins w:id="2993" w:author="LV" w:date="2026-07-14T17:03:26Z">
              <w:r>
                <w:rPr>
                  <w:rFonts w:hint="eastAsia" w:ascii="仿宋_GB2312" w:hAnsi="宋体" w:eastAsia="仿宋_GB2312" w:cs="仿宋_GB2312"/>
                  <w:kern w:val="0"/>
                  <w:sz w:val="18"/>
                  <w:szCs w:val="18"/>
                  <w:lang w:val="en-US" w:eastAsia="zh-CN" w:bidi="ar"/>
                </w:rPr>
                <w:t>7</w:t>
              </w:r>
            </w:ins>
          </w:p>
        </w:tc>
        <w:tc>
          <w:tcPr>
            <w:tcW w:w="1005" w:type="dxa"/>
            <w:vMerge w:val="restart"/>
            <w:tcBorders>
              <w:tl2br w:val="nil"/>
              <w:tr2bl w:val="nil"/>
            </w:tcBorders>
            <w:shd w:val="clear" w:color="auto" w:fill="auto"/>
            <w:tcMar>
              <w:top w:w="15" w:type="dxa"/>
              <w:left w:w="15" w:type="dxa"/>
              <w:right w:w="15" w:type="dxa"/>
            </w:tcMar>
            <w:vAlign w:val="center"/>
          </w:tcPr>
          <w:p w14:paraId="49835D2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highlight w:val="none"/>
                <w:lang w:bidi="ar"/>
              </w:rPr>
              <w:t>未按规定对煤矿企业隶属关系变更的</w:t>
            </w:r>
          </w:p>
        </w:tc>
        <w:tc>
          <w:tcPr>
            <w:tcW w:w="3667" w:type="dxa"/>
            <w:vMerge w:val="restart"/>
            <w:tcBorders>
              <w:tl2br w:val="nil"/>
              <w:tr2bl w:val="nil"/>
            </w:tcBorders>
            <w:shd w:val="clear" w:color="auto" w:fill="auto"/>
            <w:tcMar>
              <w:top w:w="15" w:type="dxa"/>
              <w:left w:w="15" w:type="dxa"/>
              <w:right w:w="15" w:type="dxa"/>
            </w:tcMar>
            <w:vAlign w:val="center"/>
          </w:tcPr>
          <w:p w14:paraId="455081C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pacing w:val="-6"/>
                <w:kern w:val="0"/>
                <w:sz w:val="18"/>
                <w:szCs w:val="18"/>
                <w:lang w:bidi="ar"/>
              </w:rPr>
            </w:pPr>
            <w:r>
              <w:rPr>
                <w:rFonts w:hint="eastAsia" w:ascii="仿宋_GB2312" w:hAnsi="宋体" w:eastAsia="仿宋_GB2312" w:cs="仿宋_GB2312"/>
                <w:kern w:val="0"/>
                <w:sz w:val="18"/>
                <w:szCs w:val="18"/>
                <w:lang w:bidi="ar"/>
              </w:rPr>
              <w:t>《煤矿企业安全生产许可证实施办法》第二十条 煤矿企业在安全生产许可证有效期内有下列情形之一的，应当向原安全生产许可证颁发管理机关申请变更安全生产许可证：（一）变更主要负责人的；（二）变更隶属关系的；（三）变更经济类型的；（四）变更煤矿企业名称的；（五）煤矿改建、扩建工程经验收合格的。变更本条第一款第一、二、三、四项的，自工商营业执照变更之日起10个工作日内提出申请；变更本条第一款第五项的，应当在改建、扩建工程验收合格后10个工作日内提出申请。申请变更本条第一款第一项的，应提供变更后的工商营业执照副本和主要负责人任命文件（</w:t>
            </w:r>
            <w:r>
              <w:rPr>
                <w:rFonts w:hint="eastAsia" w:ascii="仿宋_GB2312" w:hAnsi="宋体" w:eastAsia="仿宋_GB2312" w:cs="仿宋_GB2312"/>
                <w:spacing w:val="-6"/>
                <w:kern w:val="0"/>
                <w:sz w:val="18"/>
                <w:szCs w:val="18"/>
                <w:lang w:bidi="ar"/>
              </w:rPr>
              <w:t>或者聘书）；申请变更本条第一款第二、三、四项的，应提供变更后的工商营业执照副本；申请变更本条第一款第五项的，应提供改建、扩建工程安全设施及条件竣工验收合格的证明材料。</w:t>
            </w:r>
          </w:p>
        </w:tc>
        <w:tc>
          <w:tcPr>
            <w:tcW w:w="4082" w:type="dxa"/>
            <w:vMerge w:val="restart"/>
            <w:tcBorders>
              <w:tl2br w:val="nil"/>
              <w:tr2bl w:val="nil"/>
            </w:tcBorders>
            <w:shd w:val="clear" w:color="auto" w:fill="auto"/>
            <w:tcMar>
              <w:top w:w="15" w:type="dxa"/>
              <w:left w:w="15" w:type="dxa"/>
              <w:right w:w="15" w:type="dxa"/>
            </w:tcMar>
            <w:vAlign w:val="center"/>
          </w:tcPr>
          <w:p w14:paraId="530BD83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《煤矿企业安全生产许可证实施办法》第四十二条  在安全生产许可证有效期内，主要负责人、隶属关系、经济类型、煤矿企业名称发生变化，未按本实施办法申请办理变更手续的，责令限期补办变更手续，并处1万元以上3万元以下罚款。</w:t>
            </w:r>
          </w:p>
        </w:tc>
        <w:tc>
          <w:tcPr>
            <w:tcW w:w="459" w:type="dxa"/>
            <w:tcBorders>
              <w:tl2br w:val="nil"/>
              <w:tr2bl w:val="nil"/>
            </w:tcBorders>
            <w:shd w:val="clear" w:color="auto" w:fill="auto"/>
            <w:noWrap/>
            <w:tcMar>
              <w:top w:w="15" w:type="dxa"/>
              <w:left w:w="15" w:type="dxa"/>
              <w:right w:w="15" w:type="dxa"/>
            </w:tcMar>
            <w:vAlign w:val="center"/>
          </w:tcPr>
          <w:p w14:paraId="0DA36DA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6D8368F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E2BE6F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D4F34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EAA997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D60F9D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89F51B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98E1F8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F08A40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20B4B07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530309F">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7299B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8EFE4F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235FCA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8F8BA6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04E75A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tcMar>
              <w:top w:w="15" w:type="dxa"/>
              <w:left w:w="15" w:type="dxa"/>
              <w:right w:w="15" w:type="dxa"/>
            </w:tcMar>
            <w:vAlign w:val="center"/>
          </w:tcPr>
          <w:p w14:paraId="1A952C4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1B34B37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6189EE1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21C47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1993F5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7E81DC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159835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7FAB9A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97CAF6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51FD5E9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pacing w:val="-6"/>
                <w:sz w:val="18"/>
                <w:szCs w:val="18"/>
              </w:rPr>
            </w:pPr>
            <w:r>
              <w:rPr>
                <w:rFonts w:hint="eastAsia" w:ascii="仿宋_GB2312" w:hAnsi="宋体" w:eastAsia="仿宋_GB2312" w:cs="仿宋_GB2312"/>
                <w:spacing w:val="-6"/>
                <w:kern w:val="0"/>
                <w:sz w:val="18"/>
                <w:szCs w:val="18"/>
                <w:lang w:bidi="ar"/>
              </w:rPr>
              <w:t>在安全生产许可证有效期内，隶属关系发生变化，超过30个工作日在检查中被发现并及时改正的。</w:t>
            </w:r>
          </w:p>
        </w:tc>
        <w:tc>
          <w:tcPr>
            <w:tcW w:w="2655" w:type="dxa"/>
            <w:tcBorders>
              <w:tl2br w:val="nil"/>
              <w:tr2bl w:val="nil"/>
            </w:tcBorders>
            <w:shd w:val="clear" w:color="auto" w:fill="auto"/>
            <w:tcMar>
              <w:top w:w="15" w:type="dxa"/>
              <w:left w:w="15" w:type="dxa"/>
              <w:right w:w="15" w:type="dxa"/>
            </w:tcMar>
            <w:vAlign w:val="center"/>
          </w:tcPr>
          <w:p w14:paraId="70AEDAC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责令限期补办变更手续，并处</w:t>
            </w:r>
            <w:r>
              <w:rPr>
                <w:rFonts w:hint="eastAsia" w:ascii="仿宋_GB2312" w:hAnsi="宋体" w:eastAsia="仿宋_GB2312" w:cs="仿宋_GB2312"/>
                <w:kern w:val="0"/>
                <w:sz w:val="18"/>
                <w:szCs w:val="18"/>
                <w:lang w:val="en-US" w:eastAsia="zh-CN" w:bidi="ar"/>
              </w:rPr>
              <w:t>1万元以上1.5万元以下的罚款。</w:t>
            </w:r>
          </w:p>
        </w:tc>
      </w:tr>
      <w:tr w14:paraId="43049E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1CEACA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9A1B11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874770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99CFEF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F4FBDF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73C83FD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在安全生产许可证有效期内，隶属关系发生变化，超过30个工作日未达到40个工作日在检查中被发现并及时改正的。</w:t>
            </w:r>
          </w:p>
        </w:tc>
        <w:tc>
          <w:tcPr>
            <w:tcW w:w="2655" w:type="dxa"/>
            <w:tcBorders>
              <w:tl2br w:val="nil"/>
              <w:tr2bl w:val="nil"/>
            </w:tcBorders>
            <w:shd w:val="clear" w:color="auto" w:fill="auto"/>
            <w:tcMar>
              <w:top w:w="15" w:type="dxa"/>
              <w:left w:w="15" w:type="dxa"/>
              <w:right w:w="15" w:type="dxa"/>
            </w:tcMar>
            <w:vAlign w:val="center"/>
          </w:tcPr>
          <w:p w14:paraId="0150AC0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责令限期补办变更手续，并处</w:t>
            </w:r>
            <w:r>
              <w:rPr>
                <w:rFonts w:hint="eastAsia" w:ascii="仿宋_GB2312" w:hAnsi="宋体" w:eastAsia="仿宋_GB2312" w:cs="仿宋_GB2312"/>
                <w:kern w:val="0"/>
                <w:sz w:val="18"/>
                <w:szCs w:val="18"/>
                <w:lang w:val="en-US" w:eastAsia="zh-CN" w:bidi="ar"/>
              </w:rPr>
              <w:t>1.5万元以上2.5万元以下的罚款</w:t>
            </w:r>
            <w:r>
              <w:rPr>
                <w:rFonts w:hint="eastAsia" w:ascii="仿宋_GB2312" w:hAnsi="宋体" w:eastAsia="仿宋_GB2312" w:cs="仿宋_GB2312"/>
                <w:kern w:val="0"/>
                <w:sz w:val="18"/>
                <w:szCs w:val="18"/>
                <w:lang w:bidi="ar"/>
              </w:rPr>
              <w:t>。</w:t>
            </w:r>
          </w:p>
        </w:tc>
      </w:tr>
      <w:tr w14:paraId="20F067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1ECD5A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5CA7B6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100EAB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18262A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23D6CC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50B9CEC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在安全生产许可证有效期内，隶属关系发生变化，超过40个工作日未达到50个工作日在检查中被发现并及时改正的。</w:t>
            </w:r>
          </w:p>
        </w:tc>
        <w:tc>
          <w:tcPr>
            <w:tcW w:w="2655" w:type="dxa"/>
            <w:tcBorders>
              <w:tl2br w:val="nil"/>
              <w:tr2bl w:val="nil"/>
            </w:tcBorders>
            <w:shd w:val="clear" w:color="auto" w:fill="auto"/>
            <w:tcMar>
              <w:top w:w="15" w:type="dxa"/>
              <w:left w:w="15" w:type="dxa"/>
              <w:right w:w="15" w:type="dxa"/>
            </w:tcMar>
            <w:vAlign w:val="center"/>
          </w:tcPr>
          <w:p w14:paraId="014306B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责令限期补办变更手续，并处</w:t>
            </w:r>
            <w:r>
              <w:rPr>
                <w:rFonts w:hint="eastAsia" w:ascii="仿宋_GB2312" w:hAnsi="宋体" w:eastAsia="仿宋_GB2312" w:cs="仿宋_GB2312"/>
                <w:kern w:val="0"/>
                <w:sz w:val="18"/>
                <w:szCs w:val="18"/>
                <w:lang w:val="en-US" w:eastAsia="zh-CN" w:bidi="ar"/>
              </w:rPr>
              <w:t>2.5万元以上3万元以下的罚款</w:t>
            </w:r>
            <w:r>
              <w:rPr>
                <w:rFonts w:hint="eastAsia" w:ascii="仿宋_GB2312" w:hAnsi="宋体" w:eastAsia="仿宋_GB2312" w:cs="仿宋_GB2312"/>
                <w:kern w:val="0"/>
                <w:sz w:val="18"/>
                <w:szCs w:val="18"/>
                <w:lang w:bidi="ar"/>
              </w:rPr>
              <w:t>。</w:t>
            </w:r>
          </w:p>
        </w:tc>
      </w:tr>
      <w:tr w14:paraId="34E8C7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7F2F960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1</w:t>
            </w:r>
            <w:r>
              <w:rPr>
                <w:rFonts w:hint="eastAsia" w:ascii="仿宋_GB2312" w:hAnsi="宋体" w:eastAsia="仿宋_GB2312" w:cs="仿宋_GB2312"/>
                <w:kern w:val="0"/>
                <w:sz w:val="18"/>
                <w:szCs w:val="18"/>
                <w:lang w:val="en-US" w:eastAsia="zh-CN" w:bidi="ar"/>
              </w:rPr>
              <w:t>9</w:t>
            </w:r>
            <w:del w:id="2994" w:author="LV" w:date="2026-07-14T17:03:31Z">
              <w:r>
                <w:rPr>
                  <w:rFonts w:hint="default" w:ascii="仿宋_GB2312" w:hAnsi="宋体" w:eastAsia="仿宋_GB2312" w:cs="仿宋_GB2312"/>
                  <w:kern w:val="0"/>
                  <w:sz w:val="18"/>
                  <w:szCs w:val="18"/>
                  <w:lang w:val="en-US" w:eastAsia="zh-CN" w:bidi="ar"/>
                </w:rPr>
                <w:delText>2</w:delText>
              </w:r>
            </w:del>
            <w:ins w:id="2995" w:author="LV" w:date="2026-07-14T17:03:31Z">
              <w:r>
                <w:rPr>
                  <w:rFonts w:hint="eastAsia" w:ascii="仿宋_GB2312" w:hAnsi="宋体" w:eastAsia="仿宋_GB2312" w:cs="仿宋_GB2312"/>
                  <w:kern w:val="0"/>
                  <w:sz w:val="18"/>
                  <w:szCs w:val="18"/>
                  <w:lang w:val="en-US" w:eastAsia="zh-CN" w:bidi="ar"/>
                </w:rPr>
                <w:t>8</w:t>
              </w:r>
            </w:ins>
          </w:p>
        </w:tc>
        <w:tc>
          <w:tcPr>
            <w:tcW w:w="1005" w:type="dxa"/>
            <w:vMerge w:val="restart"/>
            <w:tcBorders>
              <w:tl2br w:val="nil"/>
              <w:tr2bl w:val="nil"/>
            </w:tcBorders>
            <w:shd w:val="clear" w:color="auto" w:fill="auto"/>
            <w:tcMar>
              <w:top w:w="15" w:type="dxa"/>
              <w:left w:w="15" w:type="dxa"/>
              <w:right w:w="15" w:type="dxa"/>
            </w:tcMar>
            <w:vAlign w:val="center"/>
          </w:tcPr>
          <w:p w14:paraId="7434991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未按规定对煤矿企业经济类型变更的</w:t>
            </w:r>
          </w:p>
        </w:tc>
        <w:tc>
          <w:tcPr>
            <w:tcW w:w="3667" w:type="dxa"/>
            <w:vMerge w:val="restart"/>
            <w:tcBorders>
              <w:tl2br w:val="nil"/>
              <w:tr2bl w:val="nil"/>
            </w:tcBorders>
            <w:shd w:val="clear" w:color="auto" w:fill="auto"/>
            <w:tcMar>
              <w:top w:w="15" w:type="dxa"/>
              <w:left w:w="15" w:type="dxa"/>
              <w:right w:w="15" w:type="dxa"/>
            </w:tcMar>
            <w:vAlign w:val="center"/>
          </w:tcPr>
          <w:p w14:paraId="25F6B39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《煤矿企业安全生产许可证实施办法》第二十条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煤矿企业在安全生产许可证有效期内有下列情形之一的，应当向原安全生产许可证颁发管理机关申请变更安全生产许可证：（一）变更主要负责人的；（二）变更隶属关系的；（三）变更经济类型的；（四）变更煤矿企业名称的；（五）煤矿改建、扩建工程经验收合格的。变更本条第一款第一、二、三、四项的，自工商营业执照变更之日起10个工作日内提出申请；变更本条第一款第五项的，应当在改建、扩建工程验收合格后10个工作日内提出申请。申请变更本条第一款第一项的，应提供变更后的</w:t>
            </w:r>
            <w:r>
              <w:rPr>
                <w:rFonts w:hint="eastAsia" w:ascii="仿宋_GB2312" w:hAnsi="宋体" w:eastAsia="仿宋_GB2312" w:cs="仿宋_GB2312"/>
                <w:spacing w:val="-6"/>
                <w:kern w:val="0"/>
                <w:sz w:val="18"/>
                <w:szCs w:val="18"/>
                <w:lang w:bidi="ar"/>
              </w:rPr>
              <w:t>工商营业执照副本和主要负责人任命文件（或者聘书）；申请变更本条第一款第二、三、四项的，应提供变更后的工商营业执照副本；申请变更本条第一款第五项的，应提供改建、扩建工程安全设施及条件竣工验收合格的证明材料。</w:t>
            </w:r>
          </w:p>
        </w:tc>
        <w:tc>
          <w:tcPr>
            <w:tcW w:w="4082" w:type="dxa"/>
            <w:vMerge w:val="restart"/>
            <w:tcBorders>
              <w:tl2br w:val="nil"/>
              <w:tr2bl w:val="nil"/>
            </w:tcBorders>
            <w:shd w:val="clear" w:color="auto" w:fill="auto"/>
            <w:tcMar>
              <w:top w:w="15" w:type="dxa"/>
              <w:left w:w="15" w:type="dxa"/>
              <w:right w:w="15" w:type="dxa"/>
            </w:tcMar>
            <w:vAlign w:val="center"/>
          </w:tcPr>
          <w:p w14:paraId="27A8C2D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《煤矿企业安全生产许可证实施办法》第四十二条  在安全生产许可证有效期内，主要负责人、隶属关系、经济类型、煤矿企业名称发生变化，未按本实施办法申请办理变更手续的，责令限期补办变更手续，并处1万元以上3万元以下罚款。</w:t>
            </w:r>
          </w:p>
        </w:tc>
        <w:tc>
          <w:tcPr>
            <w:tcW w:w="459" w:type="dxa"/>
            <w:tcBorders>
              <w:tl2br w:val="nil"/>
              <w:tr2bl w:val="nil"/>
            </w:tcBorders>
            <w:shd w:val="clear" w:color="auto" w:fill="auto"/>
            <w:noWrap/>
            <w:tcMar>
              <w:top w:w="15" w:type="dxa"/>
              <w:left w:w="15" w:type="dxa"/>
              <w:right w:w="15" w:type="dxa"/>
            </w:tcMar>
            <w:vAlign w:val="center"/>
          </w:tcPr>
          <w:p w14:paraId="7627526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0F195E1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C7CB00E">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7D371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1B1CC0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5C61EF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DD0827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6AE591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EE22B9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2F6EB89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1BBC335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3017A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446913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E2465B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E72510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8FC3CA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tcMar>
              <w:top w:w="15" w:type="dxa"/>
              <w:left w:w="15" w:type="dxa"/>
              <w:right w:w="15" w:type="dxa"/>
            </w:tcMar>
            <w:vAlign w:val="center"/>
          </w:tcPr>
          <w:p w14:paraId="31D5513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46510D2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1D84F34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责令限期补办变更手续，并处1万元以下罚款。</w:t>
            </w:r>
          </w:p>
        </w:tc>
      </w:tr>
      <w:tr w14:paraId="0A1C6F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52D8CE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C0193A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5314DE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5BA193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4107B3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45AE1BE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在安全生产许可证有效期内，经济类型发生变化，超过30个工作日在检查中被发现并及时改正的。</w:t>
            </w:r>
          </w:p>
        </w:tc>
        <w:tc>
          <w:tcPr>
            <w:tcW w:w="2655" w:type="dxa"/>
            <w:tcBorders>
              <w:tl2br w:val="nil"/>
              <w:tr2bl w:val="nil"/>
            </w:tcBorders>
            <w:shd w:val="clear" w:color="auto" w:fill="auto"/>
            <w:tcMar>
              <w:top w:w="15" w:type="dxa"/>
              <w:left w:w="15" w:type="dxa"/>
              <w:right w:w="15" w:type="dxa"/>
            </w:tcMar>
            <w:vAlign w:val="center"/>
          </w:tcPr>
          <w:p w14:paraId="08438D1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责令限期补办变更手续，并处</w:t>
            </w:r>
            <w:r>
              <w:rPr>
                <w:rFonts w:hint="eastAsia" w:ascii="仿宋_GB2312" w:hAnsi="宋体" w:eastAsia="仿宋_GB2312" w:cs="仿宋_GB2312"/>
                <w:kern w:val="0"/>
                <w:sz w:val="18"/>
                <w:szCs w:val="18"/>
                <w:lang w:val="en-US" w:eastAsia="zh-CN" w:bidi="ar"/>
              </w:rPr>
              <w:t>1万元以上1.5万元以下罚款</w:t>
            </w:r>
            <w:r>
              <w:rPr>
                <w:rFonts w:hint="eastAsia" w:ascii="仿宋_GB2312" w:hAnsi="宋体" w:eastAsia="仿宋_GB2312" w:cs="仿宋_GB2312"/>
                <w:kern w:val="0"/>
                <w:sz w:val="18"/>
                <w:szCs w:val="18"/>
                <w:lang w:bidi="ar"/>
              </w:rPr>
              <w:t>。</w:t>
            </w:r>
          </w:p>
        </w:tc>
      </w:tr>
      <w:tr w14:paraId="7578A7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FF040C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332F4A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1F0ED4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5DE1EA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A62876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606A8E1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在安全生产许可证有效期内，经济类型发生变化，超过30个工作日未达到40个工作日在检查中被发现并及时改正的。</w:t>
            </w:r>
          </w:p>
        </w:tc>
        <w:tc>
          <w:tcPr>
            <w:tcW w:w="2655" w:type="dxa"/>
            <w:tcBorders>
              <w:tl2br w:val="nil"/>
              <w:tr2bl w:val="nil"/>
            </w:tcBorders>
            <w:shd w:val="clear" w:color="auto" w:fill="auto"/>
            <w:tcMar>
              <w:top w:w="15" w:type="dxa"/>
              <w:left w:w="15" w:type="dxa"/>
              <w:right w:w="15" w:type="dxa"/>
            </w:tcMar>
            <w:vAlign w:val="center"/>
          </w:tcPr>
          <w:p w14:paraId="27A8AAA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责令限期补办变更手续，并处</w:t>
            </w:r>
            <w:r>
              <w:rPr>
                <w:rFonts w:hint="eastAsia" w:ascii="仿宋_GB2312" w:hAnsi="宋体" w:eastAsia="仿宋_GB2312" w:cs="仿宋_GB2312"/>
                <w:kern w:val="0"/>
                <w:sz w:val="18"/>
                <w:szCs w:val="18"/>
                <w:lang w:val="en-US" w:eastAsia="zh-CN" w:bidi="ar"/>
              </w:rPr>
              <w:t>1.5万元以上2.5万元以下罚款</w:t>
            </w:r>
            <w:r>
              <w:rPr>
                <w:rFonts w:hint="eastAsia" w:ascii="仿宋_GB2312" w:hAnsi="宋体" w:eastAsia="仿宋_GB2312" w:cs="仿宋_GB2312"/>
                <w:kern w:val="0"/>
                <w:sz w:val="18"/>
                <w:szCs w:val="18"/>
                <w:lang w:bidi="ar"/>
              </w:rPr>
              <w:t>。</w:t>
            </w:r>
          </w:p>
        </w:tc>
      </w:tr>
      <w:tr w14:paraId="23211C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D98AF5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E2EAF5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AA67F1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F1B614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B9483D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23E088D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在安全生产许可证有效期内，经济类型发生变化，超过40个工作日未达到50个工作日在检查中被发现并及时改正的。</w:t>
            </w:r>
          </w:p>
        </w:tc>
        <w:tc>
          <w:tcPr>
            <w:tcW w:w="2655" w:type="dxa"/>
            <w:tcBorders>
              <w:tl2br w:val="nil"/>
              <w:tr2bl w:val="nil"/>
            </w:tcBorders>
            <w:shd w:val="clear" w:color="auto" w:fill="auto"/>
            <w:tcMar>
              <w:top w:w="15" w:type="dxa"/>
              <w:left w:w="15" w:type="dxa"/>
              <w:right w:w="15" w:type="dxa"/>
            </w:tcMar>
            <w:vAlign w:val="center"/>
          </w:tcPr>
          <w:p w14:paraId="138A0BD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责令限期补办变更手续，并处</w:t>
            </w:r>
            <w:r>
              <w:rPr>
                <w:rFonts w:hint="eastAsia" w:ascii="仿宋_GB2312" w:hAnsi="宋体" w:eastAsia="仿宋_GB2312" w:cs="仿宋_GB2312"/>
                <w:kern w:val="0"/>
                <w:sz w:val="18"/>
                <w:szCs w:val="18"/>
                <w:lang w:val="en-US" w:eastAsia="zh-CN" w:bidi="ar"/>
              </w:rPr>
              <w:t>2.5万元以上3万元以下罚款</w:t>
            </w:r>
            <w:r>
              <w:rPr>
                <w:rFonts w:hint="eastAsia" w:ascii="仿宋_GB2312" w:hAnsi="宋体" w:eastAsia="仿宋_GB2312" w:cs="仿宋_GB2312"/>
                <w:kern w:val="0"/>
                <w:sz w:val="18"/>
                <w:szCs w:val="18"/>
                <w:lang w:bidi="ar"/>
              </w:rPr>
              <w:t>。</w:t>
            </w:r>
          </w:p>
        </w:tc>
      </w:tr>
      <w:tr w14:paraId="5BB1BC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42A1D4F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1</w:t>
            </w:r>
            <w:r>
              <w:rPr>
                <w:rFonts w:hint="eastAsia" w:ascii="仿宋_GB2312" w:hAnsi="宋体" w:eastAsia="仿宋_GB2312" w:cs="仿宋_GB2312"/>
                <w:kern w:val="0"/>
                <w:sz w:val="18"/>
                <w:szCs w:val="18"/>
                <w:lang w:val="en-US" w:eastAsia="zh-CN" w:bidi="ar"/>
              </w:rPr>
              <w:t>9</w:t>
            </w:r>
            <w:del w:id="2996" w:author="LV" w:date="2026-07-14T17:03:34Z">
              <w:r>
                <w:rPr>
                  <w:rFonts w:hint="default" w:ascii="仿宋_GB2312" w:hAnsi="宋体" w:eastAsia="仿宋_GB2312" w:cs="仿宋_GB2312"/>
                  <w:kern w:val="0"/>
                  <w:sz w:val="18"/>
                  <w:szCs w:val="18"/>
                  <w:lang w:val="en-US" w:eastAsia="zh-CN" w:bidi="ar"/>
                </w:rPr>
                <w:delText>3</w:delText>
              </w:r>
            </w:del>
            <w:ins w:id="2997" w:author="LV" w:date="2026-07-14T17:03:34Z">
              <w:r>
                <w:rPr>
                  <w:rFonts w:hint="eastAsia" w:ascii="仿宋_GB2312" w:hAnsi="宋体" w:eastAsia="仿宋_GB2312" w:cs="仿宋_GB2312"/>
                  <w:kern w:val="0"/>
                  <w:sz w:val="18"/>
                  <w:szCs w:val="18"/>
                  <w:lang w:val="en-US" w:eastAsia="zh-CN" w:bidi="ar"/>
                </w:rPr>
                <w:t>9</w:t>
              </w:r>
            </w:ins>
          </w:p>
        </w:tc>
        <w:tc>
          <w:tcPr>
            <w:tcW w:w="1005" w:type="dxa"/>
            <w:vMerge w:val="restart"/>
            <w:tcBorders>
              <w:tl2br w:val="nil"/>
              <w:tr2bl w:val="nil"/>
            </w:tcBorders>
            <w:shd w:val="clear" w:color="auto" w:fill="auto"/>
            <w:tcMar>
              <w:top w:w="15" w:type="dxa"/>
              <w:left w:w="15" w:type="dxa"/>
              <w:right w:w="15" w:type="dxa"/>
            </w:tcMar>
            <w:vAlign w:val="center"/>
          </w:tcPr>
          <w:p w14:paraId="16F53E2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未按规定对煤矿企业名称变更的</w:t>
            </w:r>
          </w:p>
        </w:tc>
        <w:tc>
          <w:tcPr>
            <w:tcW w:w="3667" w:type="dxa"/>
            <w:vMerge w:val="restart"/>
            <w:tcBorders>
              <w:tl2br w:val="nil"/>
              <w:tr2bl w:val="nil"/>
            </w:tcBorders>
            <w:shd w:val="clear" w:color="auto" w:fill="auto"/>
            <w:tcMar>
              <w:top w:w="15" w:type="dxa"/>
              <w:left w:w="15" w:type="dxa"/>
              <w:right w:w="15" w:type="dxa"/>
            </w:tcMar>
            <w:vAlign w:val="center"/>
          </w:tcPr>
          <w:p w14:paraId="611E42F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《煤矿企业安全生产许可证实施办法》第二十条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煤矿企业在安全生产许可证有效期内有下列情形之一的，应当向原安全生产许可证颁发管理机关申请变更安全生产许可证：（一）变更主要负责人的；（二）变更隶属关系的；（三）变更经济类型的；（四）变更煤矿企业名称的；（五）煤矿改建、扩建工程经验收合格的。变更本条第一款第一、二、三、四项的，自工商营业执照变更之日起10个工作日内提出申请；变更本条第一款第五项的，应当在改建、扩建工程验收合格后10个工作日内提出申请。申</w:t>
            </w:r>
            <w:r>
              <w:rPr>
                <w:rFonts w:hint="eastAsia" w:ascii="仿宋_GB2312" w:hAnsi="宋体" w:eastAsia="仿宋_GB2312" w:cs="仿宋_GB2312"/>
                <w:spacing w:val="-6"/>
                <w:kern w:val="0"/>
                <w:sz w:val="18"/>
                <w:szCs w:val="18"/>
                <w:lang w:bidi="ar"/>
              </w:rPr>
              <w:t>请变更本条第一款第一项的，应提供变更后的工商营业执照副本和主要负责人任命文件（或者聘书）；申请变更本条第一款第二、三、四项的，应提供变更后的工商营业执照副本；申请变更本条第一款第五项的，应提供改建、扩建工程</w:t>
            </w:r>
            <w:r>
              <w:rPr>
                <w:rFonts w:hint="eastAsia" w:ascii="仿宋_GB2312" w:hAnsi="宋体" w:eastAsia="仿宋_GB2312" w:cs="仿宋_GB2312"/>
                <w:kern w:val="0"/>
                <w:sz w:val="18"/>
                <w:szCs w:val="18"/>
                <w:lang w:bidi="ar"/>
              </w:rPr>
              <w:t>安全设施及条件竣工验收合格的证明材料。</w:t>
            </w:r>
          </w:p>
        </w:tc>
        <w:tc>
          <w:tcPr>
            <w:tcW w:w="4082" w:type="dxa"/>
            <w:vMerge w:val="restart"/>
            <w:tcBorders>
              <w:tl2br w:val="nil"/>
              <w:tr2bl w:val="nil"/>
            </w:tcBorders>
            <w:shd w:val="clear" w:color="auto" w:fill="auto"/>
            <w:tcMar>
              <w:top w:w="15" w:type="dxa"/>
              <w:left w:w="15" w:type="dxa"/>
              <w:right w:w="15" w:type="dxa"/>
            </w:tcMar>
            <w:vAlign w:val="center"/>
          </w:tcPr>
          <w:p w14:paraId="7C969C8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《煤矿企业安全生产许可证实施办法》第四十二条  在安全生产许可证有效期内，主要负责人、隶属关系、经济类型、煤矿企业名称发生变化，未按本实施办法申请办理变更手续的，责令限期补办变更手续，并处1万元以上3万元以下罚款。</w:t>
            </w:r>
          </w:p>
        </w:tc>
        <w:tc>
          <w:tcPr>
            <w:tcW w:w="459" w:type="dxa"/>
            <w:tcBorders>
              <w:tl2br w:val="nil"/>
              <w:tr2bl w:val="nil"/>
            </w:tcBorders>
            <w:shd w:val="clear" w:color="auto" w:fill="auto"/>
            <w:noWrap/>
            <w:tcMar>
              <w:top w:w="15" w:type="dxa"/>
              <w:left w:w="15" w:type="dxa"/>
              <w:right w:w="15" w:type="dxa"/>
            </w:tcMar>
            <w:vAlign w:val="center"/>
          </w:tcPr>
          <w:p w14:paraId="5FA7C73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0E3CB30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769D8E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94F3F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3FFA6B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6A8840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6F3B6B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D7EC4F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55C305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132FDBF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60F2A30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96183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1EA6D8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398587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685808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856E69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tcMar>
              <w:top w:w="15" w:type="dxa"/>
              <w:left w:w="15" w:type="dxa"/>
              <w:right w:w="15" w:type="dxa"/>
            </w:tcMar>
            <w:vAlign w:val="center"/>
          </w:tcPr>
          <w:p w14:paraId="21DF3A3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0DCC8AA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B57D1C3">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71CEB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E8F09F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A0DCDD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C6F5C0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CF8740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C605CA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697F69C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在安全生产许可证有效期内，煤矿企业名称发生变化，超过30个工作日在检查中被发现并及时改正的。</w:t>
            </w:r>
          </w:p>
        </w:tc>
        <w:tc>
          <w:tcPr>
            <w:tcW w:w="2655" w:type="dxa"/>
            <w:tcBorders>
              <w:tl2br w:val="nil"/>
              <w:tr2bl w:val="nil"/>
            </w:tcBorders>
            <w:shd w:val="clear" w:color="auto" w:fill="auto"/>
            <w:tcMar>
              <w:top w:w="15" w:type="dxa"/>
              <w:left w:w="15" w:type="dxa"/>
              <w:right w:w="15" w:type="dxa"/>
            </w:tcMar>
            <w:vAlign w:val="center"/>
          </w:tcPr>
          <w:p w14:paraId="17445C5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责令限期补办变更手续，并处</w:t>
            </w:r>
            <w:r>
              <w:rPr>
                <w:rFonts w:hint="eastAsia" w:ascii="仿宋_GB2312" w:hAnsi="宋体" w:eastAsia="仿宋_GB2312" w:cs="仿宋_GB2312"/>
                <w:kern w:val="0"/>
                <w:sz w:val="18"/>
                <w:szCs w:val="18"/>
                <w:lang w:val="en-US" w:eastAsia="zh-CN" w:bidi="ar"/>
              </w:rPr>
              <w:t>1万元以上1.5万元以下罚款</w:t>
            </w:r>
            <w:r>
              <w:rPr>
                <w:rFonts w:hint="eastAsia" w:ascii="仿宋_GB2312" w:hAnsi="宋体" w:eastAsia="仿宋_GB2312" w:cs="仿宋_GB2312"/>
                <w:kern w:val="0"/>
                <w:sz w:val="18"/>
                <w:szCs w:val="18"/>
                <w:lang w:bidi="ar"/>
              </w:rPr>
              <w:t>。</w:t>
            </w:r>
          </w:p>
        </w:tc>
      </w:tr>
      <w:tr w14:paraId="23060C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17C766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6B636E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91605D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F15959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7E8F2D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5A7E07A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在安全生产许可证有效期内，煤矿企业名称发生变化，超过30个工作日未达到40个工作日在检查中被发现并及时改正的。</w:t>
            </w:r>
          </w:p>
        </w:tc>
        <w:tc>
          <w:tcPr>
            <w:tcW w:w="2655" w:type="dxa"/>
            <w:tcBorders>
              <w:tl2br w:val="nil"/>
              <w:tr2bl w:val="nil"/>
            </w:tcBorders>
            <w:shd w:val="clear" w:color="auto" w:fill="auto"/>
            <w:tcMar>
              <w:top w:w="15" w:type="dxa"/>
              <w:left w:w="15" w:type="dxa"/>
              <w:right w:w="15" w:type="dxa"/>
            </w:tcMar>
            <w:vAlign w:val="center"/>
          </w:tcPr>
          <w:p w14:paraId="304FFA4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责令限期补办变更手续，并处</w:t>
            </w:r>
            <w:r>
              <w:rPr>
                <w:rFonts w:hint="eastAsia" w:ascii="仿宋_GB2312" w:hAnsi="宋体" w:eastAsia="仿宋_GB2312" w:cs="仿宋_GB2312"/>
                <w:kern w:val="0"/>
                <w:sz w:val="18"/>
                <w:szCs w:val="18"/>
                <w:lang w:val="en-US" w:eastAsia="zh-CN" w:bidi="ar"/>
              </w:rPr>
              <w:t>1.5万元以上2.5万元以下罚款</w:t>
            </w:r>
            <w:r>
              <w:rPr>
                <w:rFonts w:hint="eastAsia" w:ascii="仿宋_GB2312" w:hAnsi="宋体" w:eastAsia="仿宋_GB2312" w:cs="仿宋_GB2312"/>
                <w:kern w:val="0"/>
                <w:sz w:val="18"/>
                <w:szCs w:val="18"/>
                <w:lang w:bidi="ar"/>
              </w:rPr>
              <w:t>。</w:t>
            </w:r>
          </w:p>
        </w:tc>
      </w:tr>
      <w:tr w14:paraId="66FFBE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17125A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4FA134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6DBF1C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EEA785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5565DA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51F04E8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在安全生产许可证有效期内，煤矿企业名称发生变化，超过40个工作日未达到50个工作日在检查中被发现并及时改正的。</w:t>
            </w:r>
          </w:p>
        </w:tc>
        <w:tc>
          <w:tcPr>
            <w:tcW w:w="2655" w:type="dxa"/>
            <w:tcBorders>
              <w:tl2br w:val="nil"/>
              <w:tr2bl w:val="nil"/>
            </w:tcBorders>
            <w:shd w:val="clear" w:color="auto" w:fill="auto"/>
            <w:tcMar>
              <w:top w:w="15" w:type="dxa"/>
              <w:left w:w="15" w:type="dxa"/>
              <w:right w:w="15" w:type="dxa"/>
            </w:tcMar>
            <w:vAlign w:val="center"/>
          </w:tcPr>
          <w:p w14:paraId="5BA5184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责令限期补办变更手续，并处</w:t>
            </w:r>
            <w:r>
              <w:rPr>
                <w:rFonts w:hint="eastAsia" w:ascii="仿宋_GB2312" w:hAnsi="宋体" w:eastAsia="仿宋_GB2312" w:cs="仿宋_GB2312"/>
                <w:kern w:val="0"/>
                <w:sz w:val="18"/>
                <w:szCs w:val="18"/>
                <w:lang w:val="en-US" w:eastAsia="zh-CN" w:bidi="ar"/>
              </w:rPr>
              <w:t>2.5万元以上3万元以下罚款</w:t>
            </w:r>
            <w:r>
              <w:rPr>
                <w:rFonts w:hint="eastAsia" w:ascii="仿宋_GB2312" w:hAnsi="宋体" w:eastAsia="仿宋_GB2312" w:cs="仿宋_GB2312"/>
                <w:kern w:val="0"/>
                <w:sz w:val="18"/>
                <w:szCs w:val="18"/>
                <w:lang w:bidi="ar"/>
              </w:rPr>
              <w:t>。</w:t>
            </w:r>
          </w:p>
        </w:tc>
      </w:tr>
      <w:tr w14:paraId="3E064A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5C6E328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del w:id="2998" w:author="LV" w:date="2026-07-14T17:03:38Z">
              <w:r>
                <w:rPr>
                  <w:rFonts w:hint="default" w:ascii="仿宋_GB2312" w:hAnsi="宋体" w:eastAsia="仿宋_GB2312" w:cs="仿宋_GB2312"/>
                  <w:kern w:val="0"/>
                  <w:sz w:val="18"/>
                  <w:szCs w:val="18"/>
                  <w:lang w:val="en-US" w:bidi="ar"/>
                </w:rPr>
                <w:delText>19</w:delText>
              </w:r>
            </w:del>
            <w:del w:id="2999" w:author="LV" w:date="2026-07-14T17:03:38Z">
              <w:r>
                <w:rPr>
                  <w:rFonts w:hint="default" w:ascii="仿宋_GB2312" w:hAnsi="宋体" w:eastAsia="仿宋_GB2312" w:cs="仿宋_GB2312"/>
                  <w:kern w:val="0"/>
                  <w:sz w:val="18"/>
                  <w:szCs w:val="18"/>
                  <w:lang w:val="en-US" w:eastAsia="zh-CN" w:bidi="ar"/>
                </w:rPr>
                <w:delText>4</w:delText>
              </w:r>
            </w:del>
            <w:ins w:id="3000" w:author="LV" w:date="2026-07-14T17:03:38Z">
              <w:r>
                <w:rPr>
                  <w:rFonts w:hint="eastAsia" w:ascii="仿宋_GB2312" w:hAnsi="宋体" w:eastAsia="仿宋_GB2312" w:cs="仿宋_GB2312"/>
                  <w:kern w:val="0"/>
                  <w:sz w:val="18"/>
                  <w:szCs w:val="18"/>
                  <w:lang w:val="en-US" w:eastAsia="zh-CN" w:bidi="ar"/>
                </w:rPr>
                <w:t>2</w:t>
              </w:r>
            </w:ins>
            <w:ins w:id="3001" w:author="LV" w:date="2026-07-14T17:03:39Z">
              <w:r>
                <w:rPr>
                  <w:rFonts w:hint="eastAsia" w:ascii="仿宋_GB2312" w:hAnsi="宋体" w:eastAsia="仿宋_GB2312" w:cs="仿宋_GB2312"/>
                  <w:kern w:val="0"/>
                  <w:sz w:val="18"/>
                  <w:szCs w:val="18"/>
                  <w:lang w:val="en-US" w:eastAsia="zh-CN" w:bidi="ar"/>
                </w:rPr>
                <w:t>0</w:t>
              </w:r>
            </w:ins>
            <w:ins w:id="3002" w:author="LV" w:date="2026-07-14T17:03:40Z">
              <w:r>
                <w:rPr>
                  <w:rFonts w:hint="eastAsia" w:ascii="仿宋_GB2312" w:hAnsi="宋体" w:eastAsia="仿宋_GB2312" w:cs="仿宋_GB2312"/>
                  <w:kern w:val="0"/>
                  <w:sz w:val="18"/>
                  <w:szCs w:val="18"/>
                  <w:lang w:val="en-US" w:eastAsia="zh-CN" w:bidi="ar"/>
                </w:rPr>
                <w:t>0</w:t>
              </w:r>
            </w:ins>
          </w:p>
        </w:tc>
        <w:tc>
          <w:tcPr>
            <w:tcW w:w="1005" w:type="dxa"/>
            <w:vMerge w:val="restart"/>
            <w:tcBorders>
              <w:tl2br w:val="nil"/>
              <w:tr2bl w:val="nil"/>
            </w:tcBorders>
            <w:shd w:val="clear" w:color="auto" w:fill="auto"/>
            <w:tcMar>
              <w:top w:w="15" w:type="dxa"/>
              <w:left w:w="15" w:type="dxa"/>
              <w:right w:w="15" w:type="dxa"/>
            </w:tcMar>
            <w:vAlign w:val="center"/>
          </w:tcPr>
          <w:p w14:paraId="61650EA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未按规定对煤矿改建、扩建工程经验收合格安全生产许可证变更的</w:t>
            </w:r>
          </w:p>
        </w:tc>
        <w:tc>
          <w:tcPr>
            <w:tcW w:w="3667" w:type="dxa"/>
            <w:vMerge w:val="restart"/>
            <w:tcBorders>
              <w:tl2br w:val="nil"/>
              <w:tr2bl w:val="nil"/>
            </w:tcBorders>
            <w:shd w:val="clear" w:color="auto" w:fill="auto"/>
            <w:tcMar>
              <w:top w:w="15" w:type="dxa"/>
              <w:left w:w="15" w:type="dxa"/>
              <w:right w:w="15" w:type="dxa"/>
            </w:tcMar>
            <w:vAlign w:val="center"/>
          </w:tcPr>
          <w:p w14:paraId="778A6FB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《煤矿企业安全生产许可证实施办法》第二十条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煤矿企业在安全生产许可证有效期内有下列情形之一的，应当向原安全生产许可证颁发管理机关申请变更安全生产许可证：（一）变更主要负责人的；（二）变更隶属关系的；（三）变更经济类型的；（四）变更煤矿企业名称的；（五）煤矿改建、扩建工程经验收合格的。变更本条第一款第一、二、三、四项的，自工商营业执照变更之日起10个工作日内提出申请；变更本条第一款第五项的，应当在改建、扩建工程验收合格后10个工作日内提出申请。申请变更本条第一款第一项的，应提供变更后的工商营业执照副本和主要负责人任命文件（或者聘书）；申请变更本条第一款第二、三、四项的，应提供变更后的工商营业执照副本；申请变更本条第一款第五项的，应提供改建、扩建工程安全设施及条件竣工验收合格的证明材料。</w:t>
            </w:r>
          </w:p>
        </w:tc>
        <w:tc>
          <w:tcPr>
            <w:tcW w:w="4082" w:type="dxa"/>
            <w:vMerge w:val="restart"/>
            <w:tcBorders>
              <w:tl2br w:val="nil"/>
              <w:tr2bl w:val="nil"/>
            </w:tcBorders>
            <w:shd w:val="clear" w:color="auto" w:fill="auto"/>
            <w:tcMar>
              <w:top w:w="15" w:type="dxa"/>
              <w:left w:w="15" w:type="dxa"/>
              <w:right w:w="15" w:type="dxa"/>
            </w:tcMar>
            <w:vAlign w:val="center"/>
          </w:tcPr>
          <w:p w14:paraId="56EDBB3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《煤矿企业安全生产许可证实施办法》第四十二条  在安全生产许可证有效期内，主要负责人、隶属关系、经济类型、煤矿企业名称发生变化，未按本实施办法申请办理变更手续的，责令限期补办变更手续，并处1万元以上3万元以下罚款。改建、扩建工程已经验收合格，未按本实施办法规定申请办理变更手续擅自投入生产的，责令停止生产，限期补办变更手续，并处1万元以上3万元以下罚款；逾期仍不办理变更手续，继续进行生产的，依照本实施办法第四十条的规定处罚。</w:t>
            </w:r>
          </w:p>
        </w:tc>
        <w:tc>
          <w:tcPr>
            <w:tcW w:w="459" w:type="dxa"/>
            <w:tcBorders>
              <w:tl2br w:val="nil"/>
              <w:tr2bl w:val="nil"/>
            </w:tcBorders>
            <w:shd w:val="clear" w:color="auto" w:fill="auto"/>
            <w:noWrap/>
            <w:tcMar>
              <w:top w:w="15" w:type="dxa"/>
              <w:left w:w="15" w:type="dxa"/>
              <w:right w:w="15" w:type="dxa"/>
            </w:tcMar>
            <w:vAlign w:val="center"/>
          </w:tcPr>
          <w:p w14:paraId="29D3555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7F84DEA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CEFFF0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C0FD9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38C34E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12F8C3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3F20EC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B40075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D56570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5A12DDC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EEFF4C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9184B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4EF9C3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0ED2EF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658147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4C045B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tcMar>
              <w:top w:w="15" w:type="dxa"/>
              <w:left w:w="15" w:type="dxa"/>
              <w:right w:w="15" w:type="dxa"/>
            </w:tcMar>
            <w:vAlign w:val="center"/>
          </w:tcPr>
          <w:p w14:paraId="16B00D4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16846EA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9BC144F">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C3196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1DC2D6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C7ADC6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5E17FF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4C73CF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5FCD54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5291E80F">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在安全生产许可证有效期内，煤矿改建、扩建工程经验收合格，未按规定申请办理变更手续擅自投入生产超过30个工作日，并及时改正的。</w:t>
            </w:r>
          </w:p>
        </w:tc>
        <w:tc>
          <w:tcPr>
            <w:tcW w:w="2655" w:type="dxa"/>
            <w:tcBorders>
              <w:tl2br w:val="nil"/>
              <w:tr2bl w:val="nil"/>
            </w:tcBorders>
            <w:shd w:val="clear" w:color="auto" w:fill="auto"/>
            <w:tcMar>
              <w:top w:w="15" w:type="dxa"/>
              <w:left w:w="15" w:type="dxa"/>
              <w:right w:w="15" w:type="dxa"/>
            </w:tcMar>
            <w:vAlign w:val="center"/>
          </w:tcPr>
          <w:p w14:paraId="79CBEC2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责令停止生产，限期补办变更手续，并处</w:t>
            </w:r>
            <w:r>
              <w:rPr>
                <w:rFonts w:hint="eastAsia" w:ascii="仿宋_GB2312" w:hAnsi="宋体" w:eastAsia="仿宋_GB2312" w:cs="仿宋_GB2312"/>
                <w:kern w:val="0"/>
                <w:sz w:val="18"/>
                <w:szCs w:val="18"/>
                <w:lang w:val="en-US" w:eastAsia="zh-CN" w:bidi="ar"/>
              </w:rPr>
              <w:t>1万元以上1.5万元以下罚款</w:t>
            </w:r>
            <w:r>
              <w:rPr>
                <w:rFonts w:hint="eastAsia" w:ascii="仿宋_GB2312" w:hAnsi="宋体" w:eastAsia="仿宋_GB2312" w:cs="仿宋_GB2312"/>
                <w:kern w:val="0"/>
                <w:sz w:val="18"/>
                <w:szCs w:val="18"/>
                <w:lang w:bidi="ar"/>
              </w:rPr>
              <w:t>。</w:t>
            </w:r>
          </w:p>
        </w:tc>
      </w:tr>
      <w:tr w14:paraId="3F734D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A68129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BD0F96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DE4385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10A0F8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767E4A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1ADC62C2">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在安全生产许可证有效期内，煤矿改建、扩建工程经验收合格，未按规定申请办理变更手续擅自投入生产超过30个工作日未达到40个工作日，并及时改正的。</w:t>
            </w:r>
          </w:p>
        </w:tc>
        <w:tc>
          <w:tcPr>
            <w:tcW w:w="2655" w:type="dxa"/>
            <w:tcBorders>
              <w:tl2br w:val="nil"/>
              <w:tr2bl w:val="nil"/>
            </w:tcBorders>
            <w:shd w:val="clear" w:color="auto" w:fill="auto"/>
            <w:tcMar>
              <w:top w:w="15" w:type="dxa"/>
              <w:left w:w="15" w:type="dxa"/>
              <w:right w:w="15" w:type="dxa"/>
            </w:tcMar>
            <w:vAlign w:val="center"/>
          </w:tcPr>
          <w:p w14:paraId="045161C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责令停止生产，限期补办变更手续，并处</w:t>
            </w:r>
            <w:r>
              <w:rPr>
                <w:rFonts w:hint="eastAsia" w:ascii="仿宋_GB2312" w:hAnsi="宋体" w:eastAsia="仿宋_GB2312" w:cs="仿宋_GB2312"/>
                <w:kern w:val="0"/>
                <w:sz w:val="18"/>
                <w:szCs w:val="18"/>
                <w:lang w:val="en-US" w:eastAsia="zh-CN" w:bidi="ar"/>
              </w:rPr>
              <w:t>1.5万元以上2.5万元以下罚款</w:t>
            </w:r>
            <w:r>
              <w:rPr>
                <w:rFonts w:hint="eastAsia" w:ascii="仿宋_GB2312" w:hAnsi="宋体" w:eastAsia="仿宋_GB2312" w:cs="仿宋_GB2312"/>
                <w:kern w:val="0"/>
                <w:sz w:val="18"/>
                <w:szCs w:val="18"/>
                <w:lang w:bidi="ar"/>
              </w:rPr>
              <w:t>。</w:t>
            </w:r>
          </w:p>
        </w:tc>
      </w:tr>
      <w:tr w14:paraId="5DAAA9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A4E608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F99DE2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D7359E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7344CD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750BE0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5A488138">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在安全生产许可证有效期内，煤矿改建、扩建工程经验收合格，未按规定申请办理变更手续擅自投入生产超过40个工作日未达到50个工作日，并及时改正的。</w:t>
            </w:r>
          </w:p>
        </w:tc>
        <w:tc>
          <w:tcPr>
            <w:tcW w:w="2655" w:type="dxa"/>
            <w:tcBorders>
              <w:tl2br w:val="nil"/>
              <w:tr2bl w:val="nil"/>
            </w:tcBorders>
            <w:shd w:val="clear" w:color="auto" w:fill="auto"/>
            <w:tcMar>
              <w:top w:w="15" w:type="dxa"/>
              <w:left w:w="15" w:type="dxa"/>
              <w:right w:w="15" w:type="dxa"/>
            </w:tcMar>
            <w:vAlign w:val="center"/>
          </w:tcPr>
          <w:p w14:paraId="5812D1C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责令停止生产，限期补办变更手续，并处</w:t>
            </w:r>
            <w:r>
              <w:rPr>
                <w:rFonts w:hint="eastAsia" w:ascii="仿宋_GB2312" w:hAnsi="宋体" w:eastAsia="仿宋_GB2312" w:cs="仿宋_GB2312"/>
                <w:kern w:val="0"/>
                <w:sz w:val="18"/>
                <w:szCs w:val="18"/>
                <w:lang w:val="en-US" w:eastAsia="zh-CN" w:bidi="ar"/>
              </w:rPr>
              <w:t>2.5万元以上3万元以下罚款</w:t>
            </w:r>
            <w:r>
              <w:rPr>
                <w:rFonts w:hint="eastAsia" w:ascii="仿宋_GB2312" w:hAnsi="宋体" w:eastAsia="仿宋_GB2312" w:cs="仿宋_GB2312"/>
                <w:kern w:val="0"/>
                <w:sz w:val="18"/>
                <w:szCs w:val="18"/>
                <w:lang w:bidi="ar"/>
              </w:rPr>
              <w:t>。</w:t>
            </w:r>
          </w:p>
        </w:tc>
      </w:tr>
      <w:tr w14:paraId="6FB19B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371F366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del w:id="3003" w:author="LV" w:date="2026-07-14T17:03:46Z">
              <w:r>
                <w:rPr>
                  <w:rFonts w:hint="default" w:ascii="仿宋_GB2312" w:hAnsi="宋体" w:eastAsia="仿宋_GB2312" w:cs="仿宋_GB2312"/>
                  <w:kern w:val="0"/>
                  <w:sz w:val="18"/>
                  <w:szCs w:val="18"/>
                  <w:lang w:val="en-US" w:bidi="ar"/>
                </w:rPr>
                <w:delText>19</w:delText>
              </w:r>
            </w:del>
            <w:del w:id="3004" w:author="LV" w:date="2026-07-14T17:03:46Z">
              <w:r>
                <w:rPr>
                  <w:rFonts w:hint="default" w:ascii="仿宋_GB2312" w:hAnsi="宋体" w:eastAsia="仿宋_GB2312" w:cs="仿宋_GB2312"/>
                  <w:kern w:val="0"/>
                  <w:sz w:val="18"/>
                  <w:szCs w:val="18"/>
                  <w:lang w:val="en-US" w:eastAsia="zh-CN" w:bidi="ar"/>
                </w:rPr>
                <w:delText>5</w:delText>
              </w:r>
            </w:del>
            <w:ins w:id="3005" w:author="LV" w:date="2026-07-14T17:03:46Z">
              <w:r>
                <w:rPr>
                  <w:rFonts w:hint="eastAsia" w:ascii="仿宋_GB2312" w:hAnsi="宋体" w:eastAsia="仿宋_GB2312" w:cs="仿宋_GB2312"/>
                  <w:kern w:val="0"/>
                  <w:sz w:val="18"/>
                  <w:szCs w:val="18"/>
                  <w:lang w:val="en-US" w:eastAsia="zh-CN" w:bidi="ar"/>
                </w:rPr>
                <w:t>2</w:t>
              </w:r>
            </w:ins>
            <w:ins w:id="3006" w:author="LV" w:date="2026-07-14T17:03:47Z">
              <w:r>
                <w:rPr>
                  <w:rFonts w:hint="eastAsia" w:ascii="仿宋_GB2312" w:hAnsi="宋体" w:eastAsia="仿宋_GB2312" w:cs="仿宋_GB2312"/>
                  <w:kern w:val="0"/>
                  <w:sz w:val="18"/>
                  <w:szCs w:val="18"/>
                  <w:lang w:val="en-US" w:eastAsia="zh-CN" w:bidi="ar"/>
                </w:rPr>
                <w:t>01</w:t>
              </w:r>
            </w:ins>
          </w:p>
        </w:tc>
        <w:tc>
          <w:tcPr>
            <w:tcW w:w="1005" w:type="dxa"/>
            <w:vMerge w:val="restart"/>
            <w:tcBorders>
              <w:tl2br w:val="nil"/>
              <w:tr2bl w:val="nil"/>
            </w:tcBorders>
            <w:shd w:val="clear" w:color="auto" w:fill="auto"/>
            <w:tcMar>
              <w:top w:w="15" w:type="dxa"/>
              <w:left w:w="15" w:type="dxa"/>
              <w:right w:w="15" w:type="dxa"/>
            </w:tcMar>
            <w:vAlign w:val="center"/>
          </w:tcPr>
          <w:p w14:paraId="4ADD5A0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不再具备煤矿企业安全生产许可证取证条件的</w:t>
            </w:r>
          </w:p>
        </w:tc>
        <w:tc>
          <w:tcPr>
            <w:tcW w:w="3667" w:type="dxa"/>
            <w:vMerge w:val="restart"/>
            <w:tcBorders>
              <w:tl2br w:val="nil"/>
              <w:tr2bl w:val="nil"/>
            </w:tcBorders>
            <w:shd w:val="clear" w:color="auto" w:fill="auto"/>
            <w:tcMar>
              <w:top w:w="15" w:type="dxa"/>
              <w:left w:w="15" w:type="dxa"/>
              <w:right w:w="15" w:type="dxa"/>
            </w:tcMar>
            <w:vAlign w:val="center"/>
          </w:tcPr>
          <w:p w14:paraId="08A254D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《安全生产许可证条例》第十四条 企业取得安全生产许可证后，不得降低安全生产条件，并应当加强日常安全生产管理，接受安全生产许可证颁发管理机关的监督检查。安全生产许可证颁发管理机关应当加强对取得安全生产许可证的企业的监督检查，发现其不再具备本条例规定的安全生产条件的，应当暂扣或者吊销安全生产许可证。</w:t>
            </w:r>
          </w:p>
          <w:p w14:paraId="4B63AED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《煤矿企业安全生产许可证实施办法》第二十五条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煤矿企业取得安全生产许可证后，应当加强日常安全生产管理，不得降低安全生产条件。</w:t>
            </w:r>
          </w:p>
        </w:tc>
        <w:tc>
          <w:tcPr>
            <w:tcW w:w="4082" w:type="dxa"/>
            <w:vMerge w:val="restart"/>
            <w:tcBorders>
              <w:tl2br w:val="nil"/>
              <w:tr2bl w:val="nil"/>
            </w:tcBorders>
            <w:shd w:val="clear" w:color="auto" w:fill="auto"/>
            <w:tcMar>
              <w:top w:w="15" w:type="dxa"/>
              <w:left w:w="15" w:type="dxa"/>
              <w:right w:w="15" w:type="dxa"/>
            </w:tcMar>
            <w:vAlign w:val="center"/>
          </w:tcPr>
          <w:p w14:paraId="405D12C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《安全生产许可证条例》第十四条 企业取得安全生产许可证后，不得降低安全生产条件，并应当加强日常安全生产管理，接受安全生产许可证颁发管理机关的监督检查。安全生产许可证颁发管理机关应当加强对取得安全生产许可证的企业的监督检查，发现其不再具备本条例规定的安全生产条件的，应当暂扣或者吊销安全生产许可证。</w:t>
            </w:r>
          </w:p>
          <w:p w14:paraId="3C20F75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《煤矿企业安全生产许可证实施办法》第三十八条  安全生产许可证颁发管理机关应当加强对取得安全生产许可证的煤矿企业的监督检查，发现其不再具备本实施办法规定的安全生产条件的，应当责令限期整改，依法暂扣安全生产许可证；经整改仍不具备本实施办法规定的安全生产条件的，依法吊销安全生产许可证。</w:t>
            </w:r>
          </w:p>
        </w:tc>
        <w:tc>
          <w:tcPr>
            <w:tcW w:w="459" w:type="dxa"/>
            <w:tcBorders>
              <w:tl2br w:val="nil"/>
              <w:tr2bl w:val="nil"/>
            </w:tcBorders>
            <w:shd w:val="clear" w:color="auto" w:fill="auto"/>
            <w:noWrap/>
            <w:tcMar>
              <w:top w:w="15" w:type="dxa"/>
              <w:left w:w="15" w:type="dxa"/>
              <w:right w:w="15" w:type="dxa"/>
            </w:tcMar>
            <w:vAlign w:val="center"/>
          </w:tcPr>
          <w:p w14:paraId="0AA554D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2A06828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08F0A6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245C2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2B0E20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4D74A8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8FED6D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714562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605836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7E54C8F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6A44CAF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614F4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E2E3ED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927269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6FDB0A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41B37C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556BD7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6198161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196F807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691C6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7DCA6F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DE115B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DC3537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862DC3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F194E4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3048641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不具备《煤矿企业安全生产许可证实施办法》第</w:t>
            </w:r>
            <w:r>
              <w:rPr>
                <w:rFonts w:ascii="仿宋_GB2312" w:hAnsi="宋体" w:eastAsia="仿宋_GB2312" w:cs="仿宋_GB2312"/>
                <w:kern w:val="0"/>
                <w:sz w:val="18"/>
                <w:szCs w:val="18"/>
                <w:lang w:bidi="ar"/>
              </w:rPr>
              <w:t>六</w:t>
            </w:r>
            <w:r>
              <w:rPr>
                <w:rFonts w:hint="eastAsia" w:ascii="仿宋_GB2312" w:hAnsi="宋体" w:eastAsia="仿宋_GB2312" w:cs="仿宋_GB2312"/>
                <w:kern w:val="0"/>
                <w:sz w:val="18"/>
                <w:szCs w:val="18"/>
                <w:lang w:bidi="ar"/>
              </w:rPr>
              <w:t>条规定的安全生产条件的。</w:t>
            </w:r>
          </w:p>
        </w:tc>
        <w:tc>
          <w:tcPr>
            <w:tcW w:w="2655" w:type="dxa"/>
            <w:tcBorders>
              <w:tl2br w:val="nil"/>
              <w:tr2bl w:val="nil"/>
            </w:tcBorders>
            <w:shd w:val="clear" w:color="auto" w:fill="auto"/>
            <w:tcMar>
              <w:top w:w="15" w:type="dxa"/>
              <w:left w:w="15" w:type="dxa"/>
              <w:right w:w="15" w:type="dxa"/>
            </w:tcMar>
            <w:vAlign w:val="center"/>
          </w:tcPr>
          <w:p w14:paraId="3A97242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暂扣安全生产许可证</w:t>
            </w:r>
            <w:r>
              <w:rPr>
                <w:rFonts w:ascii="仿宋_GB2312" w:hAnsi="宋体" w:eastAsia="仿宋_GB2312" w:cs="仿宋_GB2312"/>
                <w:kern w:val="0"/>
                <w:sz w:val="18"/>
                <w:szCs w:val="18"/>
                <w:lang w:bidi="ar"/>
              </w:rPr>
              <w:t>至整改验收合格之日，最多不超过六个月</w:t>
            </w:r>
            <w:r>
              <w:rPr>
                <w:rFonts w:hint="eastAsia" w:ascii="仿宋_GB2312" w:hAnsi="宋体" w:eastAsia="仿宋_GB2312" w:cs="仿宋_GB2312"/>
                <w:kern w:val="0"/>
                <w:sz w:val="18"/>
                <w:szCs w:val="18"/>
                <w:lang w:bidi="ar"/>
              </w:rPr>
              <w:t>。</w:t>
            </w:r>
          </w:p>
        </w:tc>
      </w:tr>
      <w:tr w14:paraId="6DD236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F09176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F27656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314195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8347A2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B47F97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5AC1C67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不具备《煤矿企业安全生产许可证实施办法》第</w:t>
            </w:r>
            <w:r>
              <w:rPr>
                <w:rFonts w:ascii="仿宋_GB2312" w:hAnsi="宋体" w:eastAsia="仿宋_GB2312" w:cs="仿宋_GB2312"/>
                <w:kern w:val="0"/>
                <w:sz w:val="18"/>
                <w:szCs w:val="18"/>
                <w:highlight w:val="none"/>
                <w:lang w:bidi="ar"/>
              </w:rPr>
              <w:t>七</w:t>
            </w:r>
            <w:r>
              <w:rPr>
                <w:rFonts w:hint="eastAsia" w:ascii="仿宋_GB2312" w:hAnsi="宋体" w:eastAsia="仿宋_GB2312" w:cs="仿宋_GB2312"/>
                <w:kern w:val="0"/>
                <w:sz w:val="18"/>
                <w:szCs w:val="18"/>
                <w:highlight w:val="none"/>
                <w:lang w:bidi="ar"/>
              </w:rPr>
              <w:t>条规定的安全生产条件的。</w:t>
            </w:r>
          </w:p>
        </w:tc>
        <w:tc>
          <w:tcPr>
            <w:tcW w:w="2655" w:type="dxa"/>
            <w:tcBorders>
              <w:tl2br w:val="nil"/>
              <w:tr2bl w:val="nil"/>
            </w:tcBorders>
            <w:shd w:val="clear" w:color="auto" w:fill="auto"/>
            <w:tcMar>
              <w:top w:w="15" w:type="dxa"/>
              <w:left w:w="15" w:type="dxa"/>
              <w:right w:w="15" w:type="dxa"/>
            </w:tcMar>
            <w:vAlign w:val="center"/>
          </w:tcPr>
          <w:p w14:paraId="2BBA504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暂扣安全生产许可证</w:t>
            </w:r>
            <w:r>
              <w:rPr>
                <w:rFonts w:ascii="仿宋_GB2312" w:hAnsi="宋体" w:eastAsia="仿宋_GB2312" w:cs="仿宋_GB2312"/>
                <w:kern w:val="0"/>
                <w:sz w:val="18"/>
                <w:szCs w:val="18"/>
                <w:highlight w:val="none"/>
                <w:lang w:bidi="ar"/>
              </w:rPr>
              <w:t>至整改验收合格之日，最多不</w:t>
            </w:r>
            <w:r>
              <w:rPr>
                <w:rFonts w:hint="eastAsia" w:ascii="仿宋_GB2312" w:hAnsi="宋体" w:eastAsia="仿宋_GB2312" w:cs="仿宋_GB2312"/>
                <w:kern w:val="0"/>
                <w:sz w:val="18"/>
                <w:szCs w:val="18"/>
                <w:highlight w:val="none"/>
                <w:lang w:val="en-US" w:eastAsia="zh-CN" w:bidi="ar"/>
              </w:rPr>
              <w:t>超</w:t>
            </w:r>
            <w:r>
              <w:rPr>
                <w:rFonts w:ascii="仿宋_GB2312" w:hAnsi="宋体" w:eastAsia="仿宋_GB2312" w:cs="仿宋_GB2312"/>
                <w:kern w:val="0"/>
                <w:sz w:val="18"/>
                <w:szCs w:val="18"/>
                <w:highlight w:val="none"/>
                <w:lang w:bidi="ar"/>
              </w:rPr>
              <w:t>过六个月</w:t>
            </w:r>
            <w:r>
              <w:rPr>
                <w:rFonts w:hint="eastAsia" w:ascii="仿宋_GB2312" w:hAnsi="宋体" w:eastAsia="仿宋_GB2312" w:cs="仿宋_GB2312"/>
                <w:kern w:val="0"/>
                <w:sz w:val="18"/>
                <w:szCs w:val="18"/>
                <w:highlight w:val="none"/>
                <w:lang w:bidi="ar"/>
              </w:rPr>
              <w:t>。</w:t>
            </w:r>
          </w:p>
        </w:tc>
      </w:tr>
      <w:tr w14:paraId="0D8508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0402E3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11966D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C350E3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98F5A9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567D22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53E873E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不具备《煤矿企业安全生产许可证实施办法》第八条规定的安全生产条件的。</w:t>
            </w:r>
          </w:p>
        </w:tc>
        <w:tc>
          <w:tcPr>
            <w:tcW w:w="2655" w:type="dxa"/>
            <w:tcBorders>
              <w:tl2br w:val="nil"/>
              <w:tr2bl w:val="nil"/>
            </w:tcBorders>
            <w:shd w:val="clear" w:color="auto" w:fill="auto"/>
            <w:tcMar>
              <w:top w:w="15" w:type="dxa"/>
              <w:left w:w="15" w:type="dxa"/>
              <w:right w:w="15" w:type="dxa"/>
            </w:tcMar>
            <w:vAlign w:val="center"/>
          </w:tcPr>
          <w:p w14:paraId="45BDF6A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暂扣安全生产许可证</w:t>
            </w:r>
            <w:r>
              <w:rPr>
                <w:rFonts w:ascii="仿宋_GB2312" w:hAnsi="宋体" w:eastAsia="仿宋_GB2312" w:cs="仿宋_GB2312"/>
                <w:kern w:val="0"/>
                <w:sz w:val="18"/>
                <w:szCs w:val="18"/>
                <w:lang w:bidi="ar"/>
              </w:rPr>
              <w:t>至整改验收合格之日，最多不超过六个月</w:t>
            </w:r>
            <w:r>
              <w:rPr>
                <w:rFonts w:hint="eastAsia" w:ascii="仿宋_GB2312" w:hAnsi="宋体" w:eastAsia="仿宋_GB2312" w:cs="仿宋_GB2312"/>
                <w:kern w:val="0"/>
                <w:sz w:val="18"/>
                <w:szCs w:val="18"/>
                <w:lang w:bidi="ar"/>
              </w:rPr>
              <w:t>。</w:t>
            </w:r>
          </w:p>
        </w:tc>
      </w:tr>
      <w:tr w14:paraId="48C97B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6B133D5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del w:id="3007" w:author="LV" w:date="2026-07-14T17:09:12Z">
              <w:r>
                <w:rPr>
                  <w:rFonts w:hint="default" w:ascii="仿宋_GB2312" w:hAnsi="宋体" w:eastAsia="仿宋_GB2312" w:cs="仿宋_GB2312"/>
                  <w:kern w:val="0"/>
                  <w:sz w:val="18"/>
                  <w:szCs w:val="18"/>
                  <w:lang w:val="en-US" w:bidi="ar"/>
                </w:rPr>
                <w:delText>19</w:delText>
              </w:r>
            </w:del>
            <w:del w:id="3008" w:author="LV" w:date="2026-07-14T17:09:12Z">
              <w:r>
                <w:rPr>
                  <w:rFonts w:hint="default" w:ascii="仿宋_GB2312" w:hAnsi="宋体" w:eastAsia="仿宋_GB2312" w:cs="仿宋_GB2312"/>
                  <w:kern w:val="0"/>
                  <w:sz w:val="18"/>
                  <w:szCs w:val="18"/>
                  <w:lang w:val="en-US" w:eastAsia="zh-CN" w:bidi="ar"/>
                </w:rPr>
                <w:delText>6</w:delText>
              </w:r>
            </w:del>
            <w:ins w:id="3009" w:author="LV" w:date="2026-07-14T17:09:12Z">
              <w:r>
                <w:rPr>
                  <w:rFonts w:hint="eastAsia" w:ascii="仿宋_GB2312" w:hAnsi="宋体" w:eastAsia="仿宋_GB2312" w:cs="仿宋_GB2312"/>
                  <w:kern w:val="0"/>
                  <w:sz w:val="18"/>
                  <w:szCs w:val="18"/>
                  <w:lang w:val="en-US" w:eastAsia="zh-CN" w:bidi="ar"/>
                </w:rPr>
                <w:t>202</w:t>
              </w:r>
            </w:ins>
          </w:p>
        </w:tc>
        <w:tc>
          <w:tcPr>
            <w:tcW w:w="1005" w:type="dxa"/>
            <w:vMerge w:val="restart"/>
            <w:tcBorders>
              <w:tl2br w:val="nil"/>
              <w:tr2bl w:val="nil"/>
            </w:tcBorders>
            <w:shd w:val="clear" w:color="auto" w:fill="auto"/>
            <w:tcMar>
              <w:top w:w="15" w:type="dxa"/>
              <w:left w:w="15" w:type="dxa"/>
              <w:right w:w="15" w:type="dxa"/>
            </w:tcMar>
            <w:vAlign w:val="center"/>
          </w:tcPr>
          <w:p w14:paraId="4E41F62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经整改仍不具备煤矿企业安全生产许可证取证条件的</w:t>
            </w:r>
          </w:p>
        </w:tc>
        <w:tc>
          <w:tcPr>
            <w:tcW w:w="3667" w:type="dxa"/>
            <w:vMerge w:val="restart"/>
            <w:tcBorders>
              <w:tl2br w:val="nil"/>
              <w:tr2bl w:val="nil"/>
            </w:tcBorders>
            <w:shd w:val="clear" w:color="auto" w:fill="auto"/>
            <w:tcMar>
              <w:top w:w="15" w:type="dxa"/>
              <w:left w:w="15" w:type="dxa"/>
              <w:right w:w="15" w:type="dxa"/>
            </w:tcMar>
            <w:vAlign w:val="center"/>
          </w:tcPr>
          <w:p w14:paraId="3ECC0E0F">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《安全生产许可证条例》第十四条 企业取得安全生产许可证后，不得降低安全生产条件，并应当加强日常安全生产管理，接受安全生产许可证颁发管理机关的监督检查。</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安全生产许可证颁发管理机关应当加强对取得安全生产许可证的企业的监督检查，发现其不再具备本条例规定的安全生产条件的，应当暂扣或者吊销安全生产许可证。</w:t>
            </w:r>
          </w:p>
          <w:p w14:paraId="2A40E1F1">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《煤矿企业安全生产许可证实施办法》第三十八条</w:t>
            </w:r>
            <w:r>
              <w:rPr>
                <w:rFonts w:hint="eastAsia" w:ascii="仿宋_GB2312" w:hAnsi="宋体" w:eastAsia="仿宋_GB2312" w:cs="仿宋_GB2312"/>
                <w:kern w:val="0"/>
                <w:sz w:val="18"/>
                <w:szCs w:val="18"/>
                <w:lang w:val="en-US" w:eastAsia="zh-CN" w:bidi="ar"/>
              </w:rPr>
              <w:t xml:space="preserve"> </w:t>
            </w:r>
            <w:r>
              <w:rPr>
                <w:rFonts w:hint="eastAsia" w:ascii="仿宋_GB2312" w:hAnsi="宋体" w:eastAsia="仿宋_GB2312" w:cs="仿宋_GB2312"/>
                <w:kern w:val="0"/>
                <w:sz w:val="18"/>
                <w:szCs w:val="18"/>
                <w:lang w:bidi="ar"/>
              </w:rPr>
              <w:t>安全生产许可证颁发管理机关应当加强对取得安全生产许可证的煤矿企业的监督检查，发现其不再具备本实施办法规定的安全生产条件的，应当责令限期整改，依法暂扣安全生产许可证；经整改仍不具备本实施办法规定的安全生产条件的，依法吊销安全生产许可证。</w:t>
            </w:r>
          </w:p>
        </w:tc>
        <w:tc>
          <w:tcPr>
            <w:tcW w:w="4082" w:type="dxa"/>
            <w:vMerge w:val="restart"/>
            <w:tcBorders>
              <w:tl2br w:val="nil"/>
              <w:tr2bl w:val="nil"/>
            </w:tcBorders>
            <w:shd w:val="clear" w:color="auto" w:fill="auto"/>
            <w:tcMar>
              <w:top w:w="15" w:type="dxa"/>
              <w:left w:w="15" w:type="dxa"/>
              <w:right w:w="15" w:type="dxa"/>
            </w:tcMar>
            <w:vAlign w:val="center"/>
          </w:tcPr>
          <w:p w14:paraId="710F5500">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《安全生产许可证条例》第十四条 企业取得安全生产许可证后，不得降低安全生产条件，并应当加强日常安全生产管理，接受安全生产许可证颁发管理机关的监督检查。安全生产许可证颁发管理机关应当加强对取得安全生产许可证的企业的监督检查，发现其不再具备本条例规定的安全生产条件的，应当暂扣或者吊销安全生产许可证。</w:t>
            </w:r>
          </w:p>
          <w:p w14:paraId="5A1F8BC6">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《煤矿企业安全生产许可证实施办法》第三十八条  安全生产许可证颁发管理机关应当加强对取得安全生产许可证的煤矿企业的监督检查，发现其不再具备本实施办法规定的安全生产条件的，应当责令限期整改，依法暂扣安全生产许可证；经整改仍不具备本实施办法规定的安全生产条件的，依法吊销安全生产许可证。</w:t>
            </w:r>
          </w:p>
        </w:tc>
        <w:tc>
          <w:tcPr>
            <w:tcW w:w="459" w:type="dxa"/>
            <w:tcBorders>
              <w:tl2br w:val="nil"/>
              <w:tr2bl w:val="nil"/>
            </w:tcBorders>
            <w:shd w:val="clear" w:color="auto" w:fill="auto"/>
            <w:noWrap/>
            <w:tcMar>
              <w:top w:w="15" w:type="dxa"/>
              <w:left w:w="15" w:type="dxa"/>
              <w:right w:w="15" w:type="dxa"/>
            </w:tcMar>
            <w:vAlign w:val="center"/>
          </w:tcPr>
          <w:p w14:paraId="0A4E3182">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556F1EF0">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8040CB1">
            <w:pPr>
              <w:keepNext w:val="0"/>
              <w:keepLines w:val="0"/>
              <w:pageBreakBefore w:val="0"/>
              <w:widowControl w:val="0"/>
              <w:kinsoku/>
              <w:wordWrap/>
              <w:overflowPunct w:val="0"/>
              <w:topLinePunct w:val="0"/>
              <w:autoSpaceDE/>
              <w:autoSpaceDN/>
              <w:bidi w:val="0"/>
              <w:adjustRightInd/>
              <w:snapToGrid/>
              <w:spacing w:line="26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FA198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D1FC27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51BEEA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006775F">
            <w:pPr>
              <w:keepNext w:val="0"/>
              <w:keepLines w:val="0"/>
              <w:pageBreakBefore w:val="0"/>
              <w:widowControl w:val="0"/>
              <w:kinsoku/>
              <w:wordWrap/>
              <w:overflowPunct w:val="0"/>
              <w:topLinePunct w:val="0"/>
              <w:autoSpaceDE/>
              <w:autoSpaceDN/>
              <w:bidi w:val="0"/>
              <w:adjustRightInd/>
              <w:snapToGrid/>
              <w:spacing w:line="26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7442323">
            <w:pPr>
              <w:keepNext w:val="0"/>
              <w:keepLines w:val="0"/>
              <w:pageBreakBefore w:val="0"/>
              <w:widowControl w:val="0"/>
              <w:kinsoku/>
              <w:wordWrap/>
              <w:overflowPunct w:val="0"/>
              <w:topLinePunct w:val="0"/>
              <w:autoSpaceDE/>
              <w:autoSpaceDN/>
              <w:bidi w:val="0"/>
              <w:adjustRightInd/>
              <w:snapToGrid/>
              <w:spacing w:line="26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F0342DD">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6BF2CF6A">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不适用总则规定</w:t>
            </w:r>
          </w:p>
        </w:tc>
        <w:tc>
          <w:tcPr>
            <w:tcW w:w="2655" w:type="dxa"/>
            <w:tcBorders>
              <w:tl2br w:val="nil"/>
              <w:tr2bl w:val="nil"/>
            </w:tcBorders>
            <w:shd w:val="clear" w:color="auto" w:fill="auto"/>
            <w:tcMar>
              <w:top w:w="15" w:type="dxa"/>
              <w:left w:w="15" w:type="dxa"/>
              <w:right w:w="15" w:type="dxa"/>
            </w:tcMar>
            <w:vAlign w:val="center"/>
          </w:tcPr>
          <w:p w14:paraId="6821CF69">
            <w:pPr>
              <w:keepNext w:val="0"/>
              <w:keepLines w:val="0"/>
              <w:pageBreakBefore w:val="0"/>
              <w:widowControl w:val="0"/>
              <w:kinsoku/>
              <w:wordWrap/>
              <w:overflowPunct w:val="0"/>
              <w:topLinePunct w:val="0"/>
              <w:autoSpaceDE/>
              <w:autoSpaceDN/>
              <w:bidi w:val="0"/>
              <w:adjustRightInd/>
              <w:snapToGrid/>
              <w:spacing w:line="26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CA53F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6145E8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6BA48B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A9DB84B">
            <w:pPr>
              <w:keepNext w:val="0"/>
              <w:keepLines w:val="0"/>
              <w:pageBreakBefore w:val="0"/>
              <w:widowControl w:val="0"/>
              <w:kinsoku/>
              <w:wordWrap/>
              <w:overflowPunct w:val="0"/>
              <w:topLinePunct w:val="0"/>
              <w:autoSpaceDE/>
              <w:autoSpaceDN/>
              <w:bidi w:val="0"/>
              <w:adjustRightInd/>
              <w:snapToGrid/>
              <w:spacing w:line="26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3246A9A">
            <w:pPr>
              <w:keepNext w:val="0"/>
              <w:keepLines w:val="0"/>
              <w:pageBreakBefore w:val="0"/>
              <w:widowControl w:val="0"/>
              <w:kinsoku/>
              <w:wordWrap/>
              <w:overflowPunct w:val="0"/>
              <w:topLinePunct w:val="0"/>
              <w:autoSpaceDE/>
              <w:autoSpaceDN/>
              <w:bidi w:val="0"/>
              <w:adjustRightInd/>
              <w:snapToGrid/>
              <w:spacing w:line="26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BD399A5">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21108FC7">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6EF446A">
            <w:pPr>
              <w:keepNext w:val="0"/>
              <w:keepLines w:val="0"/>
              <w:pageBreakBefore w:val="0"/>
              <w:widowControl w:val="0"/>
              <w:kinsoku/>
              <w:wordWrap/>
              <w:overflowPunct w:val="0"/>
              <w:topLinePunct w:val="0"/>
              <w:autoSpaceDE/>
              <w:autoSpaceDN/>
              <w:bidi w:val="0"/>
              <w:adjustRightInd/>
              <w:snapToGrid/>
              <w:spacing w:line="26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55F42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168AF7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850EFB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3346E42">
            <w:pPr>
              <w:keepNext w:val="0"/>
              <w:keepLines w:val="0"/>
              <w:pageBreakBefore w:val="0"/>
              <w:widowControl w:val="0"/>
              <w:kinsoku/>
              <w:wordWrap/>
              <w:overflowPunct w:val="0"/>
              <w:topLinePunct w:val="0"/>
              <w:autoSpaceDE/>
              <w:autoSpaceDN/>
              <w:bidi w:val="0"/>
              <w:adjustRightInd/>
              <w:snapToGrid/>
              <w:spacing w:line="26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9FEA4C4">
            <w:pPr>
              <w:keepNext w:val="0"/>
              <w:keepLines w:val="0"/>
              <w:pageBreakBefore w:val="0"/>
              <w:widowControl w:val="0"/>
              <w:kinsoku/>
              <w:wordWrap/>
              <w:overflowPunct w:val="0"/>
              <w:topLinePunct w:val="0"/>
              <w:autoSpaceDE/>
              <w:autoSpaceDN/>
              <w:bidi w:val="0"/>
              <w:adjustRightInd/>
              <w:snapToGrid/>
              <w:spacing w:line="26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15D4622">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6AD46A04">
            <w:pPr>
              <w:keepNext w:val="0"/>
              <w:keepLines w:val="0"/>
              <w:pageBreakBefore w:val="0"/>
              <w:widowControl w:val="0"/>
              <w:kinsoku/>
              <w:wordWrap/>
              <w:overflowPunct w:val="0"/>
              <w:topLinePunct w:val="0"/>
              <w:autoSpaceDE/>
              <w:autoSpaceDN/>
              <w:bidi w:val="0"/>
              <w:adjustRightInd/>
              <w:snapToGrid/>
              <w:spacing w:line="26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c>
          <w:tcPr>
            <w:tcW w:w="2655" w:type="dxa"/>
            <w:tcBorders>
              <w:tl2br w:val="nil"/>
              <w:tr2bl w:val="nil"/>
            </w:tcBorders>
            <w:shd w:val="clear" w:color="auto" w:fill="auto"/>
            <w:tcMar>
              <w:top w:w="15" w:type="dxa"/>
              <w:left w:w="15" w:type="dxa"/>
              <w:right w:w="15" w:type="dxa"/>
            </w:tcMar>
            <w:vAlign w:val="center"/>
          </w:tcPr>
          <w:p w14:paraId="75EB97BD">
            <w:pPr>
              <w:keepNext w:val="0"/>
              <w:keepLines w:val="0"/>
              <w:pageBreakBefore w:val="0"/>
              <w:widowControl w:val="0"/>
              <w:kinsoku/>
              <w:wordWrap/>
              <w:overflowPunct w:val="0"/>
              <w:topLinePunct w:val="0"/>
              <w:autoSpaceDE/>
              <w:autoSpaceDN/>
              <w:bidi w:val="0"/>
              <w:adjustRightInd/>
              <w:snapToGrid/>
              <w:spacing w:line="26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A8B6F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C67D2C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E18C1E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5218710">
            <w:pPr>
              <w:keepNext w:val="0"/>
              <w:keepLines w:val="0"/>
              <w:pageBreakBefore w:val="0"/>
              <w:widowControl w:val="0"/>
              <w:kinsoku/>
              <w:wordWrap/>
              <w:overflowPunct w:val="0"/>
              <w:topLinePunct w:val="0"/>
              <w:autoSpaceDE/>
              <w:autoSpaceDN/>
              <w:bidi w:val="0"/>
              <w:adjustRightInd/>
              <w:snapToGrid/>
              <w:spacing w:line="26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E9BDFFF">
            <w:pPr>
              <w:keepNext w:val="0"/>
              <w:keepLines w:val="0"/>
              <w:pageBreakBefore w:val="0"/>
              <w:widowControl w:val="0"/>
              <w:kinsoku/>
              <w:wordWrap/>
              <w:overflowPunct w:val="0"/>
              <w:topLinePunct w:val="0"/>
              <w:autoSpaceDE/>
              <w:autoSpaceDN/>
              <w:bidi w:val="0"/>
              <w:adjustRightInd/>
              <w:snapToGrid/>
              <w:spacing w:line="26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6C831CB">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0975A235">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煤矿企业经整改仍不具备实施办法规定的安全生产条件的。</w:t>
            </w:r>
          </w:p>
        </w:tc>
        <w:tc>
          <w:tcPr>
            <w:tcW w:w="2655" w:type="dxa"/>
            <w:tcBorders>
              <w:tl2br w:val="nil"/>
              <w:tr2bl w:val="nil"/>
            </w:tcBorders>
            <w:shd w:val="clear" w:color="auto" w:fill="auto"/>
            <w:tcMar>
              <w:top w:w="15" w:type="dxa"/>
              <w:left w:w="15" w:type="dxa"/>
              <w:right w:w="15" w:type="dxa"/>
            </w:tcMar>
            <w:vAlign w:val="center"/>
          </w:tcPr>
          <w:p w14:paraId="7463E9F5">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吊销安全生产许可证。</w:t>
            </w:r>
          </w:p>
        </w:tc>
      </w:tr>
      <w:tr w14:paraId="689C0A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BF5055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7E87FA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C8241D2">
            <w:pPr>
              <w:keepNext w:val="0"/>
              <w:keepLines w:val="0"/>
              <w:pageBreakBefore w:val="0"/>
              <w:widowControl w:val="0"/>
              <w:kinsoku/>
              <w:wordWrap/>
              <w:overflowPunct w:val="0"/>
              <w:topLinePunct w:val="0"/>
              <w:autoSpaceDE/>
              <w:autoSpaceDN/>
              <w:bidi w:val="0"/>
              <w:adjustRightInd/>
              <w:snapToGrid/>
              <w:spacing w:line="26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D088680">
            <w:pPr>
              <w:keepNext w:val="0"/>
              <w:keepLines w:val="0"/>
              <w:pageBreakBefore w:val="0"/>
              <w:widowControl w:val="0"/>
              <w:kinsoku/>
              <w:wordWrap/>
              <w:overflowPunct w:val="0"/>
              <w:topLinePunct w:val="0"/>
              <w:autoSpaceDE/>
              <w:autoSpaceDN/>
              <w:bidi w:val="0"/>
              <w:adjustRightInd/>
              <w:snapToGrid/>
              <w:spacing w:line="26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9BEB990">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7272EB08">
            <w:pPr>
              <w:keepNext w:val="0"/>
              <w:keepLines w:val="0"/>
              <w:pageBreakBefore w:val="0"/>
              <w:widowControl w:val="0"/>
              <w:kinsoku/>
              <w:wordWrap/>
              <w:overflowPunct w:val="0"/>
              <w:topLinePunct w:val="0"/>
              <w:autoSpaceDE/>
              <w:autoSpaceDN/>
              <w:bidi w:val="0"/>
              <w:adjustRightInd/>
              <w:snapToGrid/>
              <w:spacing w:line="26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c>
          <w:tcPr>
            <w:tcW w:w="2655" w:type="dxa"/>
            <w:tcBorders>
              <w:tl2br w:val="nil"/>
              <w:tr2bl w:val="nil"/>
            </w:tcBorders>
            <w:shd w:val="clear" w:color="auto" w:fill="auto"/>
            <w:tcMar>
              <w:top w:w="15" w:type="dxa"/>
              <w:left w:w="15" w:type="dxa"/>
              <w:right w:w="15" w:type="dxa"/>
            </w:tcMar>
            <w:vAlign w:val="center"/>
          </w:tcPr>
          <w:p w14:paraId="41B0FE08">
            <w:pPr>
              <w:keepNext w:val="0"/>
              <w:keepLines w:val="0"/>
              <w:pageBreakBefore w:val="0"/>
              <w:widowControl w:val="0"/>
              <w:kinsoku/>
              <w:wordWrap/>
              <w:overflowPunct w:val="0"/>
              <w:topLinePunct w:val="0"/>
              <w:autoSpaceDE/>
              <w:autoSpaceDN/>
              <w:bidi w:val="0"/>
              <w:adjustRightInd/>
              <w:snapToGrid/>
              <w:spacing w:line="26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0DA21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5EE3488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del w:id="3010" w:author="LV" w:date="2026-07-14T17:09:15Z">
              <w:r>
                <w:rPr>
                  <w:rFonts w:hint="default" w:ascii="仿宋_GB2312" w:hAnsi="宋体" w:eastAsia="仿宋_GB2312" w:cs="仿宋_GB2312"/>
                  <w:kern w:val="0"/>
                  <w:sz w:val="18"/>
                  <w:szCs w:val="18"/>
                  <w:lang w:val="en-US" w:bidi="ar"/>
                </w:rPr>
                <w:delText>19</w:delText>
              </w:r>
            </w:del>
            <w:del w:id="3011" w:author="LV" w:date="2026-07-14T17:09:15Z">
              <w:r>
                <w:rPr>
                  <w:rFonts w:hint="default" w:ascii="仿宋_GB2312" w:hAnsi="宋体" w:eastAsia="仿宋_GB2312" w:cs="仿宋_GB2312"/>
                  <w:kern w:val="0"/>
                  <w:sz w:val="18"/>
                  <w:szCs w:val="18"/>
                  <w:lang w:val="en-US" w:eastAsia="zh-CN" w:bidi="ar"/>
                </w:rPr>
                <w:delText>7</w:delText>
              </w:r>
            </w:del>
            <w:ins w:id="3012" w:author="LV" w:date="2026-07-14T17:09:15Z">
              <w:r>
                <w:rPr>
                  <w:rFonts w:hint="eastAsia" w:ascii="仿宋_GB2312" w:hAnsi="宋体" w:eastAsia="仿宋_GB2312" w:cs="仿宋_GB2312"/>
                  <w:kern w:val="0"/>
                  <w:sz w:val="18"/>
                  <w:szCs w:val="18"/>
                  <w:lang w:val="en-US" w:eastAsia="zh-CN" w:bidi="ar"/>
                </w:rPr>
                <w:t>2</w:t>
              </w:r>
            </w:ins>
            <w:ins w:id="3013" w:author="LV" w:date="2026-07-14T17:09:16Z">
              <w:r>
                <w:rPr>
                  <w:rFonts w:hint="eastAsia" w:ascii="仿宋_GB2312" w:hAnsi="宋体" w:eastAsia="仿宋_GB2312" w:cs="仿宋_GB2312"/>
                  <w:kern w:val="0"/>
                  <w:sz w:val="18"/>
                  <w:szCs w:val="18"/>
                  <w:lang w:val="en-US" w:eastAsia="zh-CN" w:bidi="ar"/>
                </w:rPr>
                <w:t>03</w:t>
              </w:r>
            </w:ins>
          </w:p>
        </w:tc>
        <w:tc>
          <w:tcPr>
            <w:tcW w:w="1005" w:type="dxa"/>
            <w:vMerge w:val="restart"/>
            <w:tcBorders>
              <w:tl2br w:val="nil"/>
              <w:tr2bl w:val="nil"/>
            </w:tcBorders>
            <w:shd w:val="clear" w:color="auto" w:fill="auto"/>
            <w:tcMar>
              <w:top w:w="15" w:type="dxa"/>
              <w:left w:w="15" w:type="dxa"/>
              <w:right w:w="15" w:type="dxa"/>
            </w:tcMar>
            <w:vAlign w:val="center"/>
          </w:tcPr>
          <w:p w14:paraId="5B560F5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取得安全生产许可证的煤矿企业以各种形式非法转让安全生产许可证的</w:t>
            </w:r>
          </w:p>
        </w:tc>
        <w:tc>
          <w:tcPr>
            <w:tcW w:w="3667" w:type="dxa"/>
            <w:vMerge w:val="restart"/>
            <w:tcBorders>
              <w:tl2br w:val="nil"/>
              <w:tr2bl w:val="nil"/>
            </w:tcBorders>
            <w:shd w:val="clear" w:color="auto" w:fill="auto"/>
            <w:tcMar>
              <w:top w:w="15" w:type="dxa"/>
              <w:left w:w="15" w:type="dxa"/>
              <w:right w:w="15" w:type="dxa"/>
            </w:tcMar>
            <w:vAlign w:val="center"/>
          </w:tcPr>
          <w:p w14:paraId="26A76580">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《安全生产许可证条例》第十三条</w:t>
            </w:r>
            <w:r>
              <w:rPr>
                <w:rFonts w:hint="eastAsia" w:ascii="仿宋_GB2312" w:hAnsi="宋体" w:eastAsia="仿宋_GB2312" w:cs="仿宋_GB2312"/>
                <w:kern w:val="0"/>
                <w:sz w:val="18"/>
                <w:szCs w:val="18"/>
                <w:lang w:val="en-US" w:eastAsia="zh-CN" w:bidi="ar"/>
              </w:rPr>
              <w:t xml:space="preserve"> </w:t>
            </w:r>
            <w:r>
              <w:rPr>
                <w:rFonts w:hint="eastAsia" w:ascii="仿宋_GB2312" w:hAnsi="宋体" w:eastAsia="仿宋_GB2312" w:cs="仿宋_GB2312"/>
                <w:kern w:val="0"/>
                <w:sz w:val="18"/>
                <w:szCs w:val="18"/>
                <w:lang w:bidi="ar"/>
              </w:rPr>
              <w:t>企业不得转让、冒用安全生产许可证或者使用伪造的安全生产许可证。</w:t>
            </w:r>
          </w:p>
          <w:p w14:paraId="2950E85B">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《煤矿企业安全生产许可证实施办法》第二十六条  煤矿企业不得转让、冒用、买卖、出租、出借或者使用伪造的安全生产许可证。</w:t>
            </w:r>
          </w:p>
        </w:tc>
        <w:tc>
          <w:tcPr>
            <w:tcW w:w="4082" w:type="dxa"/>
            <w:vMerge w:val="restart"/>
            <w:tcBorders>
              <w:tl2br w:val="nil"/>
              <w:tr2bl w:val="nil"/>
            </w:tcBorders>
            <w:shd w:val="clear" w:color="auto" w:fill="auto"/>
            <w:tcMar>
              <w:top w:w="15" w:type="dxa"/>
              <w:left w:w="15" w:type="dxa"/>
              <w:right w:w="15" w:type="dxa"/>
            </w:tcMar>
            <w:vAlign w:val="center"/>
          </w:tcPr>
          <w:p w14:paraId="264FB43A">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《安全生产许可证条例》第二十一条 违反本条例规定，转让安全生产许可证的，没收违法所得，处10万元以上50万元以下的罚款，并吊销其安全生产许可证；构成犯罪的，依法追究刑事责任；接受转让的，依照本条例第十九条的规定处罚。</w:t>
            </w:r>
          </w:p>
          <w:p w14:paraId="18859492">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《煤矿企业安全生产许可证实施办法》第三十九条  取得安全生产许可证的煤矿企业，倒卖、出租、出借或者以其他形式非法转让安全生产许可证的，没收违法所得，处10万元以上50万元以下的罚款，吊销其安全生产许可证；构成犯罪的，依法追究刑事责任。</w:t>
            </w:r>
          </w:p>
        </w:tc>
        <w:tc>
          <w:tcPr>
            <w:tcW w:w="459" w:type="dxa"/>
            <w:tcBorders>
              <w:tl2br w:val="nil"/>
              <w:tr2bl w:val="nil"/>
            </w:tcBorders>
            <w:shd w:val="clear" w:color="auto" w:fill="auto"/>
            <w:noWrap/>
            <w:tcMar>
              <w:top w:w="15" w:type="dxa"/>
              <w:left w:w="15" w:type="dxa"/>
              <w:right w:w="15" w:type="dxa"/>
            </w:tcMar>
            <w:vAlign w:val="center"/>
          </w:tcPr>
          <w:p w14:paraId="6E8A9DFA">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2734A32A">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6686B75">
            <w:pPr>
              <w:keepNext w:val="0"/>
              <w:keepLines w:val="0"/>
              <w:pageBreakBefore w:val="0"/>
              <w:widowControl w:val="0"/>
              <w:kinsoku/>
              <w:wordWrap/>
              <w:overflowPunct w:val="0"/>
              <w:topLinePunct w:val="0"/>
              <w:autoSpaceDE/>
              <w:autoSpaceDN/>
              <w:bidi w:val="0"/>
              <w:adjustRightInd/>
              <w:snapToGrid/>
              <w:spacing w:line="26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9DA34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13DB07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1370F1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474F61E">
            <w:pPr>
              <w:keepNext w:val="0"/>
              <w:keepLines w:val="0"/>
              <w:pageBreakBefore w:val="0"/>
              <w:widowControl w:val="0"/>
              <w:kinsoku/>
              <w:wordWrap/>
              <w:overflowPunct w:val="0"/>
              <w:topLinePunct w:val="0"/>
              <w:autoSpaceDE/>
              <w:autoSpaceDN/>
              <w:bidi w:val="0"/>
              <w:adjustRightInd/>
              <w:snapToGrid/>
              <w:spacing w:line="26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077DCCE">
            <w:pPr>
              <w:keepNext w:val="0"/>
              <w:keepLines w:val="0"/>
              <w:pageBreakBefore w:val="0"/>
              <w:widowControl w:val="0"/>
              <w:kinsoku/>
              <w:wordWrap/>
              <w:overflowPunct w:val="0"/>
              <w:topLinePunct w:val="0"/>
              <w:autoSpaceDE/>
              <w:autoSpaceDN/>
              <w:bidi w:val="0"/>
              <w:adjustRightInd/>
              <w:snapToGrid/>
              <w:spacing w:line="26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928D678">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6185C0EE">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35C4CEE3">
            <w:pPr>
              <w:keepNext w:val="0"/>
              <w:keepLines w:val="0"/>
              <w:pageBreakBefore w:val="0"/>
              <w:widowControl w:val="0"/>
              <w:kinsoku/>
              <w:wordWrap/>
              <w:overflowPunct w:val="0"/>
              <w:topLinePunct w:val="0"/>
              <w:autoSpaceDE/>
              <w:autoSpaceDN/>
              <w:bidi w:val="0"/>
              <w:adjustRightInd/>
              <w:snapToGrid/>
              <w:spacing w:line="26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97A55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F8178A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7F7A8B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BD5DA10">
            <w:pPr>
              <w:keepNext w:val="0"/>
              <w:keepLines w:val="0"/>
              <w:pageBreakBefore w:val="0"/>
              <w:widowControl w:val="0"/>
              <w:kinsoku/>
              <w:wordWrap/>
              <w:overflowPunct w:val="0"/>
              <w:topLinePunct w:val="0"/>
              <w:autoSpaceDE/>
              <w:autoSpaceDN/>
              <w:bidi w:val="0"/>
              <w:adjustRightInd/>
              <w:snapToGrid/>
              <w:spacing w:line="26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75A93B2">
            <w:pPr>
              <w:keepNext w:val="0"/>
              <w:keepLines w:val="0"/>
              <w:pageBreakBefore w:val="0"/>
              <w:widowControl w:val="0"/>
              <w:kinsoku/>
              <w:wordWrap/>
              <w:overflowPunct w:val="0"/>
              <w:topLinePunct w:val="0"/>
              <w:autoSpaceDE/>
              <w:autoSpaceDN/>
              <w:bidi w:val="0"/>
              <w:adjustRightInd/>
              <w:snapToGrid/>
              <w:spacing w:line="26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974B179">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430458B1">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114104D1">
            <w:pPr>
              <w:keepNext w:val="0"/>
              <w:keepLines w:val="0"/>
              <w:pageBreakBefore w:val="0"/>
              <w:widowControl w:val="0"/>
              <w:kinsoku/>
              <w:wordWrap/>
              <w:overflowPunct w:val="0"/>
              <w:topLinePunct w:val="0"/>
              <w:autoSpaceDE/>
              <w:autoSpaceDN/>
              <w:bidi w:val="0"/>
              <w:adjustRightInd/>
              <w:snapToGrid/>
              <w:spacing w:line="26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E1186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3C1C13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F9D0CE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DA4D173">
            <w:pPr>
              <w:keepNext w:val="0"/>
              <w:keepLines w:val="0"/>
              <w:pageBreakBefore w:val="0"/>
              <w:widowControl w:val="0"/>
              <w:kinsoku/>
              <w:wordWrap/>
              <w:overflowPunct w:val="0"/>
              <w:topLinePunct w:val="0"/>
              <w:autoSpaceDE/>
              <w:autoSpaceDN/>
              <w:bidi w:val="0"/>
              <w:adjustRightInd/>
              <w:snapToGrid/>
              <w:spacing w:line="26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C6D9D47">
            <w:pPr>
              <w:keepNext w:val="0"/>
              <w:keepLines w:val="0"/>
              <w:pageBreakBefore w:val="0"/>
              <w:widowControl w:val="0"/>
              <w:kinsoku/>
              <w:wordWrap/>
              <w:overflowPunct w:val="0"/>
              <w:topLinePunct w:val="0"/>
              <w:autoSpaceDE/>
              <w:autoSpaceDN/>
              <w:bidi w:val="0"/>
              <w:adjustRightInd/>
              <w:snapToGrid/>
              <w:spacing w:line="26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3BB7C64">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18446847">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转让的单位和个人未发生生产安全事故的</w:t>
            </w:r>
          </w:p>
        </w:tc>
        <w:tc>
          <w:tcPr>
            <w:tcW w:w="2655" w:type="dxa"/>
            <w:tcBorders>
              <w:tl2br w:val="nil"/>
              <w:tr2bl w:val="nil"/>
            </w:tcBorders>
            <w:shd w:val="clear" w:color="auto" w:fill="auto"/>
            <w:tcMar>
              <w:top w:w="15" w:type="dxa"/>
              <w:left w:w="15" w:type="dxa"/>
              <w:right w:w="15" w:type="dxa"/>
            </w:tcMar>
            <w:vAlign w:val="center"/>
          </w:tcPr>
          <w:p w14:paraId="640A67C9">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没收违法所得，吊销安全生产许可证，处10万元以上30万元以下的罚款。</w:t>
            </w:r>
          </w:p>
        </w:tc>
      </w:tr>
      <w:tr w14:paraId="6A9F0A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D7BDBD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F6CAC2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247B4A1">
            <w:pPr>
              <w:keepNext w:val="0"/>
              <w:keepLines w:val="0"/>
              <w:pageBreakBefore w:val="0"/>
              <w:widowControl w:val="0"/>
              <w:kinsoku/>
              <w:wordWrap/>
              <w:overflowPunct w:val="0"/>
              <w:topLinePunct w:val="0"/>
              <w:autoSpaceDE/>
              <w:autoSpaceDN/>
              <w:bidi w:val="0"/>
              <w:adjustRightInd/>
              <w:snapToGrid/>
              <w:spacing w:line="26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0E3F362">
            <w:pPr>
              <w:keepNext w:val="0"/>
              <w:keepLines w:val="0"/>
              <w:pageBreakBefore w:val="0"/>
              <w:widowControl w:val="0"/>
              <w:kinsoku/>
              <w:wordWrap/>
              <w:overflowPunct w:val="0"/>
              <w:topLinePunct w:val="0"/>
              <w:autoSpaceDE/>
              <w:autoSpaceDN/>
              <w:bidi w:val="0"/>
              <w:adjustRightInd/>
              <w:snapToGrid/>
              <w:spacing w:line="26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FE13AE2">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0AA5704D">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转让的单位和个人发生生产安全事故但没有造成人员死亡的</w:t>
            </w:r>
          </w:p>
        </w:tc>
        <w:tc>
          <w:tcPr>
            <w:tcW w:w="2655" w:type="dxa"/>
            <w:tcBorders>
              <w:tl2br w:val="nil"/>
              <w:tr2bl w:val="nil"/>
            </w:tcBorders>
            <w:shd w:val="clear" w:color="auto" w:fill="auto"/>
            <w:tcMar>
              <w:top w:w="15" w:type="dxa"/>
              <w:left w:w="15" w:type="dxa"/>
              <w:right w:w="15" w:type="dxa"/>
            </w:tcMar>
            <w:vAlign w:val="center"/>
          </w:tcPr>
          <w:p w14:paraId="5DB6DF55">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没收违法所得，吊销安全生产许可证，处30万元以上40万元以下的罚款。</w:t>
            </w:r>
          </w:p>
        </w:tc>
      </w:tr>
      <w:tr w14:paraId="054EA1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B2426B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E48C8A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2F75B0E">
            <w:pPr>
              <w:keepNext w:val="0"/>
              <w:keepLines w:val="0"/>
              <w:pageBreakBefore w:val="0"/>
              <w:widowControl w:val="0"/>
              <w:kinsoku/>
              <w:wordWrap/>
              <w:overflowPunct w:val="0"/>
              <w:topLinePunct w:val="0"/>
              <w:autoSpaceDE/>
              <w:autoSpaceDN/>
              <w:bidi w:val="0"/>
              <w:adjustRightInd/>
              <w:snapToGrid/>
              <w:spacing w:line="26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0D44DDD">
            <w:pPr>
              <w:keepNext w:val="0"/>
              <w:keepLines w:val="0"/>
              <w:pageBreakBefore w:val="0"/>
              <w:widowControl w:val="0"/>
              <w:kinsoku/>
              <w:wordWrap/>
              <w:overflowPunct w:val="0"/>
              <w:topLinePunct w:val="0"/>
              <w:autoSpaceDE/>
              <w:autoSpaceDN/>
              <w:bidi w:val="0"/>
              <w:adjustRightInd/>
              <w:snapToGrid/>
              <w:spacing w:line="26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84022AB">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5F6BFF8A">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转让的单位和个人发生人员死亡生产安全事故的</w:t>
            </w:r>
          </w:p>
        </w:tc>
        <w:tc>
          <w:tcPr>
            <w:tcW w:w="2655" w:type="dxa"/>
            <w:tcBorders>
              <w:tl2br w:val="nil"/>
              <w:tr2bl w:val="nil"/>
            </w:tcBorders>
            <w:shd w:val="clear" w:color="auto" w:fill="auto"/>
            <w:tcMar>
              <w:top w:w="15" w:type="dxa"/>
              <w:left w:w="15" w:type="dxa"/>
              <w:right w:w="15" w:type="dxa"/>
            </w:tcMar>
            <w:vAlign w:val="center"/>
          </w:tcPr>
          <w:p w14:paraId="1728959A">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没收违法所得，吊销安全生产许可证，处40万元以上50万元以下的罚款。</w:t>
            </w:r>
          </w:p>
        </w:tc>
      </w:tr>
      <w:tr w14:paraId="50CD71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6329F55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del w:id="3014" w:author="LV" w:date="2026-07-14T17:09:22Z">
              <w:r>
                <w:rPr>
                  <w:rFonts w:hint="default" w:ascii="仿宋_GB2312" w:hAnsi="宋体" w:eastAsia="仿宋_GB2312" w:cs="仿宋_GB2312"/>
                  <w:kern w:val="0"/>
                  <w:sz w:val="18"/>
                  <w:szCs w:val="18"/>
                  <w:lang w:val="en-US" w:bidi="ar"/>
                </w:rPr>
                <w:delText>19</w:delText>
              </w:r>
            </w:del>
            <w:del w:id="3015" w:author="LV" w:date="2026-07-14T17:09:22Z">
              <w:r>
                <w:rPr>
                  <w:rFonts w:hint="default" w:ascii="仿宋_GB2312" w:hAnsi="宋体" w:eastAsia="仿宋_GB2312" w:cs="仿宋_GB2312"/>
                  <w:kern w:val="0"/>
                  <w:sz w:val="18"/>
                  <w:szCs w:val="18"/>
                  <w:lang w:val="en-US" w:eastAsia="zh-CN" w:bidi="ar"/>
                </w:rPr>
                <w:delText>8</w:delText>
              </w:r>
            </w:del>
            <w:ins w:id="3016" w:author="LV" w:date="2026-07-14T17:09:22Z">
              <w:r>
                <w:rPr>
                  <w:rFonts w:hint="eastAsia" w:ascii="仿宋_GB2312" w:hAnsi="宋体" w:eastAsia="仿宋_GB2312" w:cs="仿宋_GB2312"/>
                  <w:kern w:val="0"/>
                  <w:sz w:val="18"/>
                  <w:szCs w:val="18"/>
                  <w:lang w:val="en-US" w:eastAsia="zh-CN" w:bidi="ar"/>
                </w:rPr>
                <w:t>2</w:t>
              </w:r>
            </w:ins>
            <w:ins w:id="3017" w:author="LV" w:date="2026-07-14T17:09:23Z">
              <w:r>
                <w:rPr>
                  <w:rFonts w:hint="eastAsia" w:ascii="仿宋_GB2312" w:hAnsi="宋体" w:eastAsia="仿宋_GB2312" w:cs="仿宋_GB2312"/>
                  <w:kern w:val="0"/>
                  <w:sz w:val="18"/>
                  <w:szCs w:val="18"/>
                  <w:lang w:val="en-US" w:eastAsia="zh-CN" w:bidi="ar"/>
                </w:rPr>
                <w:t>04</w:t>
              </w:r>
            </w:ins>
          </w:p>
        </w:tc>
        <w:tc>
          <w:tcPr>
            <w:tcW w:w="1005" w:type="dxa"/>
            <w:vMerge w:val="restart"/>
            <w:tcBorders>
              <w:tl2br w:val="nil"/>
              <w:tr2bl w:val="nil"/>
            </w:tcBorders>
            <w:shd w:val="clear" w:color="auto" w:fill="auto"/>
            <w:tcMar>
              <w:top w:w="15" w:type="dxa"/>
              <w:left w:w="15" w:type="dxa"/>
              <w:right w:w="15" w:type="dxa"/>
            </w:tcMar>
            <w:vAlign w:val="center"/>
          </w:tcPr>
          <w:p w14:paraId="2E3CCC3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接受转让安全生产许可证的</w:t>
            </w:r>
          </w:p>
        </w:tc>
        <w:tc>
          <w:tcPr>
            <w:tcW w:w="3667" w:type="dxa"/>
            <w:vMerge w:val="restart"/>
            <w:tcBorders>
              <w:tl2br w:val="nil"/>
              <w:tr2bl w:val="nil"/>
            </w:tcBorders>
            <w:shd w:val="clear" w:color="auto" w:fill="auto"/>
            <w:tcMar>
              <w:top w:w="15" w:type="dxa"/>
              <w:left w:w="15" w:type="dxa"/>
              <w:right w:w="15" w:type="dxa"/>
            </w:tcMar>
            <w:vAlign w:val="center"/>
          </w:tcPr>
          <w:p w14:paraId="6CDB369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《安全生产许可证条例》第十三条</w:t>
            </w:r>
            <w:r>
              <w:rPr>
                <w:rFonts w:hint="eastAsia" w:ascii="仿宋_GB2312" w:hAnsi="宋体" w:eastAsia="仿宋_GB2312" w:cs="仿宋_GB2312"/>
                <w:kern w:val="0"/>
                <w:sz w:val="18"/>
                <w:szCs w:val="18"/>
                <w:lang w:val="en-US" w:eastAsia="zh-CN" w:bidi="ar"/>
              </w:rPr>
              <w:t xml:space="preserve"> </w:t>
            </w:r>
            <w:r>
              <w:rPr>
                <w:rFonts w:hint="eastAsia" w:ascii="仿宋_GB2312" w:hAnsi="宋体" w:eastAsia="仿宋_GB2312" w:cs="仿宋_GB2312"/>
                <w:kern w:val="0"/>
                <w:sz w:val="18"/>
                <w:szCs w:val="18"/>
                <w:lang w:bidi="ar"/>
              </w:rPr>
              <w:t>企业不得转让、冒用安全生产许可证或者使用伪造的安全生产许可证。</w:t>
            </w:r>
          </w:p>
          <w:p w14:paraId="33ACB8B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《煤矿企业安全生产许可证实施办法》第二十六条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煤矿企业不得转让、冒用、买卖、出租、出借或者使用伪造的安全生产许可证。</w:t>
            </w:r>
          </w:p>
        </w:tc>
        <w:tc>
          <w:tcPr>
            <w:tcW w:w="4082" w:type="dxa"/>
            <w:vMerge w:val="restart"/>
            <w:tcBorders>
              <w:tl2br w:val="nil"/>
              <w:tr2bl w:val="nil"/>
            </w:tcBorders>
            <w:shd w:val="clear" w:color="auto" w:fill="auto"/>
            <w:tcMar>
              <w:top w:w="15" w:type="dxa"/>
              <w:left w:w="15" w:type="dxa"/>
              <w:right w:w="15" w:type="dxa"/>
            </w:tcMar>
            <w:vAlign w:val="center"/>
          </w:tcPr>
          <w:p w14:paraId="7AC6D253">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《安全生产许可证条例》</w:t>
            </w:r>
          </w:p>
          <w:p w14:paraId="3CF0DFC6">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第十九条 违反本条例规定，未取得安全生产许可证擅自进行生产的，责令停止生产，没收违法所得，并处10万元以上50万元以下的罚款；造成重大事故或者其</w:t>
            </w:r>
            <w:r>
              <w:rPr>
                <w:rFonts w:ascii="仿宋_GB2312" w:hAnsi="宋体" w:eastAsia="仿宋_GB2312" w:cs="仿宋_GB2312"/>
                <w:kern w:val="0"/>
                <w:sz w:val="18"/>
                <w:szCs w:val="18"/>
                <w:lang w:bidi="ar"/>
              </w:rPr>
              <w:t>他</w:t>
            </w:r>
            <w:r>
              <w:rPr>
                <w:rFonts w:hint="eastAsia" w:ascii="仿宋_GB2312" w:hAnsi="宋体" w:eastAsia="仿宋_GB2312" w:cs="仿宋_GB2312"/>
                <w:kern w:val="0"/>
                <w:sz w:val="18"/>
                <w:szCs w:val="18"/>
                <w:lang w:bidi="ar"/>
              </w:rPr>
              <w:t>严重后果，构成犯罪的，依法追究刑事责任。</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第二十一条 违反本条例规定，转让安全生产许可证的，没收违法所得，处10万元以上50万元以下的罚款，并吊销其安全生产许可证；构成犯罪的，依法追究刑事责任；接受转让的，依照本条例第十九条的规定处罚。冒用安全生产许可证或者使用伪造的安全生产许可证的，依照本条例第十九条的规定处罚。</w:t>
            </w:r>
          </w:p>
          <w:p w14:paraId="5DE1FB78">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《煤矿企业安全生产许可证实施办法》第四十条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发现煤矿企业有下列行为之一的，责令停止生产，没收违法所得，并处10万元以上50万元以下的罚款；构成犯罪的，依法追究刑事责任：（一）未取得安全生产许可证，擅自进行生产的；（二）接受转让的安全生产许可证的；（三）冒用安全生产许可证的；（四）使用伪造安全生产许可证的。</w:t>
            </w:r>
          </w:p>
          <w:p w14:paraId="5EB286A6">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《煤矿企业安全生产许可证实施办法》第三十九条 取得安全生产许可证的煤矿企业，倒卖、出租、出借或者以其他形式非法转让安全生产许可证的，没收违法所得，处10万元以上50万元以下的罚款，吊销其安全生产许可证；构成犯罪的，依法追究刑事责任。</w:t>
            </w:r>
          </w:p>
          <w:p w14:paraId="35DC29F3">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《安全生产违法行为行政处罚办法》第四十九条 生产经营单位转让安全生产许可证的，没收违法所得，吊销安全生产许可证，并按照下列规定处以罚款：（一）接受转让的单位和个人未发生生产安全事故的，处10万元以上30万元以下的罚款；（二）接受转让的单位和个人发生生产安全事故但没有造成人员死亡的，处30万元以上40万元以下的罚</w:t>
            </w:r>
          </w:p>
          <w:p w14:paraId="21732A62">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款；（三）接受转让的单位和个人发生人员死亡生产安全事故的，处40万元以上50万元以下的罚款。</w:t>
            </w:r>
          </w:p>
        </w:tc>
        <w:tc>
          <w:tcPr>
            <w:tcW w:w="459" w:type="dxa"/>
            <w:tcBorders>
              <w:tl2br w:val="nil"/>
              <w:tr2bl w:val="nil"/>
            </w:tcBorders>
            <w:shd w:val="clear" w:color="auto" w:fill="auto"/>
            <w:noWrap/>
            <w:tcMar>
              <w:top w:w="15" w:type="dxa"/>
              <w:left w:w="15" w:type="dxa"/>
              <w:right w:w="15" w:type="dxa"/>
            </w:tcMar>
            <w:vAlign w:val="center"/>
          </w:tcPr>
          <w:p w14:paraId="795D897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1F74903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6F8D96E">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82EF7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7350DD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5EA8A7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E8079D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FDE27C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7585B1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75EC20A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2D6F5D5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510FA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EDB656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A9EEA4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229F72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74E846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E42C97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13B04CE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D0712C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25128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7803DE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E0615B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2A52D4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0188C6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EB86D3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4EA246C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接受转让的单位和个人未发生生产安全事故的。</w:t>
            </w:r>
          </w:p>
        </w:tc>
        <w:tc>
          <w:tcPr>
            <w:tcW w:w="2655" w:type="dxa"/>
            <w:tcBorders>
              <w:tl2br w:val="nil"/>
              <w:tr2bl w:val="nil"/>
            </w:tcBorders>
            <w:shd w:val="clear" w:color="auto" w:fill="auto"/>
            <w:tcMar>
              <w:top w:w="15" w:type="dxa"/>
              <w:left w:w="15" w:type="dxa"/>
              <w:right w:w="15" w:type="dxa"/>
            </w:tcMar>
            <w:vAlign w:val="center"/>
          </w:tcPr>
          <w:p w14:paraId="3DB3DAF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没收违法所得，吊销安全生产许可证，并处10万元以上30万元以下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7B4C7C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1E71C4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C1E672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55669F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A03234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92E6A3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59836C3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接受转让的单位和个人发生生产安全事故但没有造成人员死亡的。</w:t>
            </w:r>
          </w:p>
        </w:tc>
        <w:tc>
          <w:tcPr>
            <w:tcW w:w="2655" w:type="dxa"/>
            <w:tcBorders>
              <w:tl2br w:val="nil"/>
              <w:tr2bl w:val="nil"/>
            </w:tcBorders>
            <w:shd w:val="clear" w:color="auto" w:fill="auto"/>
            <w:tcMar>
              <w:top w:w="15" w:type="dxa"/>
              <w:left w:w="15" w:type="dxa"/>
              <w:right w:w="15" w:type="dxa"/>
            </w:tcMar>
            <w:vAlign w:val="center"/>
          </w:tcPr>
          <w:p w14:paraId="174E01C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没收违法所得，吊销安全生产许可证，并处30万元以上40万元以下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595254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E3C990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625CEA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2B0CAF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F268AB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EF5B99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65784CF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接受转让的单位和个人发生人员死亡生产安全事故的。</w:t>
            </w:r>
          </w:p>
        </w:tc>
        <w:tc>
          <w:tcPr>
            <w:tcW w:w="2655" w:type="dxa"/>
            <w:tcBorders>
              <w:tl2br w:val="nil"/>
              <w:tr2bl w:val="nil"/>
            </w:tcBorders>
            <w:shd w:val="clear" w:color="auto" w:fill="auto"/>
            <w:tcMar>
              <w:top w:w="15" w:type="dxa"/>
              <w:left w:w="15" w:type="dxa"/>
              <w:right w:w="15" w:type="dxa"/>
            </w:tcMar>
            <w:vAlign w:val="center"/>
          </w:tcPr>
          <w:p w14:paraId="2A87421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没收违法所得，吊销安全生产许可证，并处40万元以上50万元以下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3A3FA0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0C16CFE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del w:id="3018" w:author="LV" w:date="2026-07-14T17:09:26Z">
              <w:r>
                <w:rPr>
                  <w:rFonts w:hint="default" w:ascii="仿宋_GB2312" w:hAnsi="宋体" w:eastAsia="仿宋_GB2312" w:cs="仿宋_GB2312"/>
                  <w:kern w:val="0"/>
                  <w:sz w:val="18"/>
                  <w:szCs w:val="18"/>
                  <w:lang w:val="en-US" w:bidi="ar"/>
                </w:rPr>
                <w:delText>19</w:delText>
              </w:r>
            </w:del>
            <w:del w:id="3019" w:author="LV" w:date="2026-07-14T17:09:26Z">
              <w:r>
                <w:rPr>
                  <w:rFonts w:hint="default" w:ascii="仿宋_GB2312" w:hAnsi="宋体" w:eastAsia="仿宋_GB2312" w:cs="仿宋_GB2312"/>
                  <w:kern w:val="0"/>
                  <w:sz w:val="18"/>
                  <w:szCs w:val="18"/>
                  <w:lang w:val="en-US" w:eastAsia="zh-CN" w:bidi="ar"/>
                </w:rPr>
                <w:delText>9</w:delText>
              </w:r>
            </w:del>
            <w:ins w:id="3020" w:author="LV" w:date="2026-07-14T17:09:26Z">
              <w:r>
                <w:rPr>
                  <w:rFonts w:hint="eastAsia" w:ascii="仿宋_GB2312" w:hAnsi="宋体" w:eastAsia="仿宋_GB2312" w:cs="仿宋_GB2312"/>
                  <w:kern w:val="0"/>
                  <w:sz w:val="18"/>
                  <w:szCs w:val="18"/>
                  <w:lang w:val="en-US" w:eastAsia="zh-CN" w:bidi="ar"/>
                </w:rPr>
                <w:t>2</w:t>
              </w:r>
            </w:ins>
            <w:ins w:id="3021" w:author="LV" w:date="2026-07-14T17:09:27Z">
              <w:r>
                <w:rPr>
                  <w:rFonts w:hint="eastAsia" w:ascii="仿宋_GB2312" w:hAnsi="宋体" w:eastAsia="仿宋_GB2312" w:cs="仿宋_GB2312"/>
                  <w:kern w:val="0"/>
                  <w:sz w:val="18"/>
                  <w:szCs w:val="18"/>
                  <w:lang w:val="en-US" w:eastAsia="zh-CN" w:bidi="ar"/>
                </w:rPr>
                <w:t>05</w:t>
              </w:r>
            </w:ins>
          </w:p>
        </w:tc>
        <w:tc>
          <w:tcPr>
            <w:tcW w:w="1005" w:type="dxa"/>
            <w:vMerge w:val="restart"/>
            <w:tcBorders>
              <w:tl2br w:val="nil"/>
              <w:tr2bl w:val="nil"/>
            </w:tcBorders>
            <w:shd w:val="clear" w:color="auto" w:fill="auto"/>
            <w:tcMar>
              <w:top w:w="15" w:type="dxa"/>
              <w:left w:w="15" w:type="dxa"/>
              <w:right w:w="15" w:type="dxa"/>
            </w:tcMar>
            <w:vAlign w:val="center"/>
          </w:tcPr>
          <w:p w14:paraId="1CA55EF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冒用安全生产许可证的</w:t>
            </w:r>
          </w:p>
        </w:tc>
        <w:tc>
          <w:tcPr>
            <w:tcW w:w="3667" w:type="dxa"/>
            <w:vMerge w:val="restart"/>
            <w:tcBorders>
              <w:tl2br w:val="nil"/>
              <w:tr2bl w:val="nil"/>
            </w:tcBorders>
            <w:shd w:val="clear" w:color="auto" w:fill="auto"/>
            <w:tcMar>
              <w:top w:w="15" w:type="dxa"/>
              <w:left w:w="15" w:type="dxa"/>
              <w:right w:w="15" w:type="dxa"/>
            </w:tcMar>
            <w:vAlign w:val="center"/>
          </w:tcPr>
          <w:p w14:paraId="62B92B2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《安全生产许可证条例》第十三条 企业不得转让、冒用安全生产许可证或者使用伪造的安全生产许可证。</w:t>
            </w:r>
          </w:p>
          <w:p w14:paraId="4C18E21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《煤矿安全生产条例》第十七条第煤矿企业进行生产，应当依照《安全生产许可证条例》的规定取得安全生产许可证。未取得安全生产许可证的，不得生产。</w:t>
            </w:r>
          </w:p>
        </w:tc>
        <w:tc>
          <w:tcPr>
            <w:tcW w:w="4082" w:type="dxa"/>
            <w:vMerge w:val="restart"/>
            <w:tcBorders>
              <w:tl2br w:val="nil"/>
              <w:tr2bl w:val="nil"/>
            </w:tcBorders>
            <w:shd w:val="clear" w:color="auto" w:fill="auto"/>
            <w:tcMar>
              <w:top w:w="15" w:type="dxa"/>
              <w:left w:w="15" w:type="dxa"/>
              <w:right w:w="15" w:type="dxa"/>
            </w:tcMar>
            <w:vAlign w:val="center"/>
          </w:tcPr>
          <w:p w14:paraId="757FA3A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val="en-US" w:eastAsia="zh-CN" w:bidi="ar"/>
              </w:rPr>
              <w:t>《煤矿安全生产条例》第六十一条第一款  未依法取得安全生产许可证等擅自进行煤矿生产的，应当责令立即停止生产，没收违法所得和开采出的煤炭以及采掘设备；违法所得在10万元以上的，并处违法所得2倍以上 5倍以下的罚款；没有违法所得或者违法所得不足10万元的，并处10万元以上20万元以下的罚款。</w:t>
            </w:r>
          </w:p>
        </w:tc>
        <w:tc>
          <w:tcPr>
            <w:tcW w:w="459" w:type="dxa"/>
            <w:tcBorders>
              <w:tl2br w:val="nil"/>
              <w:tr2bl w:val="nil"/>
            </w:tcBorders>
            <w:shd w:val="clear" w:color="auto" w:fill="auto"/>
            <w:noWrap/>
            <w:tcMar>
              <w:top w:w="15" w:type="dxa"/>
              <w:left w:w="15" w:type="dxa"/>
              <w:right w:w="15" w:type="dxa"/>
            </w:tcMar>
            <w:vAlign w:val="center"/>
          </w:tcPr>
          <w:p w14:paraId="52AC651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05C3541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1E79B5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377D8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9F4B7A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8D5F8F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7EF094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E7827C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AEE8AC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312C777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7B1AAF6F">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7965F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EF73DC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A48741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1B87ED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5E2FE8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0CB654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602526B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82B19A4">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6844B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B23401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AB52E0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D2F900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7D53B0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26FDEA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10CEEAD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没有违法所得或违法所得不足10万元的</w:t>
            </w:r>
          </w:p>
        </w:tc>
        <w:tc>
          <w:tcPr>
            <w:tcW w:w="2655" w:type="dxa"/>
            <w:tcBorders>
              <w:tl2br w:val="nil"/>
              <w:tr2bl w:val="nil"/>
            </w:tcBorders>
            <w:shd w:val="clear" w:color="auto" w:fill="auto"/>
            <w:tcMar>
              <w:top w:w="15" w:type="dxa"/>
              <w:left w:w="15" w:type="dxa"/>
              <w:right w:w="15" w:type="dxa"/>
            </w:tcMar>
            <w:vAlign w:val="center"/>
          </w:tcPr>
          <w:p w14:paraId="5D473A9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没收违法所得和开采出的煤炭以及采掘设备，处10万元以上20万元以下罚款；</w:t>
            </w:r>
          </w:p>
        </w:tc>
      </w:tr>
      <w:tr w14:paraId="00A6E3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A3BD4B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34E1FB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55794B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2EE66B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F9D8AF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7F1FF31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违法所得在10万元以上100万元以下的</w:t>
            </w:r>
          </w:p>
        </w:tc>
        <w:tc>
          <w:tcPr>
            <w:tcW w:w="2655" w:type="dxa"/>
            <w:tcBorders>
              <w:tl2br w:val="nil"/>
              <w:tr2bl w:val="nil"/>
            </w:tcBorders>
            <w:shd w:val="clear" w:color="auto" w:fill="auto"/>
            <w:tcMar>
              <w:top w:w="15" w:type="dxa"/>
              <w:left w:w="15" w:type="dxa"/>
              <w:right w:w="15" w:type="dxa"/>
            </w:tcMar>
            <w:vAlign w:val="center"/>
          </w:tcPr>
          <w:p w14:paraId="1E3F3E2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没收违法所得和开采出的煤炭以及采掘设备，处违法所得2倍以上4倍以下罚款；</w:t>
            </w:r>
          </w:p>
        </w:tc>
      </w:tr>
      <w:tr w14:paraId="771679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DF84A4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55B740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FC9EA1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19FCC7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441766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417F475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违法所得在100万元以上的</w:t>
            </w:r>
          </w:p>
        </w:tc>
        <w:tc>
          <w:tcPr>
            <w:tcW w:w="2655" w:type="dxa"/>
            <w:tcBorders>
              <w:tl2br w:val="nil"/>
              <w:tr2bl w:val="nil"/>
            </w:tcBorders>
            <w:shd w:val="clear" w:color="auto" w:fill="auto"/>
            <w:tcMar>
              <w:top w:w="15" w:type="dxa"/>
              <w:left w:w="15" w:type="dxa"/>
              <w:right w:w="15" w:type="dxa"/>
            </w:tcMar>
            <w:vAlign w:val="center"/>
          </w:tcPr>
          <w:p w14:paraId="1E2F928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没收违法所得和开采出的煤炭以及采掘设备，处违法所得4倍以上5倍以下罚款。</w:t>
            </w:r>
          </w:p>
        </w:tc>
      </w:tr>
      <w:tr w14:paraId="788DB1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62B045E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val="en-US" w:eastAsia="zh-CN" w:bidi="ar"/>
              </w:rPr>
              <w:t>20</w:t>
            </w:r>
            <w:del w:id="3022" w:author="LV" w:date="2026-07-14T17:09:36Z">
              <w:r>
                <w:rPr>
                  <w:rFonts w:hint="default" w:ascii="仿宋_GB2312" w:hAnsi="宋体" w:eastAsia="仿宋_GB2312" w:cs="仿宋_GB2312"/>
                  <w:kern w:val="0"/>
                  <w:sz w:val="18"/>
                  <w:szCs w:val="18"/>
                  <w:lang w:val="en-US" w:eastAsia="zh-CN" w:bidi="ar"/>
                </w:rPr>
                <w:delText>0</w:delText>
              </w:r>
            </w:del>
            <w:ins w:id="3023" w:author="LV" w:date="2026-07-14T17:09:36Z">
              <w:r>
                <w:rPr>
                  <w:rFonts w:hint="eastAsia" w:ascii="仿宋_GB2312" w:hAnsi="宋体" w:eastAsia="仿宋_GB2312" w:cs="仿宋_GB2312"/>
                  <w:kern w:val="0"/>
                  <w:sz w:val="18"/>
                  <w:szCs w:val="18"/>
                  <w:lang w:val="en-US" w:eastAsia="zh-CN" w:bidi="ar"/>
                </w:rPr>
                <w:t>6</w:t>
              </w:r>
            </w:ins>
          </w:p>
        </w:tc>
        <w:tc>
          <w:tcPr>
            <w:tcW w:w="1005" w:type="dxa"/>
            <w:vMerge w:val="restart"/>
            <w:tcBorders>
              <w:tl2br w:val="nil"/>
              <w:tr2bl w:val="nil"/>
            </w:tcBorders>
            <w:shd w:val="clear" w:color="auto" w:fill="auto"/>
            <w:tcMar>
              <w:top w:w="15" w:type="dxa"/>
              <w:left w:w="15" w:type="dxa"/>
              <w:right w:w="15" w:type="dxa"/>
            </w:tcMar>
            <w:vAlign w:val="center"/>
          </w:tcPr>
          <w:p w14:paraId="03E2B28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使用伪造安全生产许可证的</w:t>
            </w:r>
          </w:p>
        </w:tc>
        <w:tc>
          <w:tcPr>
            <w:tcW w:w="3667" w:type="dxa"/>
            <w:vMerge w:val="restart"/>
            <w:tcBorders>
              <w:tl2br w:val="nil"/>
              <w:tr2bl w:val="nil"/>
            </w:tcBorders>
            <w:shd w:val="clear" w:color="auto" w:fill="auto"/>
            <w:tcMar>
              <w:top w:w="15" w:type="dxa"/>
              <w:left w:w="15" w:type="dxa"/>
              <w:right w:w="15" w:type="dxa"/>
            </w:tcMar>
            <w:vAlign w:val="center"/>
          </w:tcPr>
          <w:p w14:paraId="350B9FA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《安全生产许可证条例》第十三条 企业不得转让、冒用安全生产许可证或者使用伪造的安全生产许可证。</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《煤矿安全生产条例》第十七条第煤矿企业进行生产，应当依照《安全生产许可证条例》的规定取得安全生产许可证。未取得安全生产许可证的，不得生产。</w:t>
            </w:r>
          </w:p>
        </w:tc>
        <w:tc>
          <w:tcPr>
            <w:tcW w:w="4082" w:type="dxa"/>
            <w:vMerge w:val="restart"/>
            <w:tcBorders>
              <w:tl2br w:val="nil"/>
              <w:tr2bl w:val="nil"/>
            </w:tcBorders>
            <w:shd w:val="clear" w:color="auto" w:fill="auto"/>
            <w:tcMar>
              <w:top w:w="15" w:type="dxa"/>
              <w:left w:w="15" w:type="dxa"/>
              <w:right w:w="15" w:type="dxa"/>
            </w:tcMar>
            <w:vAlign w:val="center"/>
          </w:tcPr>
          <w:p w14:paraId="1E3AB05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《煤矿安全生产条例》第六十一条第一款  未依法取得安全生产许可证等擅自进行煤矿生产的，应当责令立即停止生产，没收违法所得和开采出的煤炭以及采掘设备；违法所得在10万元以上的，并处违法所得2倍以上5倍以下的罚款；没有违法所得或者违法所得不足10万元的，并处10万元以上20万元以下的罚款。</w:t>
            </w:r>
          </w:p>
        </w:tc>
        <w:tc>
          <w:tcPr>
            <w:tcW w:w="459" w:type="dxa"/>
            <w:tcBorders>
              <w:tl2br w:val="nil"/>
              <w:tr2bl w:val="nil"/>
            </w:tcBorders>
            <w:shd w:val="clear" w:color="auto" w:fill="auto"/>
            <w:noWrap/>
            <w:tcMar>
              <w:top w:w="15" w:type="dxa"/>
              <w:left w:w="15" w:type="dxa"/>
              <w:right w:w="15" w:type="dxa"/>
            </w:tcMar>
            <w:vAlign w:val="center"/>
          </w:tcPr>
          <w:p w14:paraId="06F2C9B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79F2A81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2F7E9B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79FDC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600C57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2ACA56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0EE24D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43A3DB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4F5A4D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3739A38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6197409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FFAAF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3F1CAC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FEEBD2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D52FE5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6A23E6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7EA321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02B1272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8E7E6E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E2605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ABC804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BDFD83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B18816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A75242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A8F81D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1D77DA5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没有违法所得或违法所得不足10万元的</w:t>
            </w:r>
          </w:p>
        </w:tc>
        <w:tc>
          <w:tcPr>
            <w:tcW w:w="2655" w:type="dxa"/>
            <w:tcBorders>
              <w:tl2br w:val="nil"/>
              <w:tr2bl w:val="nil"/>
            </w:tcBorders>
            <w:shd w:val="clear" w:color="auto" w:fill="auto"/>
            <w:tcMar>
              <w:top w:w="15" w:type="dxa"/>
              <w:left w:w="15" w:type="dxa"/>
              <w:right w:w="15" w:type="dxa"/>
            </w:tcMar>
            <w:vAlign w:val="center"/>
          </w:tcPr>
          <w:p w14:paraId="0249D53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没收违法所得和开采出的煤炭以及采掘设备，处10万元以上20万元以下罚款；</w:t>
            </w:r>
          </w:p>
        </w:tc>
      </w:tr>
      <w:tr w14:paraId="7091FA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349D98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D36356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50FFF4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D74792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71C6DE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4521EB3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违法所得在10万元以上100万元以下的</w:t>
            </w:r>
          </w:p>
        </w:tc>
        <w:tc>
          <w:tcPr>
            <w:tcW w:w="2655" w:type="dxa"/>
            <w:tcBorders>
              <w:tl2br w:val="nil"/>
              <w:tr2bl w:val="nil"/>
            </w:tcBorders>
            <w:shd w:val="clear" w:color="auto" w:fill="auto"/>
            <w:tcMar>
              <w:top w:w="15" w:type="dxa"/>
              <w:left w:w="15" w:type="dxa"/>
              <w:right w:w="15" w:type="dxa"/>
            </w:tcMar>
            <w:vAlign w:val="center"/>
          </w:tcPr>
          <w:p w14:paraId="4BE4C53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没收违法所得和开采出的煤炭以及采掘设备，处违法所得2倍以上4倍以下罚款；</w:t>
            </w:r>
          </w:p>
        </w:tc>
      </w:tr>
      <w:tr w14:paraId="6C47B1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78224F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DECD4D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087E84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4557A8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78CE95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6398C3C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违法所得在100万元以上的</w:t>
            </w:r>
          </w:p>
        </w:tc>
        <w:tc>
          <w:tcPr>
            <w:tcW w:w="2655" w:type="dxa"/>
            <w:tcBorders>
              <w:tl2br w:val="nil"/>
              <w:tr2bl w:val="nil"/>
            </w:tcBorders>
            <w:shd w:val="clear" w:color="auto" w:fill="auto"/>
            <w:tcMar>
              <w:top w:w="15" w:type="dxa"/>
              <w:left w:w="15" w:type="dxa"/>
              <w:right w:w="15" w:type="dxa"/>
            </w:tcMar>
            <w:vAlign w:val="center"/>
          </w:tcPr>
          <w:p w14:paraId="380C75D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没收违法所得和开采出的煤炭以及采掘设备，处违法所得4倍以上5倍以下罚款。</w:t>
            </w:r>
          </w:p>
        </w:tc>
      </w:tr>
      <w:tr w14:paraId="0C350F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0FBAEC6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kern w:val="0"/>
                <w:sz w:val="18"/>
                <w:szCs w:val="18"/>
                <w:highlight w:val="none"/>
                <w:lang w:val="en-US" w:eastAsia="zh-CN" w:bidi="ar"/>
              </w:rPr>
            </w:pPr>
            <w:r>
              <w:rPr>
                <w:rFonts w:hint="eastAsia" w:ascii="仿宋_GB2312" w:hAnsi="宋体" w:eastAsia="仿宋_GB2312" w:cs="仿宋_GB2312"/>
                <w:kern w:val="0"/>
                <w:sz w:val="18"/>
                <w:szCs w:val="18"/>
                <w:highlight w:val="none"/>
                <w:lang w:val="en-US" w:eastAsia="zh-CN" w:bidi="ar"/>
              </w:rPr>
              <w:t>20</w:t>
            </w:r>
            <w:del w:id="3024" w:author="LV" w:date="2026-07-14T17:09:40Z">
              <w:r>
                <w:rPr>
                  <w:rFonts w:hint="default" w:ascii="仿宋_GB2312" w:hAnsi="宋体" w:eastAsia="仿宋_GB2312" w:cs="仿宋_GB2312"/>
                  <w:kern w:val="0"/>
                  <w:sz w:val="18"/>
                  <w:szCs w:val="18"/>
                  <w:highlight w:val="none"/>
                  <w:lang w:val="en-US" w:eastAsia="zh-CN" w:bidi="ar"/>
                </w:rPr>
                <w:delText>1</w:delText>
              </w:r>
            </w:del>
            <w:ins w:id="3025" w:author="LV" w:date="2026-07-14T17:09:40Z">
              <w:r>
                <w:rPr>
                  <w:rFonts w:hint="eastAsia" w:ascii="仿宋_GB2312" w:hAnsi="宋体" w:eastAsia="仿宋_GB2312" w:cs="仿宋_GB2312"/>
                  <w:kern w:val="0"/>
                  <w:sz w:val="18"/>
                  <w:szCs w:val="18"/>
                  <w:highlight w:val="none"/>
                  <w:lang w:val="en-US" w:eastAsia="zh-CN" w:bidi="ar"/>
                </w:rPr>
                <w:t>7</w:t>
              </w:r>
            </w:ins>
          </w:p>
        </w:tc>
        <w:tc>
          <w:tcPr>
            <w:tcW w:w="1005" w:type="dxa"/>
            <w:vMerge w:val="restart"/>
            <w:tcBorders>
              <w:tl2br w:val="nil"/>
              <w:tr2bl w:val="nil"/>
            </w:tcBorders>
            <w:shd w:val="clear" w:color="auto" w:fill="auto"/>
            <w:tcMar>
              <w:top w:w="15" w:type="dxa"/>
              <w:left w:w="15" w:type="dxa"/>
              <w:right w:w="15" w:type="dxa"/>
            </w:tcMar>
            <w:vAlign w:val="center"/>
          </w:tcPr>
          <w:p w14:paraId="70391B9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default" w:ascii="仿宋_GB2312" w:hAnsi="宋体" w:eastAsia="仿宋_GB2312" w:cs="仿宋_GB2312"/>
                <w:kern w:val="0"/>
                <w:sz w:val="18"/>
                <w:szCs w:val="18"/>
                <w:highlight w:val="none"/>
                <w:lang w:val="en-US" w:eastAsia="zh-CN" w:bidi="ar"/>
              </w:rPr>
            </w:pPr>
            <w:r>
              <w:rPr>
                <w:rFonts w:hint="eastAsia" w:ascii="仿宋_GB2312" w:hAnsi="宋体" w:eastAsia="仿宋_GB2312" w:cs="仿宋_GB2312"/>
                <w:kern w:val="0"/>
                <w:sz w:val="18"/>
                <w:szCs w:val="18"/>
                <w:highlight w:val="none"/>
                <w:lang w:bidi="ar"/>
              </w:rPr>
              <w:t>承担安全评价、认证、检测、检验职责的机构违法更改或者简化安全评价、认证、检测、检验程序和内容</w:t>
            </w:r>
            <w:r>
              <w:rPr>
                <w:rFonts w:hint="eastAsia" w:ascii="仿宋_GB2312" w:hAnsi="宋体" w:eastAsia="仿宋_GB2312" w:cs="仿宋_GB2312"/>
                <w:kern w:val="0"/>
                <w:sz w:val="18"/>
                <w:szCs w:val="18"/>
                <w:highlight w:val="none"/>
                <w:lang w:val="en-US" w:eastAsia="zh-CN" w:bidi="ar"/>
              </w:rPr>
              <w:t xml:space="preserve">的 </w:t>
            </w:r>
          </w:p>
        </w:tc>
        <w:tc>
          <w:tcPr>
            <w:tcW w:w="3667" w:type="dxa"/>
            <w:vMerge w:val="restart"/>
            <w:tcBorders>
              <w:tl2br w:val="nil"/>
              <w:tr2bl w:val="nil"/>
            </w:tcBorders>
            <w:shd w:val="clear" w:color="auto" w:fill="auto"/>
            <w:tcMar>
              <w:top w:w="15" w:type="dxa"/>
              <w:left w:w="15" w:type="dxa"/>
              <w:right w:w="15" w:type="dxa"/>
            </w:tcMar>
            <w:vAlign w:val="center"/>
          </w:tcPr>
          <w:p w14:paraId="5A2F025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《山东省安全生产条例》第三十六条 承担安全评价、认证、检测、检验职责的机构应当具备国家规定的资质条件，建立并实施服务公开和报告公开制度，严格遵守相关标准和规范开展执业活动，出具安全评价、认证、检测、检验结论应当客观公正，并不得有下列行为：（一）违法更改或者简化安全评价、认证、检测、检验程序和内容；</w:t>
            </w:r>
          </w:p>
          <w:p w14:paraId="37E79A0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《安全评价检测检验机构管理办法》第二十二条第一款</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安全评价检测检验机构及其从业人员不得有下列行为：（六）违反有关法规标准规定，更改或者简化安全评价、检测检验程序和相关内容的；</w:t>
            </w:r>
          </w:p>
        </w:tc>
        <w:tc>
          <w:tcPr>
            <w:tcW w:w="4082" w:type="dxa"/>
            <w:vMerge w:val="restart"/>
            <w:tcBorders>
              <w:tl2br w:val="nil"/>
              <w:tr2bl w:val="nil"/>
            </w:tcBorders>
            <w:shd w:val="clear" w:color="auto" w:fill="auto"/>
            <w:tcMar>
              <w:top w:w="15" w:type="dxa"/>
              <w:left w:w="15" w:type="dxa"/>
              <w:right w:w="15" w:type="dxa"/>
            </w:tcMar>
            <w:vAlign w:val="center"/>
          </w:tcPr>
          <w:p w14:paraId="2FE1511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《山东省安全生产条例》第七十八条 违反本条例规定，承担安全评价、认证、检测、检验职责的机构违法更改或者简化安全评价、认证、检测、检验程序和内容，或者转让、转包承接的服务项目的，没收违法所得，并处违法所得一倍以上三倍以下的罚款；没有违法所得的，处三万元以上十万元以下的罚款；对直接负责的主管人员和其他直接责任人员处二万元以上五万元以下的罚款。</w:t>
            </w:r>
          </w:p>
          <w:p w14:paraId="2A150A6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《安全评价检测检验机构管理办法》第三十条 安全评价检测检验机构有下列情形之一的，责令改正或者责令限期改正，给予警告，可以并处一万元以下的罚款；逾期未改正的，处一万元以上三万元以下的罚款，对相关责任人处一千元以上五千元以下的罚款；情节严重的，处一万元以上三万元以下的罚款，对相关责任人处五千元以上一万元以下的罚款：（二）违反法规标准规定更改或者简化安全评价、检测检验程序和相关内容的；</w:t>
            </w:r>
          </w:p>
        </w:tc>
        <w:tc>
          <w:tcPr>
            <w:tcW w:w="459" w:type="dxa"/>
            <w:tcBorders>
              <w:bottom w:val="single" w:color="auto" w:sz="4" w:space="0"/>
              <w:tl2br w:val="nil"/>
              <w:tr2bl w:val="nil"/>
            </w:tcBorders>
            <w:shd w:val="clear" w:color="auto" w:fill="auto"/>
            <w:noWrap/>
            <w:tcMar>
              <w:top w:w="15" w:type="dxa"/>
              <w:left w:w="15" w:type="dxa"/>
              <w:right w:w="15" w:type="dxa"/>
            </w:tcMar>
            <w:vAlign w:val="center"/>
          </w:tcPr>
          <w:p w14:paraId="571E414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不予处罚</w:t>
            </w:r>
          </w:p>
        </w:tc>
        <w:tc>
          <w:tcPr>
            <w:tcW w:w="1829" w:type="dxa"/>
            <w:tcBorders>
              <w:bottom w:val="single" w:color="auto" w:sz="4" w:space="0"/>
              <w:tl2br w:val="nil"/>
              <w:tr2bl w:val="nil"/>
            </w:tcBorders>
            <w:shd w:val="clear" w:color="auto" w:fill="auto"/>
            <w:tcMar>
              <w:top w:w="15" w:type="dxa"/>
              <w:left w:w="15" w:type="dxa"/>
              <w:right w:w="15" w:type="dxa"/>
            </w:tcMar>
            <w:vAlign w:val="center"/>
          </w:tcPr>
          <w:p w14:paraId="6725547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655" w:type="dxa"/>
            <w:tcBorders>
              <w:bottom w:val="single" w:color="auto" w:sz="4" w:space="0"/>
              <w:tl2br w:val="nil"/>
              <w:tr2bl w:val="nil"/>
            </w:tcBorders>
            <w:shd w:val="clear" w:color="auto" w:fill="auto"/>
            <w:tcMar>
              <w:top w:w="15" w:type="dxa"/>
              <w:left w:w="15" w:type="dxa"/>
              <w:right w:w="15" w:type="dxa"/>
            </w:tcMar>
            <w:vAlign w:val="center"/>
          </w:tcPr>
          <w:p w14:paraId="4FBDAB8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3029FB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9B5BCD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5" w:type="dxa"/>
            <w:vMerge w:val="continue"/>
            <w:tcBorders>
              <w:tl2br w:val="nil"/>
              <w:tr2bl w:val="nil"/>
            </w:tcBorders>
            <w:shd w:val="clear" w:color="auto" w:fill="auto"/>
            <w:tcMar>
              <w:top w:w="15" w:type="dxa"/>
              <w:left w:w="15" w:type="dxa"/>
              <w:right w:w="15" w:type="dxa"/>
            </w:tcMar>
            <w:vAlign w:val="center"/>
          </w:tcPr>
          <w:p w14:paraId="4AAE54F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3667" w:type="dxa"/>
            <w:vMerge w:val="continue"/>
            <w:tcBorders>
              <w:tl2br w:val="nil"/>
              <w:tr2bl w:val="nil"/>
            </w:tcBorders>
            <w:shd w:val="clear" w:color="auto" w:fill="auto"/>
            <w:tcMar>
              <w:top w:w="15" w:type="dxa"/>
              <w:left w:w="15" w:type="dxa"/>
              <w:right w:w="15" w:type="dxa"/>
            </w:tcMar>
            <w:vAlign w:val="center"/>
          </w:tcPr>
          <w:p w14:paraId="70D224B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2" w:type="dxa"/>
            <w:vMerge w:val="continue"/>
            <w:tcBorders>
              <w:tl2br w:val="nil"/>
              <w:tr2bl w:val="nil"/>
            </w:tcBorders>
            <w:shd w:val="clear" w:color="auto" w:fill="auto"/>
            <w:tcMar>
              <w:top w:w="15" w:type="dxa"/>
              <w:left w:w="15" w:type="dxa"/>
              <w:right w:w="15" w:type="dxa"/>
            </w:tcMar>
            <w:vAlign w:val="center"/>
          </w:tcPr>
          <w:p w14:paraId="210EEC4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59"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34A800F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免于处罚</w:t>
            </w:r>
          </w:p>
        </w:tc>
        <w:tc>
          <w:tcPr>
            <w:tcW w:w="1829"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0E04EBA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不适用</w:t>
            </w:r>
          </w:p>
        </w:tc>
        <w:tc>
          <w:tcPr>
            <w:tcW w:w="2655"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15B9609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1DEF6A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BE498A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5" w:type="dxa"/>
            <w:vMerge w:val="continue"/>
            <w:tcBorders>
              <w:tl2br w:val="nil"/>
              <w:tr2bl w:val="nil"/>
            </w:tcBorders>
            <w:shd w:val="clear" w:color="auto" w:fill="auto"/>
            <w:tcMar>
              <w:top w:w="15" w:type="dxa"/>
              <w:left w:w="15" w:type="dxa"/>
              <w:right w:w="15" w:type="dxa"/>
            </w:tcMar>
            <w:vAlign w:val="center"/>
          </w:tcPr>
          <w:p w14:paraId="6BAE67D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3667" w:type="dxa"/>
            <w:vMerge w:val="continue"/>
            <w:tcBorders>
              <w:tl2br w:val="nil"/>
              <w:tr2bl w:val="nil"/>
            </w:tcBorders>
            <w:shd w:val="clear" w:color="auto" w:fill="auto"/>
            <w:tcMar>
              <w:top w:w="15" w:type="dxa"/>
              <w:left w:w="15" w:type="dxa"/>
              <w:right w:w="15" w:type="dxa"/>
            </w:tcMar>
            <w:vAlign w:val="center"/>
          </w:tcPr>
          <w:p w14:paraId="2D261A1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2" w:type="dxa"/>
            <w:vMerge w:val="continue"/>
            <w:tcBorders>
              <w:tl2br w:val="nil"/>
              <w:tr2bl w:val="nil"/>
            </w:tcBorders>
            <w:shd w:val="clear" w:color="auto" w:fill="auto"/>
            <w:tcMar>
              <w:top w:w="15" w:type="dxa"/>
              <w:left w:w="15" w:type="dxa"/>
              <w:right w:w="15" w:type="dxa"/>
            </w:tcMar>
            <w:vAlign w:val="center"/>
          </w:tcPr>
          <w:p w14:paraId="77CC810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59"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134B7B1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减轻处罚</w:t>
            </w:r>
          </w:p>
        </w:tc>
        <w:tc>
          <w:tcPr>
            <w:tcW w:w="1829"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752166A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655"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1FAAB79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7C95EE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3E19C9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5" w:type="dxa"/>
            <w:vMerge w:val="continue"/>
            <w:tcBorders>
              <w:tl2br w:val="nil"/>
              <w:tr2bl w:val="nil"/>
            </w:tcBorders>
            <w:shd w:val="clear" w:color="auto" w:fill="auto"/>
            <w:tcMar>
              <w:top w:w="15" w:type="dxa"/>
              <w:left w:w="15" w:type="dxa"/>
              <w:right w:w="15" w:type="dxa"/>
            </w:tcMar>
            <w:vAlign w:val="center"/>
          </w:tcPr>
          <w:p w14:paraId="24A85A7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3667" w:type="dxa"/>
            <w:vMerge w:val="continue"/>
            <w:tcBorders>
              <w:tl2br w:val="nil"/>
              <w:tr2bl w:val="nil"/>
            </w:tcBorders>
            <w:shd w:val="clear" w:color="auto" w:fill="auto"/>
            <w:tcMar>
              <w:top w:w="15" w:type="dxa"/>
              <w:left w:w="15" w:type="dxa"/>
              <w:right w:w="15" w:type="dxa"/>
            </w:tcMar>
            <w:vAlign w:val="center"/>
          </w:tcPr>
          <w:p w14:paraId="4A83569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2" w:type="dxa"/>
            <w:vMerge w:val="continue"/>
            <w:tcBorders>
              <w:tl2br w:val="nil"/>
              <w:tr2bl w:val="nil"/>
            </w:tcBorders>
            <w:shd w:val="clear" w:color="auto" w:fill="auto"/>
            <w:tcMar>
              <w:top w:w="15" w:type="dxa"/>
              <w:left w:w="15" w:type="dxa"/>
              <w:right w:w="15" w:type="dxa"/>
            </w:tcMar>
            <w:vAlign w:val="center"/>
          </w:tcPr>
          <w:p w14:paraId="3A63F3B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59"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025AC6D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从轻处罚</w:t>
            </w:r>
          </w:p>
        </w:tc>
        <w:tc>
          <w:tcPr>
            <w:tcW w:w="1829"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344BB8A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eastAsia="zh-CN" w:bidi="ar"/>
              </w:rPr>
            </w:pPr>
            <w:r>
              <w:rPr>
                <w:rFonts w:hint="eastAsia" w:ascii="仿宋_GB2312" w:hAnsi="宋体" w:eastAsia="仿宋_GB2312" w:cs="仿宋_GB2312"/>
                <w:kern w:val="0"/>
                <w:sz w:val="18"/>
                <w:szCs w:val="18"/>
                <w:lang w:bidi="ar"/>
              </w:rPr>
              <w:t>没有违法所得的</w:t>
            </w:r>
            <w:r>
              <w:rPr>
                <w:rFonts w:hint="eastAsia" w:ascii="仿宋_GB2312" w:hAnsi="宋体" w:eastAsia="仿宋_GB2312" w:cs="仿宋_GB2312"/>
                <w:kern w:val="0"/>
                <w:sz w:val="18"/>
                <w:szCs w:val="18"/>
                <w:lang w:eastAsia="zh-CN" w:bidi="ar"/>
              </w:rPr>
              <w:t>。</w:t>
            </w:r>
          </w:p>
        </w:tc>
        <w:tc>
          <w:tcPr>
            <w:tcW w:w="2655"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4D4804EF">
            <w:pPr>
              <w:keepNext w:val="0"/>
              <w:keepLines w:val="0"/>
              <w:pageBreakBefore w:val="0"/>
              <w:widowControl w:val="0"/>
              <w:kinsoku/>
              <w:wordWrap/>
              <w:overflowPunct w:val="0"/>
              <w:topLinePunct w:val="0"/>
              <w:autoSpaceDE/>
              <w:autoSpaceDN/>
              <w:bidi w:val="0"/>
              <w:adjustRightInd/>
              <w:snapToGrid/>
              <w:spacing w:line="280" w:lineRule="exact"/>
              <w:jc w:val="lef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处3万元以下10万元以上</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对直接负责的主管人员和其他直接责任人员处2万元以上3万元以下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2464C7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24E8AE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5" w:type="dxa"/>
            <w:vMerge w:val="continue"/>
            <w:tcBorders>
              <w:tl2br w:val="nil"/>
              <w:tr2bl w:val="nil"/>
            </w:tcBorders>
            <w:shd w:val="clear" w:color="auto" w:fill="auto"/>
            <w:tcMar>
              <w:top w:w="15" w:type="dxa"/>
              <w:left w:w="15" w:type="dxa"/>
              <w:right w:w="15" w:type="dxa"/>
            </w:tcMar>
            <w:vAlign w:val="center"/>
          </w:tcPr>
          <w:p w14:paraId="3067340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3667" w:type="dxa"/>
            <w:vMerge w:val="continue"/>
            <w:tcBorders>
              <w:tl2br w:val="nil"/>
              <w:tr2bl w:val="nil"/>
            </w:tcBorders>
            <w:shd w:val="clear" w:color="auto" w:fill="auto"/>
            <w:tcMar>
              <w:top w:w="15" w:type="dxa"/>
              <w:left w:w="15" w:type="dxa"/>
              <w:right w:w="15" w:type="dxa"/>
            </w:tcMar>
            <w:vAlign w:val="center"/>
          </w:tcPr>
          <w:p w14:paraId="424546C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2" w:type="dxa"/>
            <w:vMerge w:val="continue"/>
            <w:tcBorders>
              <w:bottom w:val="single" w:color="auto" w:sz="4" w:space="0"/>
              <w:tl2br w:val="nil"/>
              <w:tr2bl w:val="nil"/>
            </w:tcBorders>
            <w:shd w:val="clear" w:color="auto" w:fill="auto"/>
            <w:tcMar>
              <w:top w:w="15" w:type="dxa"/>
              <w:left w:w="15" w:type="dxa"/>
              <w:right w:w="15" w:type="dxa"/>
            </w:tcMar>
            <w:vAlign w:val="center"/>
          </w:tcPr>
          <w:p w14:paraId="09540D2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59"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421AA72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一般处罚</w:t>
            </w:r>
          </w:p>
        </w:tc>
        <w:tc>
          <w:tcPr>
            <w:tcW w:w="1829"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45A372F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eastAsia="zh-CN" w:bidi="ar"/>
              </w:rPr>
            </w:pPr>
            <w:r>
              <w:rPr>
                <w:rFonts w:hint="eastAsia" w:ascii="仿宋_GB2312" w:hAnsi="宋体" w:eastAsia="仿宋_GB2312" w:cs="仿宋_GB2312"/>
                <w:kern w:val="0"/>
                <w:sz w:val="18"/>
                <w:szCs w:val="18"/>
                <w:lang w:bidi="ar"/>
              </w:rPr>
              <w:t>违法所得10万元以下的</w:t>
            </w:r>
            <w:r>
              <w:rPr>
                <w:rFonts w:hint="eastAsia" w:ascii="仿宋_GB2312" w:hAnsi="宋体" w:eastAsia="仿宋_GB2312" w:cs="仿宋_GB2312"/>
                <w:kern w:val="0"/>
                <w:sz w:val="18"/>
                <w:szCs w:val="18"/>
                <w:lang w:eastAsia="zh-CN" w:bidi="ar"/>
              </w:rPr>
              <w:t>。</w:t>
            </w:r>
          </w:p>
        </w:tc>
        <w:tc>
          <w:tcPr>
            <w:tcW w:w="2655"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71EB9D4D">
            <w:pPr>
              <w:keepNext w:val="0"/>
              <w:keepLines w:val="0"/>
              <w:pageBreakBefore w:val="0"/>
              <w:widowControl w:val="0"/>
              <w:kinsoku/>
              <w:wordWrap/>
              <w:overflowPunct w:val="0"/>
              <w:topLinePunct w:val="0"/>
              <w:autoSpaceDE/>
              <w:autoSpaceDN/>
              <w:bidi w:val="0"/>
              <w:adjustRightInd/>
              <w:snapToGrid/>
              <w:spacing w:line="280" w:lineRule="exact"/>
              <w:jc w:val="lef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没收违法所得，并处违法所得1倍以上2倍以下的</w:t>
            </w:r>
            <w:r>
              <w:rPr>
                <w:rFonts w:hint="eastAsia" w:ascii="仿宋_GB2312" w:hAnsi="宋体" w:eastAsia="仿宋_GB2312" w:cs="仿宋_GB2312"/>
                <w:kern w:val="0"/>
                <w:sz w:val="18"/>
                <w:szCs w:val="18"/>
                <w:lang w:eastAsia="zh-CN" w:bidi="ar"/>
              </w:rPr>
              <w:t>罚款</w:t>
            </w:r>
            <w:r>
              <w:rPr>
                <w:rFonts w:hint="eastAsia" w:ascii="仿宋_GB2312" w:hAnsi="宋体" w:eastAsia="仿宋_GB2312" w:cs="仿宋_GB2312"/>
                <w:kern w:val="0"/>
                <w:sz w:val="18"/>
                <w:szCs w:val="18"/>
                <w:lang w:bidi="ar"/>
              </w:rPr>
              <w:t>；对直接负责的主管人员和其他直接责任人员处3万元以上4万元以下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048464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6DAB12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5" w:type="dxa"/>
            <w:vMerge w:val="continue"/>
            <w:tcBorders>
              <w:tl2br w:val="nil"/>
              <w:tr2bl w:val="nil"/>
            </w:tcBorders>
            <w:shd w:val="clear" w:color="auto" w:fill="auto"/>
            <w:tcMar>
              <w:top w:w="15" w:type="dxa"/>
              <w:left w:w="15" w:type="dxa"/>
              <w:right w:w="15" w:type="dxa"/>
            </w:tcMar>
            <w:vAlign w:val="center"/>
          </w:tcPr>
          <w:p w14:paraId="3A22570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3667" w:type="dxa"/>
            <w:vMerge w:val="continue"/>
            <w:tcBorders>
              <w:tl2br w:val="nil"/>
              <w:tr2bl w:val="nil"/>
            </w:tcBorders>
            <w:shd w:val="clear" w:color="auto" w:fill="auto"/>
            <w:tcMar>
              <w:top w:w="15" w:type="dxa"/>
              <w:left w:w="15" w:type="dxa"/>
              <w:right w:w="15" w:type="dxa"/>
            </w:tcMar>
            <w:vAlign w:val="center"/>
          </w:tcPr>
          <w:p w14:paraId="5A97AD3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2" w:type="dxa"/>
            <w:vMerge w:val="continue"/>
            <w:tcBorders>
              <w:bottom w:val="single" w:color="auto" w:sz="4" w:space="0"/>
              <w:tl2br w:val="nil"/>
              <w:tr2bl w:val="nil"/>
            </w:tcBorders>
            <w:shd w:val="clear" w:color="auto" w:fill="auto"/>
            <w:tcMar>
              <w:top w:w="15" w:type="dxa"/>
              <w:left w:w="15" w:type="dxa"/>
              <w:right w:w="15" w:type="dxa"/>
            </w:tcMar>
            <w:vAlign w:val="center"/>
          </w:tcPr>
          <w:p w14:paraId="3673C7F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59"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7A31D56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从重处罚</w:t>
            </w:r>
          </w:p>
        </w:tc>
        <w:tc>
          <w:tcPr>
            <w:tcW w:w="1829"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095D3AE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eastAsia="zh-CN" w:bidi="ar"/>
              </w:rPr>
            </w:pPr>
            <w:r>
              <w:rPr>
                <w:rFonts w:hint="eastAsia" w:ascii="仿宋_GB2312" w:hAnsi="宋体" w:eastAsia="仿宋_GB2312" w:cs="仿宋_GB2312"/>
                <w:kern w:val="0"/>
                <w:sz w:val="18"/>
                <w:szCs w:val="18"/>
                <w:lang w:bidi="ar"/>
              </w:rPr>
              <w:t>违法所得10万元以上的</w:t>
            </w:r>
            <w:r>
              <w:rPr>
                <w:rFonts w:hint="eastAsia" w:ascii="仿宋_GB2312" w:hAnsi="宋体" w:eastAsia="仿宋_GB2312" w:cs="仿宋_GB2312"/>
                <w:kern w:val="0"/>
                <w:sz w:val="18"/>
                <w:szCs w:val="18"/>
                <w:lang w:eastAsia="zh-CN" w:bidi="ar"/>
              </w:rPr>
              <w:t>。</w:t>
            </w:r>
          </w:p>
        </w:tc>
        <w:tc>
          <w:tcPr>
            <w:tcW w:w="2655"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6AC39F28">
            <w:pPr>
              <w:keepNext w:val="0"/>
              <w:keepLines w:val="0"/>
              <w:pageBreakBefore w:val="0"/>
              <w:widowControl w:val="0"/>
              <w:kinsoku/>
              <w:wordWrap/>
              <w:overflowPunct w:val="0"/>
              <w:topLinePunct w:val="0"/>
              <w:autoSpaceDE/>
              <w:autoSpaceDN/>
              <w:bidi w:val="0"/>
              <w:adjustRightInd/>
              <w:snapToGrid/>
              <w:spacing w:line="280" w:lineRule="exact"/>
              <w:jc w:val="lef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没收违法所得，并处违法所得2倍以上3倍以下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；对直接负责的主管人员和其他直接责任人员处4万元以上5万元以下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7B9CDF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2B6A14F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val="en-US" w:eastAsia="zh-CN" w:bidi="ar"/>
              </w:rPr>
              <w:t>20</w:t>
            </w:r>
            <w:del w:id="3026" w:author="LV" w:date="2026-07-14T17:09:43Z">
              <w:r>
                <w:rPr>
                  <w:rFonts w:hint="default" w:ascii="仿宋_GB2312" w:hAnsi="宋体" w:eastAsia="仿宋_GB2312" w:cs="仿宋_GB2312"/>
                  <w:kern w:val="0"/>
                  <w:sz w:val="18"/>
                  <w:szCs w:val="18"/>
                  <w:lang w:val="en-US" w:eastAsia="zh-CN" w:bidi="ar"/>
                </w:rPr>
                <w:delText>2</w:delText>
              </w:r>
            </w:del>
            <w:ins w:id="3027" w:author="LV" w:date="2026-07-14T17:09:43Z">
              <w:r>
                <w:rPr>
                  <w:rFonts w:hint="eastAsia" w:ascii="仿宋_GB2312" w:hAnsi="宋体" w:eastAsia="仿宋_GB2312" w:cs="仿宋_GB2312"/>
                  <w:kern w:val="0"/>
                  <w:sz w:val="18"/>
                  <w:szCs w:val="18"/>
                  <w:lang w:val="en-US" w:eastAsia="zh-CN" w:bidi="ar"/>
                </w:rPr>
                <w:t>8</w:t>
              </w:r>
            </w:ins>
          </w:p>
        </w:tc>
        <w:tc>
          <w:tcPr>
            <w:tcW w:w="1005" w:type="dxa"/>
            <w:vMerge w:val="restart"/>
            <w:tcBorders>
              <w:tl2br w:val="nil"/>
              <w:tr2bl w:val="nil"/>
            </w:tcBorders>
            <w:shd w:val="clear" w:color="auto" w:fill="auto"/>
            <w:tcMar>
              <w:top w:w="15" w:type="dxa"/>
              <w:left w:w="15" w:type="dxa"/>
              <w:right w:w="15" w:type="dxa"/>
            </w:tcMar>
            <w:vAlign w:val="center"/>
          </w:tcPr>
          <w:p w14:paraId="0703D47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承担安全评价、检测、检验职责的机构转让、转包承接的服务项目的</w:t>
            </w:r>
          </w:p>
        </w:tc>
        <w:tc>
          <w:tcPr>
            <w:tcW w:w="3667" w:type="dxa"/>
            <w:vMerge w:val="restart"/>
            <w:tcBorders>
              <w:tl2br w:val="nil"/>
              <w:tr2bl w:val="nil"/>
            </w:tcBorders>
            <w:shd w:val="clear" w:color="auto" w:fill="auto"/>
            <w:tcMar>
              <w:top w:w="15" w:type="dxa"/>
              <w:left w:w="15" w:type="dxa"/>
              <w:right w:w="15" w:type="dxa"/>
            </w:tcMar>
            <w:vAlign w:val="center"/>
          </w:tcPr>
          <w:p w14:paraId="628C668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《山东省安全生产条例》第三十六条 承担安全评价、认证、检测、检验职责的机构应当具备国家规定的资质条件，建立并实施服务公开和报告公开制度，严格遵守相关标准和规范开展执业活动，出具安全评价、认证、检测、检验结论应当客观公正，并不得有下列行为：（一）违法更改或者简化安全评价、认证、检测、检验程序和内容；（二）出租、出借资质、资格，或者将资质提供给他人挂靠使用；（三）转让、转包承接的服务项目；（四）出具失实或者虚假报告。按照规定需要到现场进行勘验和检测检验的，应当如实记录现场工作情况，并在安全评价、认证、检测、检验结论中附具相关证明材料。</w:t>
            </w:r>
          </w:p>
        </w:tc>
        <w:tc>
          <w:tcPr>
            <w:tcW w:w="4082" w:type="dxa"/>
            <w:vMerge w:val="restart"/>
            <w:tcBorders>
              <w:tl2br w:val="nil"/>
              <w:tr2bl w:val="nil"/>
            </w:tcBorders>
            <w:shd w:val="clear" w:color="auto" w:fill="auto"/>
            <w:tcMar>
              <w:top w:w="15" w:type="dxa"/>
              <w:left w:w="15" w:type="dxa"/>
              <w:right w:w="15" w:type="dxa"/>
            </w:tcMar>
            <w:vAlign w:val="center"/>
          </w:tcPr>
          <w:p w14:paraId="411B2DB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《山东省安全生产条例》第七十八条 违反本条例规定，承担安全评价、认证、检测、检验职责的机构违法更改或者简化安全评价、认证、检测、检验程序和内容，或者转让、转包承接的服务项目的，没收违法所得，并处违法所得一倍以上三倍以下的罚款；没有违法所得的，处三万元以上十万元以下的罚款；对直接负责的主管人员和其他直接责任人员处二万元以上五万元以下的罚款。</w:t>
            </w:r>
          </w:p>
        </w:tc>
        <w:tc>
          <w:tcPr>
            <w:tcW w:w="459" w:type="dxa"/>
            <w:tcBorders>
              <w:tl2br w:val="nil"/>
              <w:tr2bl w:val="nil"/>
            </w:tcBorders>
            <w:shd w:val="clear" w:color="auto" w:fill="auto"/>
            <w:noWrap/>
            <w:tcMar>
              <w:top w:w="15" w:type="dxa"/>
              <w:left w:w="15" w:type="dxa"/>
              <w:right w:w="15" w:type="dxa"/>
            </w:tcMar>
            <w:vAlign w:val="center"/>
          </w:tcPr>
          <w:p w14:paraId="190841A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6CA81F5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1DE0D66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75B34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47B688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207BB2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64FA02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0CBFAF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940E64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7884F54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1ED325E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CE090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1814C1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14327E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C0C067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A20148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7BF095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627F41B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C3F5406">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7EE57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6959B3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753DED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7E00CF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50F15A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07DD7F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1B6A091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没有违法所得的。</w:t>
            </w:r>
          </w:p>
        </w:tc>
        <w:tc>
          <w:tcPr>
            <w:tcW w:w="2655" w:type="dxa"/>
            <w:tcBorders>
              <w:tl2br w:val="nil"/>
              <w:tr2bl w:val="nil"/>
            </w:tcBorders>
            <w:shd w:val="clear" w:color="auto" w:fill="auto"/>
            <w:tcMar>
              <w:top w:w="15" w:type="dxa"/>
              <w:left w:w="15" w:type="dxa"/>
              <w:right w:w="15" w:type="dxa"/>
            </w:tcMar>
            <w:vAlign w:val="center"/>
          </w:tcPr>
          <w:p w14:paraId="799E97C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处3万元以下10万元以上</w:t>
            </w:r>
            <w:r>
              <w:rPr>
                <w:rFonts w:hint="eastAsia" w:ascii="仿宋_GB2312" w:hAnsi="宋体" w:eastAsia="仿宋_GB2312" w:cs="仿宋_GB2312"/>
                <w:kern w:val="0"/>
                <w:sz w:val="18"/>
                <w:szCs w:val="18"/>
                <w:lang w:val="en-US" w:eastAsia="zh-CN" w:bidi="ar"/>
              </w:rPr>
              <w:t>的罚款</w:t>
            </w:r>
            <w:r>
              <w:rPr>
                <w:rFonts w:hint="eastAsia" w:ascii="仿宋_GB2312" w:hAnsi="宋体" w:eastAsia="仿宋_GB2312" w:cs="仿宋_GB2312"/>
                <w:kern w:val="0"/>
                <w:sz w:val="18"/>
                <w:szCs w:val="18"/>
                <w:lang w:bidi="ar"/>
              </w:rPr>
              <w:t>；对直接负责的主管人员和其他直接责任人员处2万元以上3万元以下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1842F7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6174AE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CB554A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A47227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CBB0F3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71F393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2BDCA57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违法所得10万元以下的。</w:t>
            </w:r>
          </w:p>
        </w:tc>
        <w:tc>
          <w:tcPr>
            <w:tcW w:w="2655" w:type="dxa"/>
            <w:tcBorders>
              <w:tl2br w:val="nil"/>
              <w:tr2bl w:val="nil"/>
            </w:tcBorders>
            <w:shd w:val="clear" w:color="auto" w:fill="auto"/>
            <w:tcMar>
              <w:top w:w="15" w:type="dxa"/>
              <w:left w:w="15" w:type="dxa"/>
              <w:right w:w="15" w:type="dxa"/>
            </w:tcMar>
            <w:vAlign w:val="center"/>
          </w:tcPr>
          <w:p w14:paraId="3D654BE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没收违法所得，并处违法所得1倍以上2倍以下的罚款；对直接负责的主管人员和其他直接责任人员处</w:t>
            </w:r>
            <w:r>
              <w:rPr>
                <w:rFonts w:hint="eastAsia" w:ascii="仿宋_GB2312" w:hAnsi="宋体" w:eastAsia="仿宋_GB2312" w:cs="仿宋_GB2312"/>
                <w:kern w:val="0"/>
                <w:sz w:val="18"/>
                <w:szCs w:val="18"/>
                <w:lang w:val="en-US" w:eastAsia="zh-CN" w:bidi="ar"/>
              </w:rPr>
              <w:t>3万元以上4万元以下的罚款</w:t>
            </w:r>
            <w:r>
              <w:rPr>
                <w:rFonts w:hint="eastAsia" w:ascii="仿宋_GB2312" w:hAnsi="宋体" w:eastAsia="仿宋_GB2312" w:cs="仿宋_GB2312"/>
                <w:kern w:val="0"/>
                <w:sz w:val="18"/>
                <w:szCs w:val="18"/>
                <w:lang w:bidi="ar"/>
              </w:rPr>
              <w:t>。</w:t>
            </w:r>
          </w:p>
        </w:tc>
      </w:tr>
      <w:tr w14:paraId="4D1C9C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F7B6A8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8C4218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602D4A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B6A239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60727D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5CB1A9C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违法所得10万元以上的。</w:t>
            </w:r>
          </w:p>
        </w:tc>
        <w:tc>
          <w:tcPr>
            <w:tcW w:w="2655" w:type="dxa"/>
            <w:tcBorders>
              <w:tl2br w:val="nil"/>
              <w:tr2bl w:val="nil"/>
            </w:tcBorders>
            <w:shd w:val="clear" w:color="auto" w:fill="auto"/>
            <w:tcMar>
              <w:top w:w="15" w:type="dxa"/>
              <w:left w:w="15" w:type="dxa"/>
              <w:right w:w="15" w:type="dxa"/>
            </w:tcMar>
            <w:vAlign w:val="center"/>
          </w:tcPr>
          <w:p w14:paraId="61D30C8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没收违法所得，并处违法所得2倍以上3倍以下的罚款；对直接负责的主管人员和其他直接责任人员处</w:t>
            </w:r>
            <w:r>
              <w:rPr>
                <w:rFonts w:hint="eastAsia" w:ascii="仿宋_GB2312" w:hAnsi="宋体" w:eastAsia="仿宋_GB2312" w:cs="仿宋_GB2312"/>
                <w:kern w:val="0"/>
                <w:sz w:val="18"/>
                <w:szCs w:val="18"/>
                <w:lang w:val="en-US" w:eastAsia="zh-CN" w:bidi="ar"/>
              </w:rPr>
              <w:t>4万元以上5万元以下的罚款</w:t>
            </w:r>
            <w:r>
              <w:rPr>
                <w:rFonts w:hint="eastAsia" w:ascii="仿宋_GB2312" w:hAnsi="宋体" w:eastAsia="仿宋_GB2312" w:cs="仿宋_GB2312"/>
                <w:kern w:val="0"/>
                <w:sz w:val="18"/>
                <w:szCs w:val="18"/>
                <w:lang w:bidi="ar"/>
              </w:rPr>
              <w:t>。</w:t>
            </w:r>
          </w:p>
        </w:tc>
      </w:tr>
      <w:tr w14:paraId="715DCF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09D9192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sz w:val="18"/>
                <w:szCs w:val="18"/>
                <w:lang w:val="en-US" w:eastAsia="zh-CN"/>
              </w:rPr>
              <w:t>20</w:t>
            </w:r>
            <w:del w:id="3028" w:author="LV" w:date="2026-07-14T17:09:47Z">
              <w:r>
                <w:rPr>
                  <w:rFonts w:hint="default" w:ascii="仿宋_GB2312" w:hAnsi="宋体" w:eastAsia="仿宋_GB2312" w:cs="仿宋_GB2312"/>
                  <w:sz w:val="18"/>
                  <w:szCs w:val="18"/>
                  <w:lang w:val="en-US" w:eastAsia="zh-CN"/>
                </w:rPr>
                <w:delText>3</w:delText>
              </w:r>
            </w:del>
            <w:ins w:id="3029" w:author="LV" w:date="2026-07-14T17:09:47Z">
              <w:r>
                <w:rPr>
                  <w:rFonts w:hint="eastAsia" w:ascii="仿宋_GB2312" w:hAnsi="宋体" w:eastAsia="仿宋_GB2312" w:cs="仿宋_GB2312"/>
                  <w:sz w:val="18"/>
                  <w:szCs w:val="18"/>
                  <w:lang w:val="en-US" w:eastAsia="zh-CN"/>
                </w:rPr>
                <w:t>9</w:t>
              </w:r>
            </w:ins>
          </w:p>
        </w:tc>
        <w:tc>
          <w:tcPr>
            <w:tcW w:w="1005" w:type="dxa"/>
            <w:vMerge w:val="restart"/>
            <w:tcBorders>
              <w:tl2br w:val="nil"/>
              <w:tr2bl w:val="nil"/>
            </w:tcBorders>
            <w:shd w:val="clear" w:color="auto" w:fill="auto"/>
            <w:tcMar>
              <w:top w:w="15" w:type="dxa"/>
              <w:left w:w="15" w:type="dxa"/>
              <w:right w:w="15" w:type="dxa"/>
            </w:tcMar>
            <w:vAlign w:val="center"/>
          </w:tcPr>
          <w:p w14:paraId="020787D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承担安全评价、检测、检验职责的机构出具失实报告的</w:t>
            </w:r>
          </w:p>
        </w:tc>
        <w:tc>
          <w:tcPr>
            <w:tcW w:w="3667" w:type="dxa"/>
            <w:vMerge w:val="restart"/>
            <w:tcBorders>
              <w:tl2br w:val="nil"/>
              <w:tr2bl w:val="nil"/>
            </w:tcBorders>
            <w:shd w:val="clear" w:color="auto" w:fill="auto"/>
            <w:tcMar>
              <w:top w:w="15" w:type="dxa"/>
              <w:left w:w="15" w:type="dxa"/>
              <w:right w:w="15" w:type="dxa"/>
            </w:tcMar>
            <w:vAlign w:val="center"/>
          </w:tcPr>
          <w:p w14:paraId="06F90B5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《安全生产法》第七十二条 承担安全评价、认证、检测、检验职责的机构应当具备国家规定的资质条件，并对其作出的安全评价、认证、检测、检验结果的合法性、真实性负责。资质条件由国务院应急管理部门会同国务院有关部门制定。承担安全评价、认证、检测、检验职责的机构应当建立并实施服务公开和报告公开制度，不得租借资质、挂靠、出具虚假报告。</w:t>
            </w:r>
          </w:p>
          <w:p w14:paraId="66D1F6F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《山东省安全生产条例》第三十六条第一款</w:t>
            </w:r>
          </w:p>
          <w:p w14:paraId="6C0D822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承担安全评价、认证、检测、检验职责的机构应当具备国家规定的资质条件，建立并实施服务公开和报告公开制度，严格遵守相关标准和规范开展执业活动，出具安全评价、认证、检测、检验结论应当客观公正，并不得有下列行为：（四）出具失实或者虚假报告。</w:t>
            </w:r>
          </w:p>
          <w:p w14:paraId="754D294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《煤矿安全生产条例》第四十六条第二款  承担安全评价、认证、检测、检验等职责的煤矿安全生产技术服务机构应当依照有关法律法规和国家标准或者行业标准的规定开展安全生产技术服务活动，并对出具的报告负责，不得租借资质、挂靠、出具虚假报告。</w:t>
            </w:r>
          </w:p>
        </w:tc>
        <w:tc>
          <w:tcPr>
            <w:tcW w:w="4082" w:type="dxa"/>
            <w:vMerge w:val="restart"/>
            <w:tcBorders>
              <w:tl2br w:val="nil"/>
              <w:tr2bl w:val="nil"/>
            </w:tcBorders>
            <w:shd w:val="clear" w:color="auto" w:fill="auto"/>
            <w:tcMar>
              <w:top w:w="15" w:type="dxa"/>
              <w:left w:w="15" w:type="dxa"/>
              <w:right w:w="15" w:type="dxa"/>
            </w:tcMar>
            <w:vAlign w:val="center"/>
          </w:tcPr>
          <w:p w14:paraId="12440E2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《安全生产法》第九十二条第一款</w:t>
            </w:r>
            <w:r>
              <w:rPr>
                <w:rFonts w:ascii="仿宋_GB2312" w:hAnsi="宋体" w:eastAsia="仿宋_GB2312" w:cs="仿宋_GB2312"/>
                <w:kern w:val="0"/>
                <w:sz w:val="18"/>
                <w:szCs w:val="18"/>
                <w:lang w:bidi="ar"/>
              </w:rPr>
              <w:t xml:space="preserve"> </w:t>
            </w:r>
            <w:r>
              <w:rPr>
                <w:rFonts w:hint="eastAsia" w:ascii="仿宋_GB2312" w:hAnsi="宋体" w:eastAsia="仿宋_GB2312" w:cs="仿宋_GB2312"/>
                <w:kern w:val="0"/>
                <w:sz w:val="18"/>
                <w:szCs w:val="18"/>
                <w:lang w:bidi="ar"/>
              </w:rPr>
              <w:t>承担安全评价、认证、检测、检验职责的机构出具失实报告的，责令停业整顿，并处三万元以上十万元以下的罚款；给他人造成损害的，依法承担赔偿责任。</w:t>
            </w:r>
          </w:p>
          <w:p w14:paraId="340E82F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七十二条承担安全评价、认证、检测、检验等职责的煤矿安全生产技术服务机构有出具失实报告、租借资质、挂靠、出具虚假报告等情形的，对该机构及直接负责的主管人员和其他直接责任人员，应当依照《中华人民共和国安全生产法》有关规定予以处罚并追究相应责任。其主要负责人对重大、特别重大煤矿生产安全事故负有责任的，终身不得从事煤矿安全生产相关技术服务工作。</w:t>
            </w:r>
          </w:p>
        </w:tc>
        <w:tc>
          <w:tcPr>
            <w:tcW w:w="459" w:type="dxa"/>
            <w:tcBorders>
              <w:tl2br w:val="nil"/>
              <w:tr2bl w:val="nil"/>
            </w:tcBorders>
            <w:shd w:val="clear" w:color="auto" w:fill="auto"/>
            <w:noWrap/>
            <w:tcMar>
              <w:top w:w="15" w:type="dxa"/>
              <w:left w:w="15" w:type="dxa"/>
              <w:right w:w="15" w:type="dxa"/>
            </w:tcMar>
            <w:vAlign w:val="center"/>
          </w:tcPr>
          <w:p w14:paraId="038BF3A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3B3418D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63F51F4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C10D9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F49B69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EB4F83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76B16F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845C58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836C10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2EBF760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0695BA3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6B7CB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FF5BF8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CD568E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EC8494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D0EA9F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E89B33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27B1FBF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6A6BB6F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10D27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1DD156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3547EE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7E3A6D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0B32C7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931BAA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2EA1FED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出具的报告失实1处以上3处（多份报告失实的累加计算，下同）以下的。</w:t>
            </w:r>
          </w:p>
        </w:tc>
        <w:tc>
          <w:tcPr>
            <w:tcW w:w="2655" w:type="dxa"/>
            <w:tcBorders>
              <w:tl2br w:val="nil"/>
              <w:tr2bl w:val="nil"/>
            </w:tcBorders>
            <w:shd w:val="clear" w:color="auto" w:fill="auto"/>
            <w:tcMar>
              <w:top w:w="15" w:type="dxa"/>
              <w:left w:w="15" w:type="dxa"/>
              <w:right w:w="15" w:type="dxa"/>
            </w:tcMar>
            <w:vAlign w:val="center"/>
          </w:tcPr>
          <w:p w14:paraId="449DCCE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责令停业整顿，并处3万元以上5万元以下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643169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E6F814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DB2498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DEAE01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28B327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77F885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6C827DA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出具的报告失实3处以上6处以下的。</w:t>
            </w:r>
          </w:p>
        </w:tc>
        <w:tc>
          <w:tcPr>
            <w:tcW w:w="2655" w:type="dxa"/>
            <w:tcBorders>
              <w:tl2br w:val="nil"/>
              <w:tr2bl w:val="nil"/>
            </w:tcBorders>
            <w:shd w:val="clear" w:color="auto" w:fill="auto"/>
            <w:tcMar>
              <w:top w:w="15" w:type="dxa"/>
              <w:left w:w="15" w:type="dxa"/>
              <w:right w:w="15" w:type="dxa"/>
            </w:tcMar>
            <w:vAlign w:val="center"/>
          </w:tcPr>
          <w:p w14:paraId="3951865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责令停业整顿，并处5万元以上 8万元以下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287E30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AE7B55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8A57C4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471EF9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085EDE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E0DE18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5B06E6E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出具的报告失实6处以上的。</w:t>
            </w:r>
          </w:p>
        </w:tc>
        <w:tc>
          <w:tcPr>
            <w:tcW w:w="2655" w:type="dxa"/>
            <w:tcBorders>
              <w:tl2br w:val="nil"/>
              <w:tr2bl w:val="nil"/>
            </w:tcBorders>
            <w:shd w:val="clear" w:color="auto" w:fill="auto"/>
            <w:tcMar>
              <w:top w:w="15" w:type="dxa"/>
              <w:left w:w="15" w:type="dxa"/>
              <w:right w:w="15" w:type="dxa"/>
            </w:tcMar>
            <w:vAlign w:val="center"/>
          </w:tcPr>
          <w:p w14:paraId="5E9999E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责令停业整顿，并处8万元以上10万元以下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61A45E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0F3B407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2</w:t>
            </w:r>
            <w:del w:id="3030" w:author="LV" w:date="2026-07-14T17:09:57Z">
              <w:r>
                <w:rPr>
                  <w:rFonts w:hint="default" w:ascii="仿宋_GB2312" w:hAnsi="宋体" w:eastAsia="仿宋_GB2312" w:cs="仿宋_GB2312"/>
                  <w:kern w:val="0"/>
                  <w:sz w:val="18"/>
                  <w:szCs w:val="18"/>
                  <w:lang w:val="en-US" w:bidi="ar"/>
                </w:rPr>
                <w:delText>0</w:delText>
              </w:r>
            </w:del>
            <w:del w:id="3031" w:author="LV" w:date="2026-07-14T17:09:57Z">
              <w:r>
                <w:rPr>
                  <w:rFonts w:hint="default" w:ascii="仿宋_GB2312" w:hAnsi="宋体" w:eastAsia="仿宋_GB2312" w:cs="仿宋_GB2312"/>
                  <w:kern w:val="0"/>
                  <w:sz w:val="18"/>
                  <w:szCs w:val="18"/>
                  <w:lang w:val="en-US" w:eastAsia="zh-CN" w:bidi="ar"/>
                </w:rPr>
                <w:delText>4</w:delText>
              </w:r>
            </w:del>
            <w:ins w:id="3032" w:author="LV" w:date="2026-07-14T17:09:57Z">
              <w:r>
                <w:rPr>
                  <w:rFonts w:hint="eastAsia" w:ascii="仿宋_GB2312" w:hAnsi="宋体" w:eastAsia="仿宋_GB2312" w:cs="仿宋_GB2312"/>
                  <w:kern w:val="0"/>
                  <w:sz w:val="18"/>
                  <w:szCs w:val="18"/>
                  <w:lang w:val="en-US" w:eastAsia="zh-CN" w:bidi="ar"/>
                </w:rPr>
                <w:t>10</w:t>
              </w:r>
            </w:ins>
          </w:p>
        </w:tc>
        <w:tc>
          <w:tcPr>
            <w:tcW w:w="1005" w:type="dxa"/>
            <w:vMerge w:val="restart"/>
            <w:tcBorders>
              <w:tl2br w:val="nil"/>
              <w:tr2bl w:val="nil"/>
            </w:tcBorders>
            <w:shd w:val="clear" w:color="auto" w:fill="auto"/>
            <w:tcMar>
              <w:top w:w="15" w:type="dxa"/>
              <w:left w:w="15" w:type="dxa"/>
              <w:right w:w="15" w:type="dxa"/>
            </w:tcMar>
            <w:vAlign w:val="center"/>
          </w:tcPr>
          <w:p w14:paraId="5989B36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承担安全评价、检测、检验职责的机构出具虚假报告的</w:t>
            </w:r>
          </w:p>
        </w:tc>
        <w:tc>
          <w:tcPr>
            <w:tcW w:w="3667" w:type="dxa"/>
            <w:vMerge w:val="restart"/>
            <w:tcBorders>
              <w:tl2br w:val="nil"/>
              <w:tr2bl w:val="nil"/>
            </w:tcBorders>
            <w:shd w:val="clear" w:color="auto" w:fill="auto"/>
            <w:tcMar>
              <w:top w:w="15" w:type="dxa"/>
              <w:left w:w="15" w:type="dxa"/>
              <w:right w:w="15" w:type="dxa"/>
            </w:tcMar>
            <w:vAlign w:val="center"/>
          </w:tcPr>
          <w:p w14:paraId="36DCA033">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《安全生产法》第七十二条 承担安全评价、认证、检测、检验职责的机构应当具备国家规定的资质条件，并对其作出的安全评价、认证、检测、检验结果的合法性、真实性负责。资质条件由国务院应急管理部门会同国务院有关部门制定。 承担安全评价、认证、检测、检验职责的机构应当建立并实施服务公开和报告公开制度，不得租借资质、挂靠、出具虚假报告。</w:t>
            </w:r>
          </w:p>
          <w:p w14:paraId="261262AE">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《山东省安全生产条例》第三十六条第一款</w:t>
            </w:r>
          </w:p>
          <w:p w14:paraId="2E1BB4CD">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承担安全评价、认证、检测、检验职责的机构应当具备国家规定的资质条件，建立并实施服务公开和报告公开制度，严格遵守相关标准和规范开展执业活动，出具安全评价、认证、检测、检验结论应当客观公正，并不得有下列行为：（四）出具失实或者虚假报告。</w:t>
            </w:r>
          </w:p>
          <w:p w14:paraId="5F87144A">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《安全评价检测检验机构管理办法》第二十二条 安全评价检测检验机构及其从业人员不得有下列行为：（五）出具虚假或者重大疏漏的安全评价、检测检验报告的；</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本办法所称虚假报告，是指安全评价报告、安全生产检测检验报告内容与当时实际情况严重不符，报告结论定性严重偏离客观实际。</w:t>
            </w:r>
          </w:p>
          <w:p w14:paraId="045B988E">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《煤矿安全生产条例》第四十六条第二款  承担安全评价、认证、检测、检验等职责的煤矿安全生产技术服务机构应当依照有关法律法规和国家标准或者行业标准的规定开展安全生产技术服务活动，并对出具的报告负责，不得租借资质、挂靠、出具虚假报告。</w:t>
            </w:r>
          </w:p>
        </w:tc>
        <w:tc>
          <w:tcPr>
            <w:tcW w:w="4082" w:type="dxa"/>
            <w:vMerge w:val="restart"/>
            <w:tcBorders>
              <w:tl2br w:val="nil"/>
              <w:tr2bl w:val="nil"/>
            </w:tcBorders>
            <w:shd w:val="clear" w:color="auto" w:fill="auto"/>
            <w:tcMar>
              <w:top w:w="15" w:type="dxa"/>
              <w:left w:w="15" w:type="dxa"/>
              <w:right w:w="15" w:type="dxa"/>
            </w:tcMar>
            <w:vAlign w:val="center"/>
          </w:tcPr>
          <w:p w14:paraId="0F5C0DAD">
            <w:pPr>
              <w:keepNext w:val="0"/>
              <w:keepLines w:val="0"/>
              <w:pageBreakBefore w:val="0"/>
              <w:widowControl w:val="0"/>
              <w:kinsoku/>
              <w:wordWrap/>
              <w:overflowPunct w:val="0"/>
              <w:topLinePunct w:val="0"/>
              <w:autoSpaceDE/>
              <w:autoSpaceDN/>
              <w:bidi w:val="0"/>
              <w:adjustRightInd/>
              <w:snapToGrid/>
              <w:spacing w:line="236"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《安全生产法》第九十二条第二款</w:t>
            </w:r>
            <w:r>
              <w:rPr>
                <w:rFonts w:ascii="仿宋_GB2312" w:hAnsi="宋体" w:eastAsia="仿宋_GB2312" w:cs="仿宋_GB2312"/>
                <w:kern w:val="0"/>
                <w:sz w:val="18"/>
                <w:szCs w:val="18"/>
                <w:lang w:bidi="ar"/>
              </w:rPr>
              <w:t xml:space="preserve"> </w:t>
            </w:r>
            <w:r>
              <w:rPr>
                <w:rFonts w:hint="eastAsia" w:ascii="仿宋_GB2312" w:hAnsi="宋体" w:eastAsia="仿宋_GB2312" w:cs="仿宋_GB2312"/>
                <w:kern w:val="0"/>
                <w:sz w:val="18"/>
                <w:szCs w:val="18"/>
                <w:lang w:bidi="ar"/>
              </w:rPr>
              <w:t>承担安全评价、认证、检测、检验职责的机构租借资质、挂靠、出具虚假报告的，没收违法所得；违法所得在十万元以上的，并处违法所得二倍以上五倍以下的罚款，没有违法所得或者违法所得不足十万元的，单处或者并处十万元以上二十万元以下的罚款；对其直接负责的主管人员和其他直接责任人员处五万元以上十万元以下的罚款；给他人造成损害的，与生产经营单位承担连带赔偿责任；构成犯罪的，依照刑法有关规定追究刑事责任。对有前款违法行为的机构及其直接责任人员，吊销其相应资质和资格，五年内不得从事安全评价、认证、检测、检验等工作；情节严重的，实行终身行业和职业禁入。</w:t>
            </w:r>
          </w:p>
          <w:p w14:paraId="4C878592">
            <w:pPr>
              <w:keepNext w:val="0"/>
              <w:keepLines w:val="0"/>
              <w:pageBreakBefore w:val="0"/>
              <w:widowControl w:val="0"/>
              <w:kinsoku/>
              <w:wordWrap/>
              <w:overflowPunct w:val="0"/>
              <w:topLinePunct w:val="0"/>
              <w:autoSpaceDE/>
              <w:autoSpaceDN/>
              <w:bidi w:val="0"/>
              <w:adjustRightInd/>
              <w:snapToGrid/>
              <w:spacing w:line="236"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《安全评价检测检验机构管理办法》第三十一条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承担安全评价、检测检验工作的机构，出具虚假证明的，没收违法所得；违法所得在十万元以上的，并处违法所得二倍以上五倍以下的罚款；没有违法所得或者违法所得不足十万元的，单处或者并处十万元以上二十万元以下的罚款；对其直接负责的主管人员和其他直接责任人员处二万元以上五万元以下的罚款；给他人造成损害的，与生产经营单位承担连带赔偿责任；构成犯罪的，依照刑法有关规定追究刑事责任。对有前款违法行为的机构，由资质认可机关吊销其相应资质，向社会公告，按照国家有关规定对相关机构及其责任人员实行行业禁入，纳入不良记录“黑名单”管理，以及安全评价检测检验机构信息查询系统。</w:t>
            </w:r>
          </w:p>
          <w:p w14:paraId="6C976C6C">
            <w:pPr>
              <w:keepNext w:val="0"/>
              <w:keepLines w:val="0"/>
              <w:pageBreakBefore w:val="0"/>
              <w:widowControl w:val="0"/>
              <w:kinsoku/>
              <w:wordWrap/>
              <w:overflowPunct w:val="0"/>
              <w:topLinePunct w:val="0"/>
              <w:autoSpaceDE/>
              <w:autoSpaceDN/>
              <w:bidi w:val="0"/>
              <w:adjustRightInd/>
              <w:snapToGrid/>
              <w:spacing w:line="236"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七十二条承担安全评价、认证、检测、检验等职责的煤矿安全生产技术服务机构有出具失实报告、租借资质、挂靠、出具虚假报告等情形的，对该机构及直接负责的主管人员和其他直接责任人员，应当依照《中华人民共和国安全生产法》有关规定予以处罚并追究相应责任。其主要负责人对重大、特别重大煤矿生产安全事故负有责任的，终身不得从事煤矿安全生产相关技术服务工作。</w:t>
            </w:r>
          </w:p>
        </w:tc>
        <w:tc>
          <w:tcPr>
            <w:tcW w:w="459" w:type="dxa"/>
            <w:tcBorders>
              <w:tl2br w:val="nil"/>
              <w:tr2bl w:val="nil"/>
            </w:tcBorders>
            <w:shd w:val="clear" w:color="auto" w:fill="auto"/>
            <w:noWrap/>
            <w:tcMar>
              <w:top w:w="15" w:type="dxa"/>
              <w:left w:w="15" w:type="dxa"/>
              <w:right w:w="15" w:type="dxa"/>
            </w:tcMar>
            <w:vAlign w:val="center"/>
          </w:tcPr>
          <w:p w14:paraId="3E5E70F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11D9D22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715834AE">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C4367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D86B95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A1EC1B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41FBC4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0DEA28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FDEEA2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0918B50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3E052E3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7974F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26911F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AB16C5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ECBCC8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7DEF50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24730E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30F7ADB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13B5DE46">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9E556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89" w:hRule="atLeast"/>
          <w:jc w:val="center"/>
        </w:trPr>
        <w:tc>
          <w:tcPr>
            <w:tcW w:w="418" w:type="dxa"/>
            <w:vMerge w:val="continue"/>
            <w:tcBorders>
              <w:bottom w:val="single" w:color="auto" w:sz="4" w:space="0"/>
              <w:tl2br w:val="nil"/>
              <w:tr2bl w:val="nil"/>
            </w:tcBorders>
            <w:shd w:val="clear" w:color="auto" w:fill="auto"/>
            <w:noWrap/>
            <w:tcMar>
              <w:top w:w="15" w:type="dxa"/>
              <w:left w:w="15" w:type="dxa"/>
              <w:right w:w="15" w:type="dxa"/>
            </w:tcMar>
            <w:vAlign w:val="center"/>
          </w:tcPr>
          <w:p w14:paraId="0D7E588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bottom w:val="single" w:color="auto" w:sz="4" w:space="0"/>
              <w:tl2br w:val="nil"/>
              <w:tr2bl w:val="nil"/>
            </w:tcBorders>
            <w:shd w:val="clear" w:color="auto" w:fill="auto"/>
            <w:tcMar>
              <w:top w:w="15" w:type="dxa"/>
              <w:left w:w="15" w:type="dxa"/>
              <w:right w:w="15" w:type="dxa"/>
            </w:tcMar>
            <w:vAlign w:val="center"/>
          </w:tcPr>
          <w:p w14:paraId="48BA45F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bottom w:val="single" w:color="auto" w:sz="4" w:space="0"/>
              <w:tl2br w:val="nil"/>
              <w:tr2bl w:val="nil"/>
            </w:tcBorders>
            <w:shd w:val="clear" w:color="auto" w:fill="auto"/>
            <w:tcMar>
              <w:top w:w="15" w:type="dxa"/>
              <w:left w:w="15" w:type="dxa"/>
              <w:right w:w="15" w:type="dxa"/>
            </w:tcMar>
            <w:vAlign w:val="center"/>
          </w:tcPr>
          <w:p w14:paraId="619B3BE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bottom w:val="single" w:color="auto" w:sz="4" w:space="0"/>
              <w:tl2br w:val="nil"/>
              <w:tr2bl w:val="nil"/>
            </w:tcBorders>
            <w:shd w:val="clear" w:color="auto" w:fill="auto"/>
            <w:tcMar>
              <w:top w:w="15" w:type="dxa"/>
              <w:left w:w="15" w:type="dxa"/>
              <w:right w:w="15" w:type="dxa"/>
            </w:tcMar>
            <w:vAlign w:val="center"/>
          </w:tcPr>
          <w:p w14:paraId="632D84E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bottom w:val="single" w:color="auto" w:sz="4" w:space="0"/>
              <w:tl2br w:val="nil"/>
              <w:tr2bl w:val="nil"/>
            </w:tcBorders>
            <w:shd w:val="clear" w:color="auto" w:fill="auto"/>
            <w:noWrap/>
            <w:tcMar>
              <w:top w:w="15" w:type="dxa"/>
              <w:left w:w="15" w:type="dxa"/>
              <w:right w:w="15" w:type="dxa"/>
            </w:tcMar>
            <w:vAlign w:val="center"/>
          </w:tcPr>
          <w:p w14:paraId="58338CD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bottom w:val="single" w:color="auto" w:sz="4" w:space="0"/>
              <w:tl2br w:val="nil"/>
              <w:tr2bl w:val="nil"/>
            </w:tcBorders>
            <w:shd w:val="clear" w:color="auto" w:fill="auto"/>
            <w:tcMar>
              <w:top w:w="15" w:type="dxa"/>
              <w:left w:w="15" w:type="dxa"/>
              <w:right w:w="15" w:type="dxa"/>
            </w:tcMar>
            <w:vAlign w:val="center"/>
          </w:tcPr>
          <w:p w14:paraId="1EFB4F8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出具虚假报告1份。</w:t>
            </w:r>
          </w:p>
        </w:tc>
        <w:tc>
          <w:tcPr>
            <w:tcW w:w="2655" w:type="dxa"/>
            <w:tcBorders>
              <w:bottom w:val="single" w:color="auto" w:sz="4" w:space="0"/>
              <w:tl2br w:val="nil"/>
              <w:tr2bl w:val="nil"/>
            </w:tcBorders>
            <w:shd w:val="clear" w:color="auto" w:fill="auto"/>
            <w:tcMar>
              <w:top w:w="15" w:type="dxa"/>
              <w:left w:w="15" w:type="dxa"/>
              <w:right w:w="15" w:type="dxa"/>
            </w:tcMar>
            <w:vAlign w:val="center"/>
          </w:tcPr>
          <w:p w14:paraId="699F3E9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1.没有违法所得或者违法所得不足10万元的，单处或者并处10万元以上13万元以下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；违法所得在10万元以上的，没收违法所得，并处违法所得2倍以上3倍以下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p w14:paraId="5DB4F40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2.吊销机构资质，五年内不得从事安全评价、认证、检测、检验等工作；</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3.吊销直接责任人员资格，五年内不得从事安全评价、认证、检测、检验等工作；</w:t>
            </w:r>
          </w:p>
          <w:p w14:paraId="02FD1CF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4.对其直接负责的主管人员和其他直接责任人员处5万元以上7万元以下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6FF177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restart"/>
            <w:tcBorders>
              <w:top w:val="single" w:color="auto" w:sz="4" w:space="0"/>
              <w:tl2br w:val="nil"/>
              <w:tr2bl w:val="nil"/>
            </w:tcBorders>
            <w:shd w:val="clear" w:color="auto" w:fill="auto"/>
            <w:noWrap/>
            <w:tcMar>
              <w:top w:w="15" w:type="dxa"/>
              <w:left w:w="15" w:type="dxa"/>
              <w:right w:w="15" w:type="dxa"/>
            </w:tcMar>
            <w:vAlign w:val="center"/>
          </w:tcPr>
          <w:p w14:paraId="54E7CD0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2</w:t>
            </w:r>
            <w:del w:id="3033" w:author="LV" w:date="2026-07-14T17:10:00Z">
              <w:r>
                <w:rPr>
                  <w:rFonts w:hint="default" w:ascii="仿宋_GB2312" w:hAnsi="宋体" w:eastAsia="仿宋_GB2312" w:cs="仿宋_GB2312"/>
                  <w:kern w:val="0"/>
                  <w:sz w:val="18"/>
                  <w:szCs w:val="18"/>
                  <w:lang w:val="en-US" w:bidi="ar"/>
                </w:rPr>
                <w:delText>0</w:delText>
              </w:r>
            </w:del>
            <w:del w:id="3034" w:author="LV" w:date="2026-07-14T17:10:00Z">
              <w:r>
                <w:rPr>
                  <w:rFonts w:hint="default" w:ascii="仿宋_GB2312" w:hAnsi="宋体" w:eastAsia="仿宋_GB2312" w:cs="仿宋_GB2312"/>
                  <w:kern w:val="0"/>
                  <w:sz w:val="18"/>
                  <w:szCs w:val="18"/>
                  <w:lang w:val="en-US" w:eastAsia="zh-CN" w:bidi="ar"/>
                </w:rPr>
                <w:delText>4</w:delText>
              </w:r>
            </w:del>
            <w:ins w:id="3035" w:author="LV" w:date="2026-07-14T17:10:00Z">
              <w:r>
                <w:rPr>
                  <w:rFonts w:hint="eastAsia" w:ascii="仿宋_GB2312" w:hAnsi="宋体" w:eastAsia="仿宋_GB2312" w:cs="仿宋_GB2312"/>
                  <w:kern w:val="0"/>
                  <w:sz w:val="18"/>
                  <w:szCs w:val="18"/>
                  <w:lang w:val="en-US" w:eastAsia="zh-CN" w:bidi="ar"/>
                </w:rPr>
                <w:t>11</w:t>
              </w:r>
            </w:ins>
          </w:p>
        </w:tc>
        <w:tc>
          <w:tcPr>
            <w:tcW w:w="1005" w:type="dxa"/>
            <w:vMerge w:val="restart"/>
            <w:tcBorders>
              <w:top w:val="single" w:color="auto" w:sz="4" w:space="0"/>
              <w:tl2br w:val="nil"/>
              <w:tr2bl w:val="nil"/>
            </w:tcBorders>
            <w:shd w:val="clear" w:color="auto" w:fill="auto"/>
            <w:tcMar>
              <w:top w:w="15" w:type="dxa"/>
              <w:left w:w="15" w:type="dxa"/>
              <w:right w:w="15" w:type="dxa"/>
            </w:tcMar>
            <w:vAlign w:val="center"/>
          </w:tcPr>
          <w:p w14:paraId="408E473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承担安全评价、检测、检验职责的机构出具虚假报告的</w:t>
            </w:r>
          </w:p>
        </w:tc>
        <w:tc>
          <w:tcPr>
            <w:tcW w:w="3667" w:type="dxa"/>
            <w:vMerge w:val="restart"/>
            <w:tcBorders>
              <w:top w:val="single" w:color="auto" w:sz="4" w:space="0"/>
              <w:tl2br w:val="nil"/>
              <w:tr2bl w:val="nil"/>
            </w:tcBorders>
            <w:shd w:val="clear" w:color="auto" w:fill="auto"/>
            <w:tcMar>
              <w:top w:w="15" w:type="dxa"/>
              <w:left w:w="15" w:type="dxa"/>
              <w:right w:w="15" w:type="dxa"/>
            </w:tcMar>
            <w:vAlign w:val="center"/>
          </w:tcPr>
          <w:p w14:paraId="7CC4C47F">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《安全生产法》第七十二条 承担安全评价、认证、检测、检验职责的机构应当具备国家规定的资质条件，并对其作出的安全评价、认证、检测、检验结果的合法性、真实性负责。资质条件由国务院应急管理部门会同国务院有关部门制定。 承担安全评价、认证、检测、检验职责的机构应当建立并实施服务公开和报告公开制度，不得租借资质、挂靠、出具虚假报告。</w:t>
            </w:r>
          </w:p>
          <w:p w14:paraId="0502D7BB">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《山东省安全生产条例》第三十六条第一款</w:t>
            </w:r>
          </w:p>
          <w:p w14:paraId="71D7D128">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承担安全评价、认证、检测、检验职责的机构应当具备国家规定的资质条件，建立并实施服务公开和报告公开制度，严格遵守相关标准和规范开展执业活动，出具安全评价、认证、检测、检验结论应当客观公正，并不得有下列行为：（四）出具失实或者虚假报告。</w:t>
            </w:r>
          </w:p>
          <w:p w14:paraId="3FA9CA32">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《安全评价检测检验机构管理办法》第二十二条 安全评价检测检验机构及其从业人员不得有下列行为：（五）出具虚假或者重大疏漏的安全评价、检测检验报告的；</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本办法所称虚假报告，是指安全评价报告、安全生产检测检验报告内容与当时实际情况严重不符，报告结论定性严重偏离客观实际。</w:t>
            </w:r>
          </w:p>
          <w:p w14:paraId="1950CFF7">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val="en-US" w:eastAsia="zh-CN" w:bidi="ar"/>
              </w:rPr>
              <w:t>《煤矿安全生产条例》第四十六条第二款  承担安全评价、认证、检测、检验等职责的煤矿安全生产技术服务机构应当依照有关法律法规和国家标准或者行业标准的规定开展安全生产技术服务活动，并对出具的报告负责，不得租借资质、挂靠、出具虚假报告。</w:t>
            </w:r>
          </w:p>
        </w:tc>
        <w:tc>
          <w:tcPr>
            <w:tcW w:w="4082" w:type="dxa"/>
            <w:vMerge w:val="restart"/>
            <w:tcBorders>
              <w:top w:val="single" w:color="auto" w:sz="4" w:space="0"/>
              <w:tl2br w:val="nil"/>
              <w:tr2bl w:val="nil"/>
            </w:tcBorders>
            <w:shd w:val="clear" w:color="auto" w:fill="auto"/>
            <w:tcMar>
              <w:top w:w="15" w:type="dxa"/>
              <w:left w:w="15" w:type="dxa"/>
              <w:right w:w="15" w:type="dxa"/>
            </w:tcMar>
            <w:vAlign w:val="center"/>
          </w:tcPr>
          <w:p w14:paraId="157AB958">
            <w:pPr>
              <w:keepNext w:val="0"/>
              <w:keepLines w:val="0"/>
              <w:pageBreakBefore w:val="0"/>
              <w:widowControl w:val="0"/>
              <w:kinsoku/>
              <w:wordWrap/>
              <w:overflowPunct w:val="0"/>
              <w:topLinePunct w:val="0"/>
              <w:autoSpaceDE/>
              <w:autoSpaceDN/>
              <w:bidi w:val="0"/>
              <w:adjustRightInd/>
              <w:snapToGrid/>
              <w:spacing w:line="236"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《安全生产法》第九十二条第二款</w:t>
            </w:r>
            <w:r>
              <w:rPr>
                <w:rFonts w:ascii="仿宋_GB2312" w:hAnsi="宋体" w:eastAsia="仿宋_GB2312" w:cs="仿宋_GB2312"/>
                <w:kern w:val="0"/>
                <w:sz w:val="18"/>
                <w:szCs w:val="18"/>
                <w:lang w:bidi="ar"/>
              </w:rPr>
              <w:t xml:space="preserve"> </w:t>
            </w:r>
            <w:r>
              <w:rPr>
                <w:rFonts w:hint="eastAsia" w:ascii="仿宋_GB2312" w:hAnsi="宋体" w:eastAsia="仿宋_GB2312" w:cs="仿宋_GB2312"/>
                <w:kern w:val="0"/>
                <w:sz w:val="18"/>
                <w:szCs w:val="18"/>
                <w:lang w:bidi="ar"/>
              </w:rPr>
              <w:t>承担安全评价、认证、检测、检验职责的机构租借资质、挂靠、出具虚假报告的，没收违法所得；违法所得在十万元以上的，并处违法所得二倍以上五倍以下的罚款，没有违法所得或者违法所得不足十万元的，单处或者并处十万元以上二十万元以下的罚款；对其直接负责的主管人员和其他直接责任人员处五万元以上十万元以下的罚款；给他人造成损害的，与生产经营单位承担连带赔偿责任；构成犯罪的，依照刑法有关规定追究刑事责任。对有前款违法行为的机构及其直接责任人员，吊销其相应资质和资格，五年内不得从事安全评价、认证、检测、检验等工作；情节严重的，实行终身行业和职业禁入。</w:t>
            </w:r>
          </w:p>
          <w:p w14:paraId="7FB81166">
            <w:pPr>
              <w:keepNext w:val="0"/>
              <w:keepLines w:val="0"/>
              <w:pageBreakBefore w:val="0"/>
              <w:widowControl w:val="0"/>
              <w:kinsoku/>
              <w:wordWrap/>
              <w:overflowPunct w:val="0"/>
              <w:topLinePunct w:val="0"/>
              <w:autoSpaceDE/>
              <w:autoSpaceDN/>
              <w:bidi w:val="0"/>
              <w:adjustRightInd/>
              <w:snapToGrid/>
              <w:spacing w:line="236"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《安全评价检测检验机构管理办法》第三十一条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承担安全评价、检测检验工作的机构，出具虚假证明的，没收违法所得；违法所得在十万元以上的，并处违法所得二倍以上五倍以下的罚款；没有违法所得或者违法所得不足十万元的，单处或者并处十万元以上二十万元以下的罚款；对其直接负责的主管人员和其他直接责任人员处二万元以上五万元以下的罚款；给他人造成损害的，与生产经营单位承担连带赔偿责任；构成犯罪的，依照刑法有关规定追究刑事责任。对有前款违法行为的机构，由资质认可机关吊销其相应资质，向社会公告，按照国家有关规定对相关机构及其责任人员实行行业禁入，纳入不良记录“黑名单”管理，以及安全评价检测检验机构信息查询系统。</w:t>
            </w:r>
          </w:p>
          <w:p w14:paraId="5203350B">
            <w:pPr>
              <w:keepNext w:val="0"/>
              <w:keepLines w:val="0"/>
              <w:pageBreakBefore w:val="0"/>
              <w:widowControl w:val="0"/>
              <w:kinsoku/>
              <w:wordWrap/>
              <w:overflowPunct w:val="0"/>
              <w:topLinePunct w:val="0"/>
              <w:autoSpaceDE/>
              <w:autoSpaceDN/>
              <w:bidi w:val="0"/>
              <w:adjustRightInd/>
              <w:snapToGrid/>
              <w:spacing w:line="236" w:lineRule="exact"/>
              <w:textAlignment w:val="center"/>
              <w:rPr>
                <w:rFonts w:hint="eastAsia"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val="en-US" w:eastAsia="zh-CN" w:bidi="ar"/>
              </w:rPr>
              <w:t>《煤矿安全生产条例》第七十二条承担安全评价、认证、检测、检验等职责的煤矿安全生产技术服务机构有出具失实报告、租借资质、挂靠、出具虚假报告等情形的，对该机构及直接负责的主管人员和其他直接责任人员，应当依照《中华人民共和国安全生产法》有关规定予以处罚并追究相应责任。其主要负责人对重大、特别重大煤矿生产安全事故负有责任的，终身不得从事煤矿安全生产相关技术服务工作。</w:t>
            </w:r>
          </w:p>
        </w:tc>
        <w:tc>
          <w:tcPr>
            <w:tcW w:w="459" w:type="dxa"/>
            <w:tcBorders>
              <w:top w:val="single" w:color="auto" w:sz="4" w:space="0"/>
              <w:tl2br w:val="nil"/>
              <w:tr2bl w:val="nil"/>
            </w:tcBorders>
            <w:shd w:val="clear" w:color="auto" w:fill="auto"/>
            <w:noWrap/>
            <w:tcMar>
              <w:top w:w="15" w:type="dxa"/>
              <w:left w:w="15" w:type="dxa"/>
              <w:right w:w="15" w:type="dxa"/>
            </w:tcMar>
            <w:vAlign w:val="center"/>
          </w:tcPr>
          <w:p w14:paraId="6E6C1D0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op w:val="single" w:color="auto" w:sz="4" w:space="0"/>
              <w:tl2br w:val="nil"/>
              <w:tr2bl w:val="nil"/>
            </w:tcBorders>
            <w:shd w:val="clear" w:color="auto" w:fill="auto"/>
            <w:tcMar>
              <w:top w:w="15" w:type="dxa"/>
              <w:left w:w="15" w:type="dxa"/>
              <w:right w:w="15" w:type="dxa"/>
            </w:tcMar>
            <w:vAlign w:val="center"/>
          </w:tcPr>
          <w:p w14:paraId="75EB4FE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出具虚假报告2份。</w:t>
            </w:r>
          </w:p>
        </w:tc>
        <w:tc>
          <w:tcPr>
            <w:tcW w:w="2655" w:type="dxa"/>
            <w:tcBorders>
              <w:top w:val="single" w:color="auto" w:sz="4" w:space="0"/>
              <w:tl2br w:val="nil"/>
              <w:tr2bl w:val="nil"/>
            </w:tcBorders>
            <w:shd w:val="clear" w:color="auto" w:fill="auto"/>
            <w:tcMar>
              <w:top w:w="15" w:type="dxa"/>
              <w:left w:w="15" w:type="dxa"/>
              <w:right w:w="15" w:type="dxa"/>
            </w:tcMar>
            <w:vAlign w:val="center"/>
          </w:tcPr>
          <w:p w14:paraId="50D00CC6">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1.没有违法所得或者违法所得不足10万元的，单处或者并处13万元以上17万元以下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；违法所得在10万元以上的，没收违法所得，并处违法所得3倍以上4倍以下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p w14:paraId="5D651D1D">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2.吊销机构资质，五年内不得从事安全评价、认证、检测、检验等工作；</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3.吊销直接责任人员资格，五年内不得从事安全评价、认证、检测、检验等工作；</w:t>
            </w:r>
          </w:p>
          <w:p w14:paraId="36C97A58">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4.对其直接负责的主管人员和其他直接责任人员处7万元以上9万元以下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614831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33"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7A910B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6C5E4D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060D2B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8B5B2A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B72F35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6630538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出具虚假报告3份以上。</w:t>
            </w:r>
          </w:p>
        </w:tc>
        <w:tc>
          <w:tcPr>
            <w:tcW w:w="2655" w:type="dxa"/>
            <w:tcBorders>
              <w:tl2br w:val="nil"/>
              <w:tr2bl w:val="nil"/>
            </w:tcBorders>
            <w:shd w:val="clear" w:color="auto" w:fill="auto"/>
            <w:tcMar>
              <w:top w:w="15" w:type="dxa"/>
              <w:left w:w="15" w:type="dxa"/>
              <w:right w:w="15" w:type="dxa"/>
            </w:tcMar>
            <w:vAlign w:val="center"/>
          </w:tcPr>
          <w:p w14:paraId="64205BC0">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1.没有违法所得或者违法所得不足10万元的，单处或者并处17万元以上20万元以下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；违法所得在10万元以上的，没收违法所得，并处违法所得4倍以上5倍以下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p w14:paraId="76FBDEC7">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2.吊销机构资质，五年内不得从事安全评价、认证、检测、检验等工作；</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3.吊销直接责任人员资格，五年内不得从事安全评价、认证、检测、检验等工作；</w:t>
            </w:r>
          </w:p>
          <w:p w14:paraId="78B26354">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4.对其直接负责的主管人员和其他直接责任人员处9万元以上10万元以下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6DE104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23B844F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2</w:t>
            </w:r>
            <w:del w:id="3036" w:author="LV" w:date="2026-07-14T17:10:06Z">
              <w:r>
                <w:rPr>
                  <w:rFonts w:hint="default" w:ascii="仿宋_GB2312" w:hAnsi="宋体" w:eastAsia="仿宋_GB2312" w:cs="仿宋_GB2312"/>
                  <w:kern w:val="0"/>
                  <w:sz w:val="18"/>
                  <w:szCs w:val="18"/>
                  <w:lang w:val="en-US" w:bidi="ar"/>
                </w:rPr>
                <w:delText>0</w:delText>
              </w:r>
            </w:del>
            <w:del w:id="3037" w:author="LV" w:date="2026-07-14T17:10:06Z">
              <w:r>
                <w:rPr>
                  <w:rFonts w:hint="default" w:ascii="仿宋_GB2312" w:hAnsi="宋体" w:eastAsia="仿宋_GB2312" w:cs="仿宋_GB2312"/>
                  <w:kern w:val="0"/>
                  <w:sz w:val="18"/>
                  <w:szCs w:val="18"/>
                  <w:lang w:val="en-US" w:eastAsia="zh-CN" w:bidi="ar"/>
                </w:rPr>
                <w:delText>5</w:delText>
              </w:r>
            </w:del>
            <w:ins w:id="3038" w:author="LV" w:date="2026-07-14T17:10:06Z">
              <w:r>
                <w:rPr>
                  <w:rFonts w:hint="eastAsia" w:ascii="仿宋_GB2312" w:hAnsi="宋体" w:eastAsia="仿宋_GB2312" w:cs="仿宋_GB2312"/>
                  <w:kern w:val="0"/>
                  <w:sz w:val="18"/>
                  <w:szCs w:val="18"/>
                  <w:lang w:val="en-US" w:eastAsia="zh-CN" w:bidi="ar"/>
                </w:rPr>
                <w:t>12</w:t>
              </w:r>
            </w:ins>
          </w:p>
        </w:tc>
        <w:tc>
          <w:tcPr>
            <w:tcW w:w="1005" w:type="dxa"/>
            <w:vMerge w:val="restart"/>
            <w:tcBorders>
              <w:tl2br w:val="nil"/>
              <w:tr2bl w:val="nil"/>
            </w:tcBorders>
            <w:shd w:val="clear" w:color="auto" w:fill="auto"/>
            <w:tcMar>
              <w:top w:w="15" w:type="dxa"/>
              <w:left w:w="15" w:type="dxa"/>
              <w:right w:w="15" w:type="dxa"/>
            </w:tcMar>
            <w:vAlign w:val="center"/>
          </w:tcPr>
          <w:p w14:paraId="77FAD33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未取得资质的机构及其有关人员擅自从事安全评价、检测检验服务的</w:t>
            </w:r>
          </w:p>
        </w:tc>
        <w:tc>
          <w:tcPr>
            <w:tcW w:w="3667" w:type="dxa"/>
            <w:vMerge w:val="restart"/>
            <w:tcBorders>
              <w:tl2br w:val="nil"/>
              <w:tr2bl w:val="nil"/>
            </w:tcBorders>
            <w:shd w:val="clear" w:color="auto" w:fill="auto"/>
            <w:tcMar>
              <w:top w:w="15" w:type="dxa"/>
              <w:left w:w="15" w:type="dxa"/>
              <w:right w:w="15" w:type="dxa"/>
            </w:tcMar>
            <w:vAlign w:val="center"/>
          </w:tcPr>
          <w:p w14:paraId="559A25E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《安全评价检测检验机构管理办法》第二十二条 安全评价检测检验机构及其从业人员不得有下列行为：</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（一）违反法规标准的规定开展安全评价、检测检验的；</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（二）不再具备资质条件或者资质过期从事安全评价、检测检验的；</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（三）超出资质认可业务范围，从事法定的安全评价、检测检验的；</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（四）出租、出借安全评价检测检验资质证书的；</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（五）出具虚假或者重大疏漏的安全评价、检测检验报告的；</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（六）违反有关法规标准规定，更改或者简化安全评价、检测检验程序和相关内容的；</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（七）专职安全评价师、专业技术人员同时在两个以上安全评价检测检验机构从业的；</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（八）安全评价项目组组长及负责勘验人员不到现场实际地点开展勘验等有关工作的；</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（九）承担现场检测检验的人员不到现场实际地点开展设备检测检验等有关工作的；</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（十）冒用他人名义或者允许他人冒用本人名义在安全评价、检测检验报告和原始记录中签名的；</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（十一）不接受资质认可机关及其下级部门监督抽查的。</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本办法所称虚假报告，是指安全评价报告、安全生产检测检验报告内容与当时实际情况严重不符，报告结论定性严重偏离客观实际。</w:t>
            </w:r>
          </w:p>
        </w:tc>
        <w:tc>
          <w:tcPr>
            <w:tcW w:w="4082" w:type="dxa"/>
            <w:vMerge w:val="restart"/>
            <w:tcBorders>
              <w:tl2br w:val="nil"/>
              <w:tr2bl w:val="nil"/>
            </w:tcBorders>
            <w:shd w:val="clear" w:color="auto" w:fill="auto"/>
            <w:tcMar>
              <w:top w:w="15" w:type="dxa"/>
              <w:left w:w="15" w:type="dxa"/>
              <w:right w:w="15" w:type="dxa"/>
            </w:tcMar>
            <w:vAlign w:val="center"/>
          </w:tcPr>
          <w:p w14:paraId="6C95B89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《安全评价检测检验机构管理办法》第二十九条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未取得资质的机构及其有关人员擅自从事安全评价、检测检验服务的，责令立即停止违法行为，依照下列规定给予处罚：（一）机构有违法所得的，没收其违法所得，并处违法所得一倍以上三倍以下的罚款，但最高不得超过三万元；没有违法所得的，处五千元以上一万元以下的罚款；（二）有关人员处五千元以上一万元以下的罚款。对有前款违法行为的机构及其人员，由资质认可机关记入有关机构和人员的信用记录，并依照有关规定予以公告。</w:t>
            </w:r>
          </w:p>
        </w:tc>
        <w:tc>
          <w:tcPr>
            <w:tcW w:w="459" w:type="dxa"/>
            <w:tcBorders>
              <w:tl2br w:val="nil"/>
              <w:tr2bl w:val="nil"/>
            </w:tcBorders>
            <w:shd w:val="clear" w:color="auto" w:fill="auto"/>
            <w:noWrap/>
            <w:tcMar>
              <w:top w:w="15" w:type="dxa"/>
              <w:left w:w="15" w:type="dxa"/>
              <w:right w:w="15" w:type="dxa"/>
            </w:tcMar>
            <w:vAlign w:val="center"/>
          </w:tcPr>
          <w:p w14:paraId="6A68A24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60A9202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775BCB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8E997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85C76B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03BBFB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EEE0E1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FCC30E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5C10EE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0B66E63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不适用总则规定</w:t>
            </w:r>
          </w:p>
        </w:tc>
        <w:tc>
          <w:tcPr>
            <w:tcW w:w="2655" w:type="dxa"/>
            <w:tcBorders>
              <w:tl2br w:val="nil"/>
              <w:tr2bl w:val="nil"/>
            </w:tcBorders>
            <w:shd w:val="clear" w:color="auto" w:fill="auto"/>
            <w:tcMar>
              <w:top w:w="15" w:type="dxa"/>
              <w:left w:w="15" w:type="dxa"/>
              <w:right w:w="15" w:type="dxa"/>
            </w:tcMar>
            <w:vAlign w:val="center"/>
          </w:tcPr>
          <w:p w14:paraId="7E77991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7C050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EE10BD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6253EE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CAD33E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797CDE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83644B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0F53528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46F4F1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14AD6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2302DB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DED6F0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8552AD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4EBE3B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3FE174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2567C1A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没有违法所得的。</w:t>
            </w:r>
          </w:p>
        </w:tc>
        <w:tc>
          <w:tcPr>
            <w:tcW w:w="2655" w:type="dxa"/>
            <w:tcBorders>
              <w:tl2br w:val="nil"/>
              <w:tr2bl w:val="nil"/>
            </w:tcBorders>
            <w:shd w:val="clear" w:color="auto" w:fill="auto"/>
            <w:tcMar>
              <w:top w:w="15" w:type="dxa"/>
              <w:left w:w="15" w:type="dxa"/>
              <w:right w:w="15" w:type="dxa"/>
            </w:tcMar>
            <w:vAlign w:val="center"/>
          </w:tcPr>
          <w:p w14:paraId="0064D4E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责令立即停止违法行为，对机构处5000元以上1万元以下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，对有关人员处5000元以上7000元以下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，记入信用记录并予以公告。</w:t>
            </w:r>
          </w:p>
        </w:tc>
      </w:tr>
      <w:tr w14:paraId="70C904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A6BEAA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B1C0C1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E12473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53DF78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28766B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548C392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违法所得1万元以内的。</w:t>
            </w:r>
          </w:p>
        </w:tc>
        <w:tc>
          <w:tcPr>
            <w:tcW w:w="2655" w:type="dxa"/>
            <w:tcBorders>
              <w:tl2br w:val="nil"/>
              <w:tr2bl w:val="nil"/>
            </w:tcBorders>
            <w:shd w:val="clear" w:color="auto" w:fill="auto"/>
            <w:tcMar>
              <w:top w:w="15" w:type="dxa"/>
              <w:left w:w="15" w:type="dxa"/>
              <w:right w:w="15" w:type="dxa"/>
            </w:tcMar>
            <w:vAlign w:val="center"/>
          </w:tcPr>
          <w:p w14:paraId="6075212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责令立即停止违法行为，没收违法所得，对机构处违法所得1倍以上2倍以下</w:t>
            </w:r>
            <w:r>
              <w:rPr>
                <w:rFonts w:hint="eastAsia" w:ascii="仿宋_GB2312" w:hAnsi="宋体" w:eastAsia="仿宋_GB2312" w:cs="仿宋_GB2312"/>
                <w:kern w:val="0"/>
                <w:sz w:val="18"/>
                <w:szCs w:val="18"/>
                <w:lang w:val="en-US" w:eastAsia="zh-CN" w:bidi="ar"/>
              </w:rPr>
              <w:t>的</w:t>
            </w:r>
            <w:r>
              <w:rPr>
                <w:rFonts w:hint="eastAsia" w:ascii="仿宋_GB2312" w:hAnsi="宋体" w:eastAsia="仿宋_GB2312" w:cs="仿宋_GB2312"/>
                <w:kern w:val="0"/>
                <w:sz w:val="18"/>
                <w:szCs w:val="18"/>
                <w:lang w:bidi="ar"/>
              </w:rPr>
              <w:t>罚款，对有关人员处7000元以上9000元以上</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，记入信用记录并予以公告。</w:t>
            </w:r>
          </w:p>
        </w:tc>
      </w:tr>
      <w:tr w14:paraId="640292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5BB7B2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9D0615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21E771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43F967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3D182E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6401E17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违法所得超过1万元的。</w:t>
            </w:r>
          </w:p>
        </w:tc>
        <w:tc>
          <w:tcPr>
            <w:tcW w:w="2655" w:type="dxa"/>
            <w:tcBorders>
              <w:tl2br w:val="nil"/>
              <w:tr2bl w:val="nil"/>
            </w:tcBorders>
            <w:shd w:val="clear" w:color="auto" w:fill="auto"/>
            <w:tcMar>
              <w:top w:w="15" w:type="dxa"/>
              <w:left w:w="15" w:type="dxa"/>
              <w:right w:w="15" w:type="dxa"/>
            </w:tcMar>
            <w:vAlign w:val="center"/>
          </w:tcPr>
          <w:p w14:paraId="22E5D07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责令立即停止违法行为，没收违法所得，对机构处违法所得2倍以上3倍以下</w:t>
            </w:r>
            <w:r>
              <w:rPr>
                <w:rFonts w:hint="eastAsia" w:ascii="仿宋_GB2312" w:hAnsi="宋体" w:eastAsia="仿宋_GB2312" w:cs="仿宋_GB2312"/>
                <w:kern w:val="0"/>
                <w:sz w:val="18"/>
                <w:szCs w:val="18"/>
                <w:lang w:val="en-US" w:eastAsia="zh-CN" w:bidi="ar"/>
              </w:rPr>
              <w:t>的</w:t>
            </w:r>
            <w:r>
              <w:rPr>
                <w:rFonts w:hint="eastAsia" w:ascii="仿宋_GB2312" w:hAnsi="宋体" w:eastAsia="仿宋_GB2312" w:cs="仿宋_GB2312"/>
                <w:kern w:val="0"/>
                <w:sz w:val="18"/>
                <w:szCs w:val="18"/>
                <w:lang w:bidi="ar"/>
              </w:rPr>
              <w:t>罚款，最高不超过3万元，对有关人员处9000元以上1万元以下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，记入信用记录并予以公告。</w:t>
            </w:r>
          </w:p>
        </w:tc>
      </w:tr>
      <w:tr w14:paraId="199C3D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7B4C465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2</w:t>
            </w:r>
            <w:del w:id="3039" w:author="LV" w:date="2026-07-14T17:10:59Z">
              <w:r>
                <w:rPr>
                  <w:rFonts w:hint="default" w:ascii="仿宋_GB2312" w:hAnsi="宋体" w:eastAsia="仿宋_GB2312" w:cs="仿宋_GB2312"/>
                  <w:kern w:val="0"/>
                  <w:sz w:val="18"/>
                  <w:szCs w:val="18"/>
                  <w:lang w:val="en-US" w:bidi="ar"/>
                </w:rPr>
                <w:delText>0</w:delText>
              </w:r>
            </w:del>
            <w:del w:id="3040" w:author="LV" w:date="2026-07-14T17:10:59Z">
              <w:r>
                <w:rPr>
                  <w:rFonts w:hint="default" w:ascii="仿宋_GB2312" w:hAnsi="宋体" w:eastAsia="仿宋_GB2312" w:cs="仿宋_GB2312"/>
                  <w:kern w:val="0"/>
                  <w:sz w:val="18"/>
                  <w:szCs w:val="18"/>
                  <w:lang w:val="en-US" w:eastAsia="zh-CN" w:bidi="ar"/>
                </w:rPr>
                <w:delText>6</w:delText>
              </w:r>
            </w:del>
            <w:ins w:id="3041" w:author="LV" w:date="2026-07-14T17:10:59Z">
              <w:r>
                <w:rPr>
                  <w:rFonts w:hint="eastAsia" w:ascii="仿宋_GB2312" w:hAnsi="宋体" w:eastAsia="仿宋_GB2312" w:cs="仿宋_GB2312"/>
                  <w:kern w:val="0"/>
                  <w:sz w:val="18"/>
                  <w:szCs w:val="18"/>
                  <w:lang w:val="en-US" w:eastAsia="zh-CN" w:bidi="ar"/>
                </w:rPr>
                <w:t>1</w:t>
              </w:r>
            </w:ins>
            <w:ins w:id="3042" w:author="LV" w:date="2026-07-14T17:11:00Z">
              <w:r>
                <w:rPr>
                  <w:rFonts w:hint="eastAsia" w:ascii="仿宋_GB2312" w:hAnsi="宋体" w:eastAsia="仿宋_GB2312" w:cs="仿宋_GB2312"/>
                  <w:kern w:val="0"/>
                  <w:sz w:val="18"/>
                  <w:szCs w:val="18"/>
                  <w:lang w:val="en-US" w:eastAsia="zh-CN" w:bidi="ar"/>
                </w:rPr>
                <w:t>3</w:t>
              </w:r>
            </w:ins>
          </w:p>
        </w:tc>
        <w:tc>
          <w:tcPr>
            <w:tcW w:w="1005" w:type="dxa"/>
            <w:vMerge w:val="restart"/>
            <w:tcBorders>
              <w:tl2br w:val="nil"/>
              <w:tr2bl w:val="nil"/>
            </w:tcBorders>
            <w:shd w:val="clear" w:color="auto" w:fill="auto"/>
            <w:tcMar>
              <w:top w:w="15" w:type="dxa"/>
              <w:left w:w="15" w:type="dxa"/>
              <w:right w:w="15" w:type="dxa"/>
            </w:tcMar>
            <w:vAlign w:val="center"/>
          </w:tcPr>
          <w:p w14:paraId="715F636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安全评价检测检验机构未依法与委托方签订技术服务合同的</w:t>
            </w:r>
          </w:p>
        </w:tc>
        <w:tc>
          <w:tcPr>
            <w:tcW w:w="3667" w:type="dxa"/>
            <w:vMerge w:val="restart"/>
            <w:tcBorders>
              <w:tl2br w:val="nil"/>
              <w:tr2bl w:val="nil"/>
            </w:tcBorders>
            <w:shd w:val="clear" w:color="auto" w:fill="auto"/>
            <w:tcMar>
              <w:top w:w="15" w:type="dxa"/>
              <w:left w:w="15" w:type="dxa"/>
              <w:right w:w="15" w:type="dxa"/>
            </w:tcMar>
            <w:vAlign w:val="center"/>
          </w:tcPr>
          <w:p w14:paraId="0753CF5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《安全评价检测检验机构管理办法》第十六条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 xml:space="preserve">  生产经营单位委托安全评价检测检验机构开展技术服务时，应当签订委托技术服务合同，明确服务对象、范围、权利、义务和责任。</w:t>
            </w:r>
          </w:p>
        </w:tc>
        <w:tc>
          <w:tcPr>
            <w:tcW w:w="4082" w:type="dxa"/>
            <w:vMerge w:val="restart"/>
            <w:tcBorders>
              <w:tl2br w:val="nil"/>
              <w:tr2bl w:val="nil"/>
            </w:tcBorders>
            <w:shd w:val="clear" w:color="auto" w:fill="auto"/>
            <w:tcMar>
              <w:top w:w="15" w:type="dxa"/>
              <w:left w:w="15" w:type="dxa"/>
              <w:right w:w="15" w:type="dxa"/>
            </w:tcMar>
            <w:vAlign w:val="center"/>
          </w:tcPr>
          <w:p w14:paraId="77806AB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《安全评价检测检验机构管理办法》第三十条 安全评价检测检验机构有下列情形之一的，责令改正或者责令限期改正，给予警告，可以并处一万元以下的罚款；逾期未改正的，处一万元以上三万元以下的罚款，对相关责任人处一千元以上五千元以下的罚款；情节严重的，处一万元以上三万元以下的罚款，对相关责任人处五千元以上一万元以下的罚款：（一）未依法与委托方签订技术服务合同的；</w:t>
            </w:r>
          </w:p>
        </w:tc>
        <w:tc>
          <w:tcPr>
            <w:tcW w:w="459" w:type="dxa"/>
            <w:tcBorders>
              <w:tl2br w:val="nil"/>
              <w:tr2bl w:val="nil"/>
            </w:tcBorders>
            <w:shd w:val="clear" w:color="auto" w:fill="auto"/>
            <w:noWrap/>
            <w:tcMar>
              <w:top w:w="15" w:type="dxa"/>
              <w:left w:w="15" w:type="dxa"/>
              <w:right w:w="15" w:type="dxa"/>
            </w:tcMar>
            <w:vAlign w:val="center"/>
          </w:tcPr>
          <w:p w14:paraId="4CFFE27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4BB9145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C0A459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95508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8E7568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49C455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DBF70D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3339F9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7A7111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50B7D79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02AE703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44B1D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A0A8F2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50088C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60CE09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A65D71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8921CF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5115125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856C7E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E02FA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353417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B3D711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55B9FD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E05689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3AA3BA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34AA354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1项服务项目未签订技术服务合同的。</w:t>
            </w:r>
          </w:p>
        </w:tc>
        <w:tc>
          <w:tcPr>
            <w:tcW w:w="2655" w:type="dxa"/>
            <w:tcBorders>
              <w:tl2br w:val="nil"/>
              <w:tr2bl w:val="nil"/>
            </w:tcBorders>
            <w:shd w:val="clear" w:color="auto" w:fill="auto"/>
            <w:tcMar>
              <w:top w:w="15" w:type="dxa"/>
              <w:left w:w="15" w:type="dxa"/>
              <w:right w:w="15" w:type="dxa"/>
            </w:tcMar>
            <w:vAlign w:val="center"/>
          </w:tcPr>
          <w:p w14:paraId="2D6AE8FA">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给予警告，可以并处3000元以下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；逾期未改正的，处1万元以上1.5万元以下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，对相关责任人处1000元以上2000元以下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；情节严重的，处1万元以上1.5万元以下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，对相关责任人处5000元以上7000元以下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2EF7F1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B489F2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D83F05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E11B26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EAC64B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2EC63D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1FD031D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2项服务项目未签订技术服务合同的。</w:t>
            </w:r>
          </w:p>
        </w:tc>
        <w:tc>
          <w:tcPr>
            <w:tcW w:w="2655" w:type="dxa"/>
            <w:tcBorders>
              <w:tl2br w:val="nil"/>
              <w:tr2bl w:val="nil"/>
            </w:tcBorders>
            <w:shd w:val="clear" w:color="auto" w:fill="auto"/>
            <w:tcMar>
              <w:top w:w="15" w:type="dxa"/>
              <w:left w:w="15" w:type="dxa"/>
              <w:right w:w="15" w:type="dxa"/>
            </w:tcMar>
            <w:vAlign w:val="center"/>
          </w:tcPr>
          <w:p w14:paraId="427FB6D9">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给予警告，可以并处3000元以上7000元以下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；逾期未改正的，处1.5万元以上2.5万元以下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，对相关责任人处2000元以上3000元以下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；情节严重的，处1.5万元以上2.5万元以下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，对相关责任人处7000元以上9000元以下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7271B4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D226A1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A59675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48F60A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579D4F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DF0132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64B1647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3项及以上服务项目未签订技术服务合同的。</w:t>
            </w:r>
          </w:p>
        </w:tc>
        <w:tc>
          <w:tcPr>
            <w:tcW w:w="2655" w:type="dxa"/>
            <w:tcBorders>
              <w:tl2br w:val="nil"/>
              <w:tr2bl w:val="nil"/>
            </w:tcBorders>
            <w:shd w:val="clear" w:color="auto" w:fill="auto"/>
            <w:tcMar>
              <w:top w:w="15" w:type="dxa"/>
              <w:left w:w="15" w:type="dxa"/>
              <w:right w:w="15" w:type="dxa"/>
            </w:tcMar>
            <w:vAlign w:val="center"/>
          </w:tcPr>
          <w:p w14:paraId="07EB313D">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给予警告，可以并处7000元以上1万元以下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；逾期未改正的，处2.5万元以上3万元以下万元</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，对相关责任人处3000元以上5000元以下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；情节严重的，处2.5万元以上3万元以下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，对相关责任人处9000元以上1万元以下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26C5BF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5020B1A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2</w:t>
            </w:r>
            <w:del w:id="3043" w:author="LV" w:date="2026-07-14T17:11:07Z">
              <w:r>
                <w:rPr>
                  <w:rFonts w:hint="default" w:ascii="仿宋_GB2312" w:hAnsi="宋体" w:eastAsia="仿宋_GB2312" w:cs="仿宋_GB2312"/>
                  <w:kern w:val="0"/>
                  <w:sz w:val="18"/>
                  <w:szCs w:val="18"/>
                  <w:lang w:val="en-US" w:bidi="ar"/>
                </w:rPr>
                <w:delText>0</w:delText>
              </w:r>
            </w:del>
            <w:del w:id="3044" w:author="LV" w:date="2026-07-14T17:11:07Z">
              <w:r>
                <w:rPr>
                  <w:rFonts w:hint="default" w:ascii="仿宋_GB2312" w:hAnsi="宋体" w:eastAsia="仿宋_GB2312" w:cs="仿宋_GB2312"/>
                  <w:kern w:val="0"/>
                  <w:sz w:val="18"/>
                  <w:szCs w:val="18"/>
                  <w:lang w:val="en-US" w:eastAsia="zh-CN" w:bidi="ar"/>
                </w:rPr>
                <w:delText>7</w:delText>
              </w:r>
            </w:del>
            <w:ins w:id="3045" w:author="LV" w:date="2026-07-14T17:11:07Z">
              <w:r>
                <w:rPr>
                  <w:rFonts w:hint="eastAsia" w:ascii="仿宋_GB2312" w:hAnsi="宋体" w:eastAsia="仿宋_GB2312" w:cs="仿宋_GB2312"/>
                  <w:kern w:val="0"/>
                  <w:sz w:val="18"/>
                  <w:szCs w:val="18"/>
                  <w:lang w:val="en-US" w:eastAsia="zh-CN" w:bidi="ar"/>
                </w:rPr>
                <w:t>14</w:t>
              </w:r>
            </w:ins>
          </w:p>
        </w:tc>
        <w:tc>
          <w:tcPr>
            <w:tcW w:w="1005" w:type="dxa"/>
            <w:vMerge w:val="restart"/>
            <w:tcBorders>
              <w:tl2br w:val="nil"/>
              <w:tr2bl w:val="nil"/>
            </w:tcBorders>
            <w:shd w:val="clear" w:color="auto" w:fill="auto"/>
            <w:tcMar>
              <w:top w:w="15" w:type="dxa"/>
              <w:left w:w="15" w:type="dxa"/>
              <w:right w:w="15" w:type="dxa"/>
            </w:tcMar>
            <w:vAlign w:val="center"/>
          </w:tcPr>
          <w:p w14:paraId="4592559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安全评价检测检验机构未按规定公开安全评价报告、安全生产检测检验报告相关信息及现场勘验图像影像资料的</w:t>
            </w:r>
          </w:p>
        </w:tc>
        <w:tc>
          <w:tcPr>
            <w:tcW w:w="3667" w:type="dxa"/>
            <w:vMerge w:val="restart"/>
            <w:tcBorders>
              <w:tl2br w:val="nil"/>
              <w:tr2bl w:val="nil"/>
            </w:tcBorders>
            <w:shd w:val="clear" w:color="auto" w:fill="auto"/>
            <w:tcMar>
              <w:top w:w="15" w:type="dxa"/>
              <w:left w:w="15" w:type="dxa"/>
              <w:right w:w="15" w:type="dxa"/>
            </w:tcMar>
            <w:vAlign w:val="center"/>
          </w:tcPr>
          <w:p w14:paraId="4354439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《安全评价检测检验机构管理办法》第十八条   第二款</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安全评价检测检验机构应当按照有关规定在网上公开安全评价报告、安全生产检测检验报告相关信息及现场勘验图像影像。</w:t>
            </w:r>
          </w:p>
        </w:tc>
        <w:tc>
          <w:tcPr>
            <w:tcW w:w="4082" w:type="dxa"/>
            <w:vMerge w:val="restart"/>
            <w:tcBorders>
              <w:tl2br w:val="nil"/>
              <w:tr2bl w:val="nil"/>
            </w:tcBorders>
            <w:shd w:val="clear" w:color="auto" w:fill="auto"/>
            <w:tcMar>
              <w:top w:w="15" w:type="dxa"/>
              <w:left w:w="15" w:type="dxa"/>
              <w:right w:w="15" w:type="dxa"/>
            </w:tcMar>
            <w:vAlign w:val="center"/>
          </w:tcPr>
          <w:p w14:paraId="2E07258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《安全评价检测检验机构管理办法》第三十条 安全评价检测检验机构有下列情形之一的，责令改正或者责令限期改正，给予警告，可以并处一万元以下的罚款；逾期未改正的，处一万元以上三万元以下的罚款，对相关责任人处一千元以上五千元以下的罚款；情节严重的，处一万元以上三万元以下的罚款，对相关责任人处五千元以上一万元以下的罚款：（三）未按规定公开安全评价报告、安全生产检测检验报告相关信息及现场勘验图像影像资料的</w:t>
            </w:r>
            <w:r>
              <w:rPr>
                <w:rFonts w:ascii="仿宋_GB2312" w:hAnsi="宋体" w:eastAsia="仿宋_GB2312" w:cs="仿宋_GB2312"/>
                <w:kern w:val="0"/>
                <w:sz w:val="18"/>
                <w:szCs w:val="18"/>
                <w:lang w:bidi="ar"/>
              </w:rPr>
              <w:t>。</w:t>
            </w:r>
          </w:p>
        </w:tc>
        <w:tc>
          <w:tcPr>
            <w:tcW w:w="459" w:type="dxa"/>
            <w:tcBorders>
              <w:tl2br w:val="nil"/>
              <w:tr2bl w:val="nil"/>
            </w:tcBorders>
            <w:shd w:val="clear" w:color="auto" w:fill="auto"/>
            <w:noWrap/>
            <w:tcMar>
              <w:top w:w="15" w:type="dxa"/>
              <w:left w:w="15" w:type="dxa"/>
              <w:right w:w="15" w:type="dxa"/>
            </w:tcMar>
            <w:vAlign w:val="center"/>
          </w:tcPr>
          <w:p w14:paraId="1D7AC4F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3E60C80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53582F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36DB5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2114BC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660899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33034F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37BA28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5C5FDF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4B0C54C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67C895D6">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9AA9B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D25412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168B2D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236531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A061CE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DAA5E8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7154A3C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657E361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7CD25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B53B81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D5F8F4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A6A74F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C4831D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DE50F9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4981061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1项服务项目未按规定公开安全评价报告、安全生产检测检验报告相关信息及现场勘验图像影像资料的。</w:t>
            </w:r>
          </w:p>
        </w:tc>
        <w:tc>
          <w:tcPr>
            <w:tcW w:w="2655" w:type="dxa"/>
            <w:tcBorders>
              <w:tl2br w:val="nil"/>
              <w:tr2bl w:val="nil"/>
            </w:tcBorders>
            <w:shd w:val="clear" w:color="auto" w:fill="auto"/>
            <w:tcMar>
              <w:top w:w="15" w:type="dxa"/>
              <w:left w:w="15" w:type="dxa"/>
              <w:right w:w="15" w:type="dxa"/>
            </w:tcMar>
            <w:vAlign w:val="center"/>
          </w:tcPr>
          <w:p w14:paraId="6D2A9613">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给予警告，可以并处3000元以下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；逾期未改正的，处1万元以上1.5万元以下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，对相关责任人处1000元以上2000元以下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；情节严重的，处1万元以上1.5万元以下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，对相关责任人处5000元以上7000元以下</w:t>
            </w:r>
            <w:r>
              <w:rPr>
                <w:rFonts w:hint="eastAsia" w:ascii="仿宋_GB2312" w:hAnsi="宋体" w:eastAsia="仿宋_GB2312" w:cs="仿宋_GB2312"/>
                <w:kern w:val="0"/>
                <w:sz w:val="18"/>
                <w:szCs w:val="18"/>
                <w:lang w:val="en-US" w:eastAsia="zh-CN" w:bidi="ar"/>
              </w:rPr>
              <w:t>的</w:t>
            </w:r>
            <w:r>
              <w:rPr>
                <w:rFonts w:hint="eastAsia" w:ascii="仿宋_GB2312" w:hAnsi="宋体" w:eastAsia="仿宋_GB2312" w:cs="仿宋_GB2312"/>
                <w:kern w:val="0"/>
                <w:sz w:val="18"/>
                <w:szCs w:val="18"/>
                <w:lang w:bidi="ar"/>
              </w:rPr>
              <w:t>罚款。</w:t>
            </w:r>
          </w:p>
        </w:tc>
      </w:tr>
      <w:tr w14:paraId="0A1113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E39093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AB2645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51BD9E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1182C8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3E6112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131604B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2项服务项目未按规定公开安全评价报告、安全生产检测检验报告相关信息及现场勘验图像影像资料的。</w:t>
            </w:r>
          </w:p>
        </w:tc>
        <w:tc>
          <w:tcPr>
            <w:tcW w:w="2655" w:type="dxa"/>
            <w:tcBorders>
              <w:tl2br w:val="nil"/>
              <w:tr2bl w:val="nil"/>
            </w:tcBorders>
            <w:shd w:val="clear" w:color="auto" w:fill="auto"/>
            <w:tcMar>
              <w:top w:w="15" w:type="dxa"/>
              <w:left w:w="15" w:type="dxa"/>
              <w:right w:w="15" w:type="dxa"/>
            </w:tcMar>
            <w:vAlign w:val="center"/>
          </w:tcPr>
          <w:p w14:paraId="5F90B6D6">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给予警告，可以并处3000元以上7000元以下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；逾期未改正的，处1.5万元以上2.5万元以下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，对相关责任人处2000元以上3000元以下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；情节严重的，处1.5万元以上2.5万元以下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，对相关责任人处7000元以上9000元以下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77A21E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0DCBA0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0EAB1B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F785E7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CF6647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0DDB0C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3CDABFF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3项及以上服务项目未按规定公开安全评价报告、安全生产检测检验报告相关信息及现场勘验图像影像资料的。</w:t>
            </w:r>
          </w:p>
        </w:tc>
        <w:tc>
          <w:tcPr>
            <w:tcW w:w="2655" w:type="dxa"/>
            <w:tcBorders>
              <w:tl2br w:val="nil"/>
              <w:tr2bl w:val="nil"/>
            </w:tcBorders>
            <w:shd w:val="clear" w:color="auto" w:fill="auto"/>
            <w:tcMar>
              <w:top w:w="15" w:type="dxa"/>
              <w:left w:w="15" w:type="dxa"/>
              <w:right w:w="15" w:type="dxa"/>
            </w:tcMar>
            <w:vAlign w:val="center"/>
          </w:tcPr>
          <w:p w14:paraId="7F5C1DC0">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给予警告，可以并处7000元以上1万元以下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；逾期未改正的，处2.5万元以上3万元以下万元</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，对相关责任人处3000元以上5000元以下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；情节严重的，处2.5万元以上3万元以下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，对相关责任人处9000元以上1万元以下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218444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7DDFD42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2</w:t>
            </w:r>
            <w:del w:id="3046" w:author="LV" w:date="2026-07-14T17:11:10Z">
              <w:r>
                <w:rPr>
                  <w:rFonts w:hint="default" w:ascii="仿宋_GB2312" w:hAnsi="宋体" w:eastAsia="仿宋_GB2312" w:cs="仿宋_GB2312"/>
                  <w:kern w:val="0"/>
                  <w:sz w:val="18"/>
                  <w:szCs w:val="18"/>
                  <w:lang w:val="en-US" w:bidi="ar"/>
                </w:rPr>
                <w:delText>0</w:delText>
              </w:r>
            </w:del>
            <w:del w:id="3047" w:author="LV" w:date="2026-07-14T17:11:10Z">
              <w:r>
                <w:rPr>
                  <w:rFonts w:hint="default" w:ascii="仿宋_GB2312" w:hAnsi="宋体" w:eastAsia="仿宋_GB2312" w:cs="仿宋_GB2312"/>
                  <w:kern w:val="0"/>
                  <w:sz w:val="18"/>
                  <w:szCs w:val="18"/>
                  <w:lang w:val="en-US" w:eastAsia="zh-CN" w:bidi="ar"/>
                </w:rPr>
                <w:delText>8</w:delText>
              </w:r>
            </w:del>
            <w:ins w:id="3048" w:author="LV" w:date="2026-07-14T17:11:10Z">
              <w:r>
                <w:rPr>
                  <w:rFonts w:hint="eastAsia" w:ascii="仿宋_GB2312" w:hAnsi="宋体" w:eastAsia="仿宋_GB2312" w:cs="仿宋_GB2312"/>
                  <w:kern w:val="0"/>
                  <w:sz w:val="18"/>
                  <w:szCs w:val="18"/>
                  <w:lang w:val="en-US" w:eastAsia="zh-CN" w:bidi="ar"/>
                </w:rPr>
                <w:t>1</w:t>
              </w:r>
            </w:ins>
            <w:ins w:id="3049" w:author="LV" w:date="2026-07-14T17:11:11Z">
              <w:r>
                <w:rPr>
                  <w:rFonts w:hint="eastAsia" w:ascii="仿宋_GB2312" w:hAnsi="宋体" w:eastAsia="仿宋_GB2312" w:cs="仿宋_GB2312"/>
                  <w:kern w:val="0"/>
                  <w:sz w:val="18"/>
                  <w:szCs w:val="18"/>
                  <w:lang w:val="en-US" w:eastAsia="zh-CN" w:bidi="ar"/>
                </w:rPr>
                <w:t>5</w:t>
              </w:r>
            </w:ins>
          </w:p>
        </w:tc>
        <w:tc>
          <w:tcPr>
            <w:tcW w:w="1005" w:type="dxa"/>
            <w:vMerge w:val="restart"/>
            <w:tcBorders>
              <w:tl2br w:val="nil"/>
              <w:tr2bl w:val="nil"/>
            </w:tcBorders>
            <w:shd w:val="clear" w:color="auto" w:fill="auto"/>
            <w:tcMar>
              <w:top w:w="15" w:type="dxa"/>
              <w:left w:w="15" w:type="dxa"/>
              <w:right w:w="15" w:type="dxa"/>
            </w:tcMar>
            <w:vAlign w:val="center"/>
          </w:tcPr>
          <w:p w14:paraId="00A96C6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安全评价检测检验机构未在开展现场技术服务前七个工作日内，书面告知项目实施地资质认可机关的</w:t>
            </w:r>
          </w:p>
        </w:tc>
        <w:tc>
          <w:tcPr>
            <w:tcW w:w="3667" w:type="dxa"/>
            <w:vMerge w:val="restart"/>
            <w:tcBorders>
              <w:tl2br w:val="nil"/>
              <w:tr2bl w:val="nil"/>
            </w:tcBorders>
            <w:shd w:val="clear" w:color="auto" w:fill="auto"/>
            <w:tcMar>
              <w:top w:w="15" w:type="dxa"/>
              <w:left w:w="15" w:type="dxa"/>
              <w:right w:w="15" w:type="dxa"/>
            </w:tcMar>
            <w:vAlign w:val="center"/>
          </w:tcPr>
          <w:p w14:paraId="1B3134E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《安全评价检测检验机构管理办法》第十九条   安全评价检测检验机构应当在开展现场技术服务前七个工作日内，书面告知项目实施地资质认可机关，接受资质认可机关及其下级部门的监督抽查。</w:t>
            </w:r>
          </w:p>
        </w:tc>
        <w:tc>
          <w:tcPr>
            <w:tcW w:w="4082" w:type="dxa"/>
            <w:vMerge w:val="restart"/>
            <w:tcBorders>
              <w:tl2br w:val="nil"/>
              <w:tr2bl w:val="nil"/>
            </w:tcBorders>
            <w:shd w:val="clear" w:color="auto" w:fill="auto"/>
            <w:tcMar>
              <w:top w:w="15" w:type="dxa"/>
              <w:left w:w="15" w:type="dxa"/>
              <w:right w:w="15" w:type="dxa"/>
            </w:tcMar>
            <w:vAlign w:val="center"/>
          </w:tcPr>
          <w:p w14:paraId="4650F6E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《安全评价检测检验机构管理办法》第三十条 安全评价检测检验机构有下列情形之一的，责令改正或者责令限期改正，给予警告，可以并处一万元以下的罚款；逾期未改正的，处一万元以上三万元以下的罚款，对相关责任人处一千元以上五千元以下的罚款；情节严重的，处一万元以上三万元以下的罚款，对相关责任人处五千元以上一万元以下的罚款：（四）未在开展现场技术服务前七个工作日内，书面告知项目实施地资质认可机关的</w:t>
            </w:r>
            <w:r>
              <w:rPr>
                <w:rFonts w:ascii="仿宋_GB2312" w:hAnsi="宋体" w:eastAsia="仿宋_GB2312" w:cs="仿宋_GB2312"/>
                <w:kern w:val="0"/>
                <w:sz w:val="18"/>
                <w:szCs w:val="18"/>
                <w:lang w:bidi="ar"/>
              </w:rPr>
              <w:t>。</w:t>
            </w:r>
          </w:p>
        </w:tc>
        <w:tc>
          <w:tcPr>
            <w:tcW w:w="459" w:type="dxa"/>
            <w:tcBorders>
              <w:tl2br w:val="nil"/>
              <w:tr2bl w:val="nil"/>
            </w:tcBorders>
            <w:shd w:val="clear" w:color="auto" w:fill="auto"/>
            <w:noWrap/>
            <w:tcMar>
              <w:top w:w="15" w:type="dxa"/>
              <w:left w:w="15" w:type="dxa"/>
              <w:right w:w="15" w:type="dxa"/>
            </w:tcMar>
            <w:vAlign w:val="center"/>
          </w:tcPr>
          <w:p w14:paraId="187C292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64389A7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623AFE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23DBD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CBC43E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6C0E78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99ED81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AF413D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B4D358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66C57B3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46F22B46">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91C46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015354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656702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5603C5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68C5CD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CF8A3E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3F28641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721FB9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C17F0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A4E90F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56682A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A8857A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06FD59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4E550A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5801254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1项服务项目未在开展现场技术服务前七个工作日内，书面告知项目实施地资质认可机关的。</w:t>
            </w:r>
          </w:p>
        </w:tc>
        <w:tc>
          <w:tcPr>
            <w:tcW w:w="2655" w:type="dxa"/>
            <w:tcBorders>
              <w:tl2br w:val="nil"/>
              <w:tr2bl w:val="nil"/>
            </w:tcBorders>
            <w:shd w:val="clear" w:color="auto" w:fill="auto"/>
            <w:tcMar>
              <w:top w:w="15" w:type="dxa"/>
              <w:left w:w="15" w:type="dxa"/>
              <w:right w:w="15" w:type="dxa"/>
            </w:tcMar>
            <w:vAlign w:val="center"/>
          </w:tcPr>
          <w:p w14:paraId="5B5FE4B4">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给予警告，可以并处3000元以下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；逾期未改正的，处1万元以上1.5万元以下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，对相关责任人处1000元以上2000元以下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；情节严重的，处1万元以上1.5万元以下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，对相关责任人处5000元以上7000元以下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0F7DE9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D594D2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605125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BA5D66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C2082B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B52BC1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097B2DC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2项服务项目未在开展现场技术服务前七个工作日内，书面告知项目实施地资质认可机关的。</w:t>
            </w:r>
          </w:p>
        </w:tc>
        <w:tc>
          <w:tcPr>
            <w:tcW w:w="2655" w:type="dxa"/>
            <w:tcBorders>
              <w:tl2br w:val="nil"/>
              <w:tr2bl w:val="nil"/>
            </w:tcBorders>
            <w:shd w:val="clear" w:color="auto" w:fill="auto"/>
            <w:tcMar>
              <w:top w:w="15" w:type="dxa"/>
              <w:left w:w="15" w:type="dxa"/>
              <w:right w:w="15" w:type="dxa"/>
            </w:tcMar>
            <w:vAlign w:val="center"/>
          </w:tcPr>
          <w:p w14:paraId="008E3DF7">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给予警告，可以并处3000元以上7000元以下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；逾期未改正的，处1.5万元以上2.5万元以下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，对相关责任人处2000元以上3000元以下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；情节严重的，处1.5万元以上2.5万元以下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，对相关责任人处7000元以上9000元以下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4BAFAF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915349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444590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6A2493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34725D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A9AAB7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75B88AD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3项及以上服务项目未在开展现场技术服务前七个工作日内，书面告知项目实施地资质认可机关的。</w:t>
            </w:r>
          </w:p>
        </w:tc>
        <w:tc>
          <w:tcPr>
            <w:tcW w:w="2655" w:type="dxa"/>
            <w:tcBorders>
              <w:tl2br w:val="nil"/>
              <w:tr2bl w:val="nil"/>
            </w:tcBorders>
            <w:shd w:val="clear" w:color="auto" w:fill="auto"/>
            <w:tcMar>
              <w:top w:w="15" w:type="dxa"/>
              <w:left w:w="15" w:type="dxa"/>
              <w:right w:w="15" w:type="dxa"/>
            </w:tcMar>
            <w:vAlign w:val="center"/>
          </w:tcPr>
          <w:p w14:paraId="18DBEBA0">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给予警告，可以并处7000元以上1万元以下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；逾期未改正的，处2.5万元以上3万元以下万元</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，对相关责任人处3000元以上5000元以下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；情节严重的，处2.5万元以上3万元以下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，对相关责任人处9000元以上1万元以下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583C25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7E0CEAA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2</w:t>
            </w:r>
            <w:del w:id="3050" w:author="LV" w:date="2026-07-14T17:11:16Z">
              <w:r>
                <w:rPr>
                  <w:rFonts w:hint="default" w:ascii="仿宋_GB2312" w:hAnsi="宋体" w:eastAsia="仿宋_GB2312" w:cs="仿宋_GB2312"/>
                  <w:kern w:val="0"/>
                  <w:sz w:val="18"/>
                  <w:szCs w:val="18"/>
                  <w:lang w:val="en-US" w:bidi="ar"/>
                </w:rPr>
                <w:delText>0</w:delText>
              </w:r>
            </w:del>
            <w:del w:id="3051" w:author="LV" w:date="2026-07-14T17:11:16Z">
              <w:r>
                <w:rPr>
                  <w:rFonts w:hint="default" w:ascii="仿宋_GB2312" w:hAnsi="宋体" w:eastAsia="仿宋_GB2312" w:cs="仿宋_GB2312"/>
                  <w:kern w:val="0"/>
                  <w:sz w:val="18"/>
                  <w:szCs w:val="18"/>
                  <w:lang w:val="en-US" w:eastAsia="zh-CN" w:bidi="ar"/>
                </w:rPr>
                <w:delText>9</w:delText>
              </w:r>
            </w:del>
            <w:ins w:id="3052" w:author="LV" w:date="2026-07-14T17:11:16Z">
              <w:r>
                <w:rPr>
                  <w:rFonts w:hint="eastAsia" w:ascii="仿宋_GB2312" w:hAnsi="宋体" w:eastAsia="仿宋_GB2312" w:cs="仿宋_GB2312"/>
                  <w:kern w:val="0"/>
                  <w:sz w:val="18"/>
                  <w:szCs w:val="18"/>
                  <w:lang w:val="en-US" w:eastAsia="zh-CN" w:bidi="ar"/>
                </w:rPr>
                <w:t>1</w:t>
              </w:r>
            </w:ins>
            <w:ins w:id="3053" w:author="LV" w:date="2026-07-14T17:11:17Z">
              <w:r>
                <w:rPr>
                  <w:rFonts w:hint="eastAsia" w:ascii="仿宋_GB2312" w:hAnsi="宋体" w:eastAsia="仿宋_GB2312" w:cs="仿宋_GB2312"/>
                  <w:kern w:val="0"/>
                  <w:sz w:val="18"/>
                  <w:szCs w:val="18"/>
                  <w:lang w:val="en-US" w:eastAsia="zh-CN" w:bidi="ar"/>
                </w:rPr>
                <w:t>6</w:t>
              </w:r>
            </w:ins>
          </w:p>
        </w:tc>
        <w:tc>
          <w:tcPr>
            <w:tcW w:w="1005" w:type="dxa"/>
            <w:vMerge w:val="restart"/>
            <w:tcBorders>
              <w:tl2br w:val="nil"/>
              <w:tr2bl w:val="nil"/>
            </w:tcBorders>
            <w:shd w:val="clear" w:color="auto" w:fill="auto"/>
            <w:tcMar>
              <w:top w:w="15" w:type="dxa"/>
              <w:left w:w="15" w:type="dxa"/>
              <w:right w:w="15" w:type="dxa"/>
            </w:tcMar>
            <w:vAlign w:val="center"/>
          </w:tcPr>
          <w:p w14:paraId="475B6AE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安全评价检测检验机构名称、注册地址、实验室条件、法定代表人、专职技术负责人、授权签字人发生变化之日起三十日内未向原资质认可机关提出变更申请的</w:t>
            </w:r>
          </w:p>
        </w:tc>
        <w:tc>
          <w:tcPr>
            <w:tcW w:w="3667" w:type="dxa"/>
            <w:vMerge w:val="restart"/>
            <w:tcBorders>
              <w:tl2br w:val="nil"/>
              <w:tr2bl w:val="nil"/>
            </w:tcBorders>
            <w:shd w:val="clear" w:color="auto" w:fill="auto"/>
            <w:tcMar>
              <w:top w:w="15" w:type="dxa"/>
              <w:left w:w="15" w:type="dxa"/>
              <w:right w:w="15" w:type="dxa"/>
            </w:tcMar>
            <w:vAlign w:val="center"/>
          </w:tcPr>
          <w:p w14:paraId="30DE65C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《安全评价检测检验机构管理办法》第十二条第一款</w:t>
            </w:r>
            <w:r>
              <w:rPr>
                <w:rFonts w:ascii="仿宋_GB2312" w:hAnsi="宋体" w:eastAsia="仿宋_GB2312" w:cs="仿宋_GB2312"/>
                <w:kern w:val="0"/>
                <w:sz w:val="18"/>
                <w:szCs w:val="18"/>
                <w:lang w:bidi="ar"/>
              </w:rPr>
              <w:t xml:space="preserve"> </w:t>
            </w:r>
            <w:r>
              <w:rPr>
                <w:rFonts w:hint="eastAsia" w:ascii="仿宋_GB2312" w:hAnsi="宋体" w:eastAsia="仿宋_GB2312" w:cs="仿宋_GB2312"/>
                <w:kern w:val="0"/>
                <w:sz w:val="18"/>
                <w:szCs w:val="18"/>
                <w:lang w:bidi="ar"/>
              </w:rPr>
              <w:t>安全评价检测检验机构的名称、注册地址、实验室条件、法定代表人、专职技术负责人、授权签字人发生变化的，应当自发生变化之日起三十日内向原资质认可机关提出书面变更申请。资质认可机关经审查后符合条件的，在本部门网站予以公告，并及时更新安全评价检测检验机构信息查询系统相关信息。</w:t>
            </w:r>
          </w:p>
        </w:tc>
        <w:tc>
          <w:tcPr>
            <w:tcW w:w="4082" w:type="dxa"/>
            <w:vMerge w:val="restart"/>
            <w:tcBorders>
              <w:tl2br w:val="nil"/>
              <w:tr2bl w:val="nil"/>
            </w:tcBorders>
            <w:shd w:val="clear" w:color="auto" w:fill="auto"/>
            <w:tcMar>
              <w:top w:w="15" w:type="dxa"/>
              <w:left w:w="15" w:type="dxa"/>
              <w:right w:w="15" w:type="dxa"/>
            </w:tcMar>
            <w:vAlign w:val="center"/>
          </w:tcPr>
          <w:p w14:paraId="107C299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《安全评价检测检验机构管理办法》第三十条 安全评价检测检验机构有下列情形之一的，责令改正或者责令限期改正，给予警告，可以并处一万元以下的罚款；逾期未改正的，处一万元以上三万元以下的罚款，对相关责任人处一千元以上五千元以下的罚款；情节严重的，处一万元以上三万元以下的罚款，对相关责任人处五千元以上一万元以下的罚款：（五）机构名称、注册地址、实验室条件、法定代表人、专职技术负责人、授权签字人发生变化之日起三十日内未向原资质认可机关提出变更申请的</w:t>
            </w:r>
            <w:r>
              <w:rPr>
                <w:rFonts w:ascii="仿宋_GB2312" w:hAnsi="宋体" w:eastAsia="仿宋_GB2312" w:cs="仿宋_GB2312"/>
                <w:kern w:val="0"/>
                <w:sz w:val="18"/>
                <w:szCs w:val="18"/>
                <w:lang w:bidi="ar"/>
              </w:rPr>
              <w:t>。</w:t>
            </w:r>
          </w:p>
        </w:tc>
        <w:tc>
          <w:tcPr>
            <w:tcW w:w="459" w:type="dxa"/>
            <w:tcBorders>
              <w:tl2br w:val="nil"/>
              <w:tr2bl w:val="nil"/>
            </w:tcBorders>
            <w:shd w:val="clear" w:color="auto" w:fill="auto"/>
            <w:noWrap/>
            <w:tcMar>
              <w:top w:w="15" w:type="dxa"/>
              <w:left w:w="15" w:type="dxa"/>
              <w:right w:w="15" w:type="dxa"/>
            </w:tcMar>
            <w:vAlign w:val="center"/>
          </w:tcPr>
          <w:p w14:paraId="2E9D798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2BC23C3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C2E702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8D5D3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8406EF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713B91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6DF430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217C68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9E0903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2207BD8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1CE5DD6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2126D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358F22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73E0FA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2F94C6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22A339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AC8DB2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7B4A685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66A688E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0DAF7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8019FB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CA667C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DB5693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055714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4B6746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7274454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向原资质认可机关提出变更申请超出规定时间15日以内的。</w:t>
            </w:r>
          </w:p>
        </w:tc>
        <w:tc>
          <w:tcPr>
            <w:tcW w:w="2655" w:type="dxa"/>
            <w:tcBorders>
              <w:tl2br w:val="nil"/>
              <w:tr2bl w:val="nil"/>
            </w:tcBorders>
            <w:shd w:val="clear" w:color="auto" w:fill="auto"/>
            <w:tcMar>
              <w:top w:w="15" w:type="dxa"/>
              <w:left w:w="15" w:type="dxa"/>
              <w:right w:w="15" w:type="dxa"/>
            </w:tcMar>
            <w:vAlign w:val="center"/>
          </w:tcPr>
          <w:p w14:paraId="726C2AE0">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给予警告，可以并处3000元以下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；逾期未改正的，处1万元以上1.5万元以下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，对相关责任人处1000元以上2000元以下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；情节严重的，处1万元以上1.5万元以下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，对相关责任人处5000元以上7000元以下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740332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1808AE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EDBFEB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763247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1232BA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79BFD2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4EDA9A2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向原资质认可机关提出变更申请超出规定时间30日以内的。</w:t>
            </w:r>
          </w:p>
        </w:tc>
        <w:tc>
          <w:tcPr>
            <w:tcW w:w="2655" w:type="dxa"/>
            <w:tcBorders>
              <w:tl2br w:val="nil"/>
              <w:tr2bl w:val="nil"/>
            </w:tcBorders>
            <w:shd w:val="clear" w:color="auto" w:fill="auto"/>
            <w:tcMar>
              <w:top w:w="15" w:type="dxa"/>
              <w:left w:w="15" w:type="dxa"/>
              <w:right w:w="15" w:type="dxa"/>
            </w:tcMar>
            <w:vAlign w:val="center"/>
          </w:tcPr>
          <w:p w14:paraId="0E0E7246">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给予警告，可以并处3000元以上7000元以下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；逾期未改正的，处1.5万元以上2.5万元以下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，对相关责任人处2000元以上3000元以下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；情节严重的，处1.5万元以上2.5万元以下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，对相关责任人处7000元以上9000元以下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770379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F4C192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66229B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277197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116010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F228FB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02C1FF9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向原资质认可机关提出变更申请超出规定时间45日以上的。</w:t>
            </w:r>
          </w:p>
        </w:tc>
        <w:tc>
          <w:tcPr>
            <w:tcW w:w="2655" w:type="dxa"/>
            <w:tcBorders>
              <w:tl2br w:val="nil"/>
              <w:tr2bl w:val="nil"/>
            </w:tcBorders>
            <w:shd w:val="clear" w:color="auto" w:fill="auto"/>
            <w:tcMar>
              <w:top w:w="15" w:type="dxa"/>
              <w:left w:w="15" w:type="dxa"/>
              <w:right w:w="15" w:type="dxa"/>
            </w:tcMar>
            <w:vAlign w:val="center"/>
          </w:tcPr>
          <w:p w14:paraId="03A76C60">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给予警告，可以并处7000元以上1万元以下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；逾期未改正的，处2.5万元以上3万元以下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，对相关责任人处3000元以上5000元以下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；情节严重的，处2.5万元以上3万元以下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，对相关责任人处9000元以上1万元以下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0D6D27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6F1A514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2</w:t>
            </w:r>
            <w:r>
              <w:rPr>
                <w:rFonts w:hint="eastAsia" w:ascii="仿宋_GB2312" w:hAnsi="宋体" w:eastAsia="仿宋_GB2312" w:cs="仿宋_GB2312"/>
                <w:kern w:val="0"/>
                <w:sz w:val="18"/>
                <w:szCs w:val="18"/>
                <w:lang w:val="en-US" w:eastAsia="zh-CN" w:bidi="ar"/>
              </w:rPr>
              <w:t>1</w:t>
            </w:r>
            <w:del w:id="3054" w:author="LV" w:date="2026-07-14T17:11:20Z">
              <w:r>
                <w:rPr>
                  <w:rFonts w:hint="default" w:ascii="仿宋_GB2312" w:hAnsi="宋体" w:eastAsia="仿宋_GB2312" w:cs="仿宋_GB2312"/>
                  <w:kern w:val="0"/>
                  <w:sz w:val="18"/>
                  <w:szCs w:val="18"/>
                  <w:lang w:val="en-US" w:eastAsia="zh-CN" w:bidi="ar"/>
                </w:rPr>
                <w:delText>0</w:delText>
              </w:r>
            </w:del>
            <w:ins w:id="3055" w:author="LV" w:date="2026-07-14T17:11:20Z">
              <w:r>
                <w:rPr>
                  <w:rFonts w:hint="eastAsia" w:ascii="仿宋_GB2312" w:hAnsi="宋体" w:eastAsia="仿宋_GB2312" w:cs="仿宋_GB2312"/>
                  <w:kern w:val="0"/>
                  <w:sz w:val="18"/>
                  <w:szCs w:val="18"/>
                  <w:lang w:val="en-US" w:eastAsia="zh-CN" w:bidi="ar"/>
                </w:rPr>
                <w:t>7</w:t>
              </w:r>
            </w:ins>
          </w:p>
        </w:tc>
        <w:tc>
          <w:tcPr>
            <w:tcW w:w="1005" w:type="dxa"/>
            <w:vMerge w:val="restart"/>
            <w:tcBorders>
              <w:tl2br w:val="nil"/>
              <w:tr2bl w:val="nil"/>
            </w:tcBorders>
            <w:shd w:val="clear" w:color="auto" w:fill="auto"/>
            <w:tcMar>
              <w:top w:w="15" w:type="dxa"/>
              <w:left w:w="15" w:type="dxa"/>
              <w:right w:w="15" w:type="dxa"/>
            </w:tcMar>
            <w:vAlign w:val="center"/>
          </w:tcPr>
          <w:p w14:paraId="5AD1701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安全评价检测检验机构未按照有关法规标准的强制性规定从事安全评价、检测检验活动的</w:t>
            </w:r>
          </w:p>
        </w:tc>
        <w:tc>
          <w:tcPr>
            <w:tcW w:w="3667" w:type="dxa"/>
            <w:vMerge w:val="restart"/>
            <w:tcBorders>
              <w:tl2br w:val="nil"/>
              <w:tr2bl w:val="nil"/>
            </w:tcBorders>
            <w:shd w:val="clear" w:color="auto" w:fill="auto"/>
            <w:tcMar>
              <w:top w:w="15" w:type="dxa"/>
              <w:left w:w="15" w:type="dxa"/>
              <w:right w:w="15" w:type="dxa"/>
            </w:tcMar>
            <w:vAlign w:val="center"/>
          </w:tcPr>
          <w:p w14:paraId="442A7A14">
            <w:pPr>
              <w:keepNext w:val="0"/>
              <w:keepLines w:val="0"/>
              <w:pageBreakBefore w:val="0"/>
              <w:widowControl w:val="0"/>
              <w:kinsoku/>
              <w:wordWrap/>
              <w:overflowPunct w:val="0"/>
              <w:topLinePunct w:val="0"/>
              <w:autoSpaceDE/>
              <w:autoSpaceDN/>
              <w:bidi w:val="0"/>
              <w:adjustRightInd/>
              <w:snapToGrid/>
              <w:spacing w:line="250" w:lineRule="exact"/>
              <w:textAlignment w:val="center"/>
              <w:rPr>
                <w:rFonts w:hint="eastAsia" w:ascii="仿宋_GB2312" w:hAnsi="宋体" w:eastAsia="仿宋_GB2312" w:cs="仿宋_GB2312"/>
                <w:w w:val="95"/>
                <w:kern w:val="0"/>
                <w:sz w:val="18"/>
                <w:szCs w:val="18"/>
                <w:lang w:bidi="ar"/>
              </w:rPr>
            </w:pPr>
            <w:r>
              <w:rPr>
                <w:rFonts w:hint="eastAsia" w:ascii="仿宋_GB2312" w:hAnsi="宋体" w:eastAsia="仿宋_GB2312" w:cs="仿宋_GB2312"/>
                <w:kern w:val="0"/>
                <w:sz w:val="18"/>
                <w:szCs w:val="18"/>
                <w:lang w:bidi="ar"/>
              </w:rPr>
              <w:t>《</w:t>
            </w:r>
            <w:r>
              <w:rPr>
                <w:rFonts w:hint="eastAsia" w:ascii="仿宋_GB2312" w:hAnsi="宋体" w:eastAsia="仿宋_GB2312" w:cs="仿宋_GB2312"/>
                <w:w w:val="95"/>
                <w:kern w:val="0"/>
                <w:sz w:val="18"/>
                <w:szCs w:val="18"/>
                <w:lang w:bidi="ar"/>
              </w:rPr>
              <w:t>安全评价检测检验机构管理办法》第二十二条 安全评价检测检验机构及其从业人员不得有下列行为：</w:t>
            </w:r>
            <w:r>
              <w:rPr>
                <w:rFonts w:hint="eastAsia" w:ascii="仿宋_GB2312" w:hAnsi="宋体" w:eastAsia="仿宋_GB2312" w:cs="仿宋_GB2312"/>
                <w:w w:val="95"/>
                <w:kern w:val="0"/>
                <w:sz w:val="18"/>
                <w:szCs w:val="18"/>
                <w:lang w:bidi="ar"/>
              </w:rPr>
              <w:br w:type="textWrapping"/>
            </w:r>
            <w:r>
              <w:rPr>
                <w:rFonts w:hint="eastAsia" w:ascii="仿宋_GB2312" w:hAnsi="宋体" w:eastAsia="仿宋_GB2312" w:cs="仿宋_GB2312"/>
                <w:w w:val="95"/>
                <w:kern w:val="0"/>
                <w:sz w:val="18"/>
                <w:szCs w:val="18"/>
                <w:lang w:bidi="ar"/>
              </w:rPr>
              <w:t>（一）违反法规标准的规定开展安全评价、检测检验的；</w:t>
            </w:r>
            <w:r>
              <w:rPr>
                <w:rFonts w:hint="eastAsia" w:ascii="仿宋_GB2312" w:hAnsi="宋体" w:eastAsia="仿宋_GB2312" w:cs="仿宋_GB2312"/>
                <w:w w:val="95"/>
                <w:kern w:val="0"/>
                <w:sz w:val="18"/>
                <w:szCs w:val="18"/>
                <w:lang w:bidi="ar"/>
              </w:rPr>
              <w:br w:type="textWrapping"/>
            </w:r>
            <w:r>
              <w:rPr>
                <w:rFonts w:hint="eastAsia" w:ascii="仿宋_GB2312" w:hAnsi="宋体" w:eastAsia="仿宋_GB2312" w:cs="仿宋_GB2312"/>
                <w:w w:val="95"/>
                <w:kern w:val="0"/>
                <w:sz w:val="18"/>
                <w:szCs w:val="18"/>
                <w:lang w:bidi="ar"/>
              </w:rPr>
              <w:t>（二）不再具备资质条件或者资质过期从事安全评价、检测检验的；</w:t>
            </w:r>
            <w:r>
              <w:rPr>
                <w:rFonts w:hint="eastAsia" w:ascii="仿宋_GB2312" w:hAnsi="宋体" w:eastAsia="仿宋_GB2312" w:cs="仿宋_GB2312"/>
                <w:w w:val="95"/>
                <w:kern w:val="0"/>
                <w:sz w:val="18"/>
                <w:szCs w:val="18"/>
                <w:lang w:bidi="ar"/>
              </w:rPr>
              <w:br w:type="textWrapping"/>
            </w:r>
            <w:r>
              <w:rPr>
                <w:rFonts w:hint="eastAsia" w:ascii="仿宋_GB2312" w:hAnsi="宋体" w:eastAsia="仿宋_GB2312" w:cs="仿宋_GB2312"/>
                <w:w w:val="95"/>
                <w:kern w:val="0"/>
                <w:sz w:val="18"/>
                <w:szCs w:val="18"/>
                <w:lang w:bidi="ar"/>
              </w:rPr>
              <w:t>（三）超出资质认可业务范围，从事法定的安全评价、检测检验的；</w:t>
            </w:r>
            <w:r>
              <w:rPr>
                <w:rFonts w:hint="eastAsia" w:ascii="仿宋_GB2312" w:hAnsi="宋体" w:eastAsia="仿宋_GB2312" w:cs="仿宋_GB2312"/>
                <w:w w:val="95"/>
                <w:kern w:val="0"/>
                <w:sz w:val="18"/>
                <w:szCs w:val="18"/>
                <w:lang w:bidi="ar"/>
              </w:rPr>
              <w:br w:type="textWrapping"/>
            </w:r>
            <w:r>
              <w:rPr>
                <w:rFonts w:hint="eastAsia" w:ascii="仿宋_GB2312" w:hAnsi="宋体" w:eastAsia="仿宋_GB2312" w:cs="仿宋_GB2312"/>
                <w:w w:val="95"/>
                <w:kern w:val="0"/>
                <w:sz w:val="18"/>
                <w:szCs w:val="18"/>
                <w:lang w:bidi="ar"/>
              </w:rPr>
              <w:t>（四）出租、出借安全评价检测检验资质证书的；</w:t>
            </w:r>
            <w:r>
              <w:rPr>
                <w:rFonts w:hint="eastAsia" w:ascii="仿宋_GB2312" w:hAnsi="宋体" w:eastAsia="仿宋_GB2312" w:cs="仿宋_GB2312"/>
                <w:w w:val="95"/>
                <w:kern w:val="0"/>
                <w:sz w:val="18"/>
                <w:szCs w:val="18"/>
                <w:lang w:bidi="ar"/>
              </w:rPr>
              <w:br w:type="textWrapping"/>
            </w:r>
            <w:r>
              <w:rPr>
                <w:rFonts w:hint="eastAsia" w:ascii="仿宋_GB2312" w:hAnsi="宋体" w:eastAsia="仿宋_GB2312" w:cs="仿宋_GB2312"/>
                <w:w w:val="95"/>
                <w:kern w:val="0"/>
                <w:sz w:val="18"/>
                <w:szCs w:val="18"/>
                <w:lang w:bidi="ar"/>
              </w:rPr>
              <w:t>（五）出具虚假或者重大疏漏的安全评价、检测检验报告的；</w:t>
            </w:r>
            <w:r>
              <w:rPr>
                <w:rFonts w:hint="eastAsia" w:ascii="仿宋_GB2312" w:hAnsi="宋体" w:eastAsia="仿宋_GB2312" w:cs="仿宋_GB2312"/>
                <w:w w:val="95"/>
                <w:kern w:val="0"/>
                <w:sz w:val="18"/>
                <w:szCs w:val="18"/>
                <w:lang w:bidi="ar"/>
              </w:rPr>
              <w:br w:type="textWrapping"/>
            </w:r>
            <w:r>
              <w:rPr>
                <w:rFonts w:hint="eastAsia" w:ascii="仿宋_GB2312" w:hAnsi="宋体" w:eastAsia="仿宋_GB2312" w:cs="仿宋_GB2312"/>
                <w:w w:val="95"/>
                <w:kern w:val="0"/>
                <w:sz w:val="18"/>
                <w:szCs w:val="18"/>
                <w:lang w:bidi="ar"/>
              </w:rPr>
              <w:t>（六）违反有关法规标准规定，更改或者简化安全评价、检测检验程序和相关内容的；</w:t>
            </w:r>
            <w:r>
              <w:rPr>
                <w:rFonts w:hint="eastAsia" w:ascii="仿宋_GB2312" w:hAnsi="宋体" w:eastAsia="仿宋_GB2312" w:cs="仿宋_GB2312"/>
                <w:w w:val="95"/>
                <w:kern w:val="0"/>
                <w:sz w:val="18"/>
                <w:szCs w:val="18"/>
                <w:lang w:bidi="ar"/>
              </w:rPr>
              <w:br w:type="textWrapping"/>
            </w:r>
            <w:r>
              <w:rPr>
                <w:rFonts w:hint="eastAsia" w:ascii="仿宋_GB2312" w:hAnsi="宋体" w:eastAsia="仿宋_GB2312" w:cs="仿宋_GB2312"/>
                <w:w w:val="95"/>
                <w:kern w:val="0"/>
                <w:sz w:val="18"/>
                <w:szCs w:val="18"/>
                <w:lang w:bidi="ar"/>
              </w:rPr>
              <w:t>（七）专职安全评价师、专业技术人员同时在两个以上安全评价检测检验机构从业的；</w:t>
            </w:r>
            <w:r>
              <w:rPr>
                <w:rFonts w:hint="eastAsia" w:ascii="仿宋_GB2312" w:hAnsi="宋体" w:eastAsia="仿宋_GB2312" w:cs="仿宋_GB2312"/>
                <w:w w:val="95"/>
                <w:kern w:val="0"/>
                <w:sz w:val="18"/>
                <w:szCs w:val="18"/>
                <w:lang w:bidi="ar"/>
              </w:rPr>
              <w:br w:type="textWrapping"/>
            </w:r>
            <w:r>
              <w:rPr>
                <w:rFonts w:hint="eastAsia" w:ascii="仿宋_GB2312" w:hAnsi="宋体" w:eastAsia="仿宋_GB2312" w:cs="仿宋_GB2312"/>
                <w:w w:val="95"/>
                <w:kern w:val="0"/>
                <w:sz w:val="18"/>
                <w:szCs w:val="18"/>
                <w:lang w:bidi="ar"/>
              </w:rPr>
              <w:t>（八）安全评价项目组组长及负责勘验人员不到现场实际地点开展勘验等有关工作的；</w:t>
            </w:r>
            <w:r>
              <w:rPr>
                <w:rFonts w:hint="eastAsia" w:ascii="仿宋_GB2312" w:hAnsi="宋体" w:eastAsia="仿宋_GB2312" w:cs="仿宋_GB2312"/>
                <w:w w:val="95"/>
                <w:kern w:val="0"/>
                <w:sz w:val="18"/>
                <w:szCs w:val="18"/>
                <w:lang w:bidi="ar"/>
              </w:rPr>
              <w:br w:type="textWrapping"/>
            </w:r>
            <w:r>
              <w:rPr>
                <w:rFonts w:hint="eastAsia" w:ascii="仿宋_GB2312" w:hAnsi="宋体" w:eastAsia="仿宋_GB2312" w:cs="仿宋_GB2312"/>
                <w:w w:val="95"/>
                <w:kern w:val="0"/>
                <w:sz w:val="18"/>
                <w:szCs w:val="18"/>
                <w:lang w:bidi="ar"/>
              </w:rPr>
              <w:t>（九）承担现场检测检验的人员不到现场实际地点开展设备检测检验等有关工作的；</w:t>
            </w:r>
            <w:r>
              <w:rPr>
                <w:rFonts w:hint="eastAsia" w:ascii="仿宋_GB2312" w:hAnsi="宋体" w:eastAsia="仿宋_GB2312" w:cs="仿宋_GB2312"/>
                <w:w w:val="95"/>
                <w:kern w:val="0"/>
                <w:sz w:val="18"/>
                <w:szCs w:val="18"/>
                <w:lang w:bidi="ar"/>
              </w:rPr>
              <w:br w:type="textWrapping"/>
            </w:r>
            <w:r>
              <w:rPr>
                <w:rFonts w:hint="eastAsia" w:ascii="仿宋_GB2312" w:hAnsi="宋体" w:eastAsia="仿宋_GB2312" w:cs="仿宋_GB2312"/>
                <w:w w:val="95"/>
                <w:kern w:val="0"/>
                <w:sz w:val="18"/>
                <w:szCs w:val="18"/>
                <w:lang w:bidi="ar"/>
              </w:rPr>
              <w:t>（十）冒用他人名义或者允许他人冒用本人名义在安全评价、检测检验报告和原始记录中签名的；</w:t>
            </w:r>
            <w:r>
              <w:rPr>
                <w:rFonts w:hint="eastAsia" w:ascii="仿宋_GB2312" w:hAnsi="宋体" w:eastAsia="仿宋_GB2312" w:cs="仿宋_GB2312"/>
                <w:w w:val="95"/>
                <w:kern w:val="0"/>
                <w:sz w:val="18"/>
                <w:szCs w:val="18"/>
                <w:lang w:bidi="ar"/>
              </w:rPr>
              <w:br w:type="textWrapping"/>
            </w:r>
            <w:r>
              <w:rPr>
                <w:rFonts w:hint="eastAsia" w:ascii="仿宋_GB2312" w:hAnsi="宋体" w:eastAsia="仿宋_GB2312" w:cs="仿宋_GB2312"/>
                <w:w w:val="95"/>
                <w:kern w:val="0"/>
                <w:sz w:val="18"/>
                <w:szCs w:val="18"/>
                <w:lang w:bidi="ar"/>
              </w:rPr>
              <w:t>（十一）不接受资质认可机关及其下级部门监督抽查的。</w:t>
            </w:r>
            <w:r>
              <w:rPr>
                <w:rFonts w:hint="eastAsia" w:ascii="仿宋_GB2312" w:hAnsi="宋体" w:eastAsia="仿宋_GB2312" w:cs="仿宋_GB2312"/>
                <w:w w:val="95"/>
                <w:kern w:val="0"/>
                <w:sz w:val="18"/>
                <w:szCs w:val="18"/>
                <w:lang w:bidi="ar"/>
              </w:rPr>
              <w:br w:type="textWrapping"/>
            </w:r>
            <w:r>
              <w:rPr>
                <w:rFonts w:hint="eastAsia" w:ascii="仿宋_GB2312" w:hAnsi="宋体" w:eastAsia="仿宋_GB2312" w:cs="仿宋_GB2312"/>
                <w:w w:val="95"/>
                <w:kern w:val="0"/>
                <w:sz w:val="18"/>
                <w:szCs w:val="18"/>
                <w:lang w:bidi="ar"/>
              </w:rPr>
              <w:t>本办法所称虚假报告，是指安全评价报告、安全生产检测检验报告内容与当时实际情况严重不符，报告结论定性严重偏离客观实际。</w:t>
            </w:r>
          </w:p>
          <w:p w14:paraId="35748046">
            <w:pPr>
              <w:keepNext w:val="0"/>
              <w:keepLines w:val="0"/>
              <w:pageBreakBefore w:val="0"/>
              <w:widowControl w:val="0"/>
              <w:kinsoku/>
              <w:wordWrap/>
              <w:overflowPunct w:val="0"/>
              <w:topLinePunct w:val="0"/>
              <w:autoSpaceDE/>
              <w:autoSpaceDN/>
              <w:bidi w:val="0"/>
              <w:adjustRightInd/>
              <w:snapToGrid/>
              <w:spacing w:line="25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w w:val="95"/>
                <w:kern w:val="0"/>
                <w:sz w:val="18"/>
                <w:szCs w:val="18"/>
                <w:lang w:bidi="ar"/>
              </w:rPr>
              <w:t>《煤矿安全生产条例》第四十六条第二款承担安全评价、认证、检测、检验等职责的煤矿安全生产技术服务机构应当依照有关法律法规和国家标准或者行业标准的规定开展安全生产技术服务活动，并对出具的报告负责，不得租借资质、挂靠、出具虚假报告。</w:t>
            </w:r>
          </w:p>
        </w:tc>
        <w:tc>
          <w:tcPr>
            <w:tcW w:w="4082" w:type="dxa"/>
            <w:vMerge w:val="restart"/>
            <w:tcBorders>
              <w:tl2br w:val="nil"/>
              <w:tr2bl w:val="nil"/>
            </w:tcBorders>
            <w:shd w:val="clear" w:color="auto" w:fill="auto"/>
            <w:tcMar>
              <w:top w:w="15" w:type="dxa"/>
              <w:left w:w="15" w:type="dxa"/>
              <w:right w:w="15" w:type="dxa"/>
            </w:tcMar>
            <w:vAlign w:val="center"/>
          </w:tcPr>
          <w:p w14:paraId="1DFCD3D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《安全评价检测检验机构管理办法》第三十条 安全评价检测检验机构有下列情形之一的，责令改正或者责令限期改正，给予警告，可以并处一万元以下的罚款；逾期未改正的，处一万元以上三万元以下的罚款，对相关责任人处一千元以上五千元以下的罚款；情节严重的，处一万元以上三万元以下的罚款，对相关责任人处五千元以上一万元以下的罚款：（六）未按照有关法规标准的强制性规定从事安全评价、检测检验活动的</w:t>
            </w:r>
            <w:r>
              <w:rPr>
                <w:rFonts w:ascii="仿宋_GB2312" w:hAnsi="宋体" w:eastAsia="仿宋_GB2312" w:cs="仿宋_GB2312"/>
                <w:kern w:val="0"/>
                <w:sz w:val="18"/>
                <w:szCs w:val="18"/>
                <w:lang w:bidi="ar"/>
              </w:rPr>
              <w:t>。</w:t>
            </w:r>
          </w:p>
        </w:tc>
        <w:tc>
          <w:tcPr>
            <w:tcW w:w="459" w:type="dxa"/>
            <w:tcBorders>
              <w:tl2br w:val="nil"/>
              <w:tr2bl w:val="nil"/>
            </w:tcBorders>
            <w:shd w:val="clear" w:color="auto" w:fill="auto"/>
            <w:noWrap/>
            <w:tcMar>
              <w:top w:w="15" w:type="dxa"/>
              <w:left w:w="15" w:type="dxa"/>
              <w:right w:w="15" w:type="dxa"/>
            </w:tcMar>
            <w:vAlign w:val="center"/>
          </w:tcPr>
          <w:p w14:paraId="392A04B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251F85C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63642B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56DF9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C8EE7E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84B3D1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62BE81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22F683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A55AC2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4AA13D0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1FE5ADB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2A835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B3A581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05F13D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60CE89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8A0953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A8B0B6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74FA577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630551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A52D9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D8AAAD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FFE9AB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748859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0F0AE3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A695BB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2FC8F3F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1项服务项目未按照有关法规标准的强制性规定从事安全评价、检测检验活动的。</w:t>
            </w:r>
          </w:p>
        </w:tc>
        <w:tc>
          <w:tcPr>
            <w:tcW w:w="2655" w:type="dxa"/>
            <w:tcBorders>
              <w:tl2br w:val="nil"/>
              <w:tr2bl w:val="nil"/>
            </w:tcBorders>
            <w:shd w:val="clear" w:color="auto" w:fill="auto"/>
            <w:tcMar>
              <w:top w:w="15" w:type="dxa"/>
              <w:left w:w="15" w:type="dxa"/>
              <w:right w:w="15" w:type="dxa"/>
            </w:tcMar>
            <w:vAlign w:val="center"/>
          </w:tcPr>
          <w:p w14:paraId="7FB8E86B">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给予警告，可以并处3000元以下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；逾期未改正的，处1万元以上1.5万元以下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，对相关责任人处1000元以上2000元以下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；情节严重的，处1万元以上1.5万元以下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，对相关责任人处5000元以上7000元以下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5B19AA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6B90AD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45384E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705AB1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3832B8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868B4A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14EC772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2项服务项目未按照有关法规标准的强制性规定从事安全评价、检测检验活动的。</w:t>
            </w:r>
          </w:p>
        </w:tc>
        <w:tc>
          <w:tcPr>
            <w:tcW w:w="2655" w:type="dxa"/>
            <w:tcBorders>
              <w:tl2br w:val="nil"/>
              <w:tr2bl w:val="nil"/>
            </w:tcBorders>
            <w:shd w:val="clear" w:color="auto" w:fill="auto"/>
            <w:tcMar>
              <w:top w:w="15" w:type="dxa"/>
              <w:left w:w="15" w:type="dxa"/>
              <w:right w:w="15" w:type="dxa"/>
            </w:tcMar>
            <w:vAlign w:val="center"/>
          </w:tcPr>
          <w:p w14:paraId="5704AE2D">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给予警告，可以并处3000元以上7000元以下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；逾期未改正的，处1.5万元以上2.5万元以下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，对相关责任人处2000元以上3000元以下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；情节严重的，处1.5万元以上2.5万元以下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，对相关责任人处7000元以上9000元以下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46B67C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F74764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0B7281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5CFF84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BFDA9C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EAA101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1086897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3项及以上服务项目未按照有关法规标准的强制性规定从事安全评价、检测检验活动的。</w:t>
            </w:r>
          </w:p>
        </w:tc>
        <w:tc>
          <w:tcPr>
            <w:tcW w:w="2655" w:type="dxa"/>
            <w:tcBorders>
              <w:tl2br w:val="nil"/>
              <w:tr2bl w:val="nil"/>
            </w:tcBorders>
            <w:shd w:val="clear" w:color="auto" w:fill="auto"/>
            <w:tcMar>
              <w:top w:w="15" w:type="dxa"/>
              <w:left w:w="15" w:type="dxa"/>
              <w:right w:w="15" w:type="dxa"/>
            </w:tcMar>
            <w:vAlign w:val="center"/>
          </w:tcPr>
          <w:p w14:paraId="64CFA734">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给予警告，可以并处7000元以上1万元以下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；逾期未改正的，处2.5万元以上3万元以下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对相关责任人处3000元以上5000元以下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；情节严重的，处2.5万元以上3万元以下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，对相关责任人处9000元以上1万元以下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0029E1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48656B2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2</w:t>
            </w:r>
            <w:r>
              <w:rPr>
                <w:rFonts w:hint="eastAsia" w:ascii="仿宋_GB2312" w:hAnsi="宋体" w:eastAsia="仿宋_GB2312" w:cs="仿宋_GB2312"/>
                <w:kern w:val="0"/>
                <w:sz w:val="18"/>
                <w:szCs w:val="18"/>
                <w:lang w:val="en-US" w:eastAsia="zh-CN" w:bidi="ar"/>
              </w:rPr>
              <w:t>1</w:t>
            </w:r>
            <w:del w:id="3056" w:author="LV" w:date="2026-07-14T17:11:25Z">
              <w:r>
                <w:rPr>
                  <w:rFonts w:hint="default" w:ascii="仿宋_GB2312" w:hAnsi="宋体" w:eastAsia="仿宋_GB2312" w:cs="仿宋_GB2312"/>
                  <w:kern w:val="0"/>
                  <w:sz w:val="18"/>
                  <w:szCs w:val="18"/>
                  <w:lang w:val="en-US" w:eastAsia="zh-CN" w:bidi="ar"/>
                </w:rPr>
                <w:delText>1</w:delText>
              </w:r>
            </w:del>
            <w:ins w:id="3057" w:author="LV" w:date="2026-07-14T17:11:25Z">
              <w:r>
                <w:rPr>
                  <w:rFonts w:hint="eastAsia" w:ascii="仿宋_GB2312" w:hAnsi="宋体" w:eastAsia="仿宋_GB2312" w:cs="仿宋_GB2312"/>
                  <w:kern w:val="0"/>
                  <w:sz w:val="18"/>
                  <w:szCs w:val="18"/>
                  <w:lang w:val="en-US" w:eastAsia="zh-CN" w:bidi="ar"/>
                </w:rPr>
                <w:t>8</w:t>
              </w:r>
            </w:ins>
          </w:p>
        </w:tc>
        <w:tc>
          <w:tcPr>
            <w:tcW w:w="1005" w:type="dxa"/>
            <w:vMerge w:val="restart"/>
            <w:tcBorders>
              <w:tl2br w:val="nil"/>
              <w:tr2bl w:val="nil"/>
            </w:tcBorders>
            <w:shd w:val="clear" w:color="auto" w:fill="auto"/>
            <w:tcMar>
              <w:top w:w="15" w:type="dxa"/>
              <w:left w:w="15" w:type="dxa"/>
              <w:right w:w="15" w:type="dxa"/>
            </w:tcMar>
            <w:vAlign w:val="center"/>
          </w:tcPr>
          <w:p w14:paraId="6DAF082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安全评价检测检验机构出租、出借安全评价检测检验资质证书或者将资质提供给他人挂靠使用的</w:t>
            </w:r>
          </w:p>
        </w:tc>
        <w:tc>
          <w:tcPr>
            <w:tcW w:w="3667" w:type="dxa"/>
            <w:vMerge w:val="restart"/>
            <w:tcBorders>
              <w:tl2br w:val="nil"/>
              <w:tr2bl w:val="nil"/>
            </w:tcBorders>
            <w:shd w:val="clear" w:color="auto" w:fill="auto"/>
            <w:tcMar>
              <w:top w:w="15" w:type="dxa"/>
              <w:left w:w="15" w:type="dxa"/>
              <w:right w:w="15" w:type="dxa"/>
            </w:tcMar>
            <w:vAlign w:val="center"/>
          </w:tcPr>
          <w:p w14:paraId="4289AEB8">
            <w:pPr>
              <w:keepNext w:val="0"/>
              <w:keepLines w:val="0"/>
              <w:pageBreakBefore w:val="0"/>
              <w:widowControl w:val="0"/>
              <w:kinsoku/>
              <w:wordWrap/>
              <w:overflowPunct w:val="0"/>
              <w:topLinePunct w:val="0"/>
              <w:autoSpaceDE/>
              <w:autoSpaceDN/>
              <w:bidi w:val="0"/>
              <w:adjustRightInd/>
              <w:snapToGrid/>
              <w:spacing w:line="260" w:lineRule="exact"/>
              <w:textAlignment w:val="center"/>
              <w:rPr>
                <w:rStyle w:val="27"/>
                <w:rFonts w:hint="default" w:hAnsi="宋体"/>
                <w:color w:val="auto"/>
                <w:sz w:val="18"/>
                <w:szCs w:val="18"/>
                <w:lang w:bidi="ar"/>
              </w:rPr>
            </w:pPr>
            <w:r>
              <w:rPr>
                <w:rFonts w:hint="eastAsia" w:ascii="仿宋_GB2312" w:hAnsi="宋体" w:eastAsia="仿宋_GB2312" w:cs="仿宋_GB2312"/>
                <w:kern w:val="0"/>
                <w:sz w:val="18"/>
                <w:szCs w:val="18"/>
                <w:lang w:bidi="ar"/>
              </w:rPr>
              <w:t>《安全生产法》第七十二条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承担安全评价、认证、检测、检验职责的机构应当具备国家规定的资质条件，并对其作出的安全评价、认证、检测、检验结果的合法性、真实性负责。资质条件由国务院应急管理部门会同国务院有关部门制定。承担安全评价、认证、检测、检验职责的机构应当建立并实施服务公开和报告公开制度，不得租借资质、挂靠、出具虚假报告。</w:t>
            </w:r>
            <w:r>
              <w:rPr>
                <w:rStyle w:val="26"/>
                <w:rFonts w:eastAsia="仿宋_GB2312"/>
                <w:color w:val="auto"/>
                <w:sz w:val="18"/>
                <w:szCs w:val="18"/>
                <w:lang w:bidi="ar"/>
              </w:rPr>
              <w:t> </w:t>
            </w:r>
            <w:r>
              <w:rPr>
                <w:rStyle w:val="27"/>
                <w:rFonts w:hint="default" w:hAnsi="宋体"/>
                <w:color w:val="auto"/>
                <w:sz w:val="18"/>
                <w:szCs w:val="18"/>
                <w:lang w:bidi="ar"/>
              </w:rPr>
              <w:br w:type="textWrapping"/>
            </w:r>
            <w:r>
              <w:rPr>
                <w:rStyle w:val="27"/>
                <w:rFonts w:hint="default" w:hAnsi="宋体"/>
                <w:color w:val="auto"/>
                <w:sz w:val="18"/>
                <w:szCs w:val="18"/>
                <w:lang w:bidi="ar"/>
              </w:rPr>
              <w:t>《山东省安全生产条例》第三十六条 承担安全评价、认证、检测、检验职责的机构应当具备国家规定的资质条件，建立并实施服务公开和报告公开制度，严格遵守相关标准和规范开展执业活动，出具安全评价、认证、检测、检验结论应当客观公正，并不得有下列行为：（二）出租、出借资质、资格，或者将资质提供给他人挂靠使用；</w:t>
            </w:r>
          </w:p>
          <w:p w14:paraId="0215D006">
            <w:pPr>
              <w:keepNext w:val="0"/>
              <w:keepLines w:val="0"/>
              <w:pageBreakBefore w:val="0"/>
              <w:widowControl w:val="0"/>
              <w:kinsoku/>
              <w:wordWrap/>
              <w:overflowPunct w:val="0"/>
              <w:topLinePunct w:val="0"/>
              <w:autoSpaceDE/>
              <w:autoSpaceDN/>
              <w:bidi w:val="0"/>
              <w:adjustRightInd/>
              <w:snapToGrid/>
              <w:spacing w:line="260" w:lineRule="exact"/>
              <w:textAlignment w:val="center"/>
              <w:rPr>
                <w:rStyle w:val="27"/>
                <w:rFonts w:hint="default" w:hAnsi="宋体"/>
                <w:color w:val="auto"/>
                <w:sz w:val="18"/>
                <w:szCs w:val="18"/>
                <w:lang w:bidi="ar"/>
              </w:rPr>
            </w:pPr>
            <w:r>
              <w:rPr>
                <w:rStyle w:val="27"/>
                <w:rFonts w:hint="default" w:hAnsi="宋体"/>
                <w:color w:val="auto"/>
                <w:sz w:val="18"/>
                <w:szCs w:val="18"/>
                <w:lang w:bidi="ar"/>
              </w:rPr>
              <w:t>《安全评价检测检验机构管理办法》第二十二条 安全评价检测检验机构及其从业人员不得有下列行为：（四）出租、出借安全评价检测检验资质证书的。</w:t>
            </w:r>
          </w:p>
          <w:p w14:paraId="67F41B7D">
            <w:pPr>
              <w:keepNext w:val="0"/>
              <w:keepLines w:val="0"/>
              <w:pageBreakBefore w:val="0"/>
              <w:widowControl w:val="0"/>
              <w:kinsoku/>
              <w:wordWrap/>
              <w:overflowPunct w:val="0"/>
              <w:topLinePunct w:val="0"/>
              <w:autoSpaceDE/>
              <w:autoSpaceDN/>
              <w:bidi w:val="0"/>
              <w:adjustRightInd/>
              <w:snapToGrid/>
              <w:spacing w:line="260" w:lineRule="exact"/>
              <w:textAlignment w:val="center"/>
              <w:rPr>
                <w:rStyle w:val="27"/>
                <w:rFonts w:hint="default" w:hAnsi="宋体"/>
                <w:color w:val="auto"/>
                <w:sz w:val="18"/>
                <w:szCs w:val="18"/>
                <w:lang w:bidi="ar"/>
              </w:rPr>
            </w:pPr>
            <w:r>
              <w:rPr>
                <w:rStyle w:val="27"/>
                <w:rFonts w:hint="default" w:hAnsi="宋体"/>
                <w:color w:val="auto"/>
                <w:sz w:val="18"/>
                <w:szCs w:val="18"/>
                <w:lang w:bidi="ar"/>
              </w:rPr>
              <w:t>《煤矿安全生产条例》第四十六条第二款承担安全评价、认证、检测、检验等职责的煤矿安全生产技术服务机构应当依照有关法律法规和国家标准或者行业标准的规定开展安全生产技术服务活动，并对出具的报告负责，不得租借资质、挂靠、出具虚假报告。</w:t>
            </w:r>
          </w:p>
        </w:tc>
        <w:tc>
          <w:tcPr>
            <w:tcW w:w="4082" w:type="dxa"/>
            <w:vMerge w:val="restart"/>
            <w:tcBorders>
              <w:tl2br w:val="nil"/>
              <w:tr2bl w:val="nil"/>
            </w:tcBorders>
            <w:shd w:val="clear" w:color="auto" w:fill="auto"/>
            <w:tcMar>
              <w:top w:w="15" w:type="dxa"/>
              <w:left w:w="15" w:type="dxa"/>
              <w:right w:w="15" w:type="dxa"/>
            </w:tcMar>
            <w:vAlign w:val="center"/>
          </w:tcPr>
          <w:p w14:paraId="442F1EAA">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《安全生产法》第九十二条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承担安全评价、认证、检测、检验职责的机构出具失实报告的，责令停业整顿，并处三万元以上十万元以下的罚款；给他人造成损害的，依法承担赔偿责任。</w:t>
            </w:r>
          </w:p>
          <w:p w14:paraId="41E3694E">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承担安全评价、认证、检测、检验职责的机构租借资质、挂靠、出具虚假报告的，没收违法所得；违法所得在十万元以上的，并处违法所得二倍以上五倍以下的罚款，没有违法所得或者违法所得不足十万元的，单处或者并处十万元以上二十万元以下的罚款；对其直接负责的主管人员和其他直接责任人员处五万元以上十万元以下的罚款；给他人造成损害的，与生产经营单位承担连带赔偿责任；构成犯罪的，依照刑法有关规定追究刑事责任。</w:t>
            </w:r>
          </w:p>
          <w:p w14:paraId="79F722F8">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对有前款违法行为的机构及其直接责任人员，吊销其相应资质和资格，五年内不得从事安全评价、认证、检测、检验等工作；情节严重的，实行终身行业和职业禁入。</w:t>
            </w:r>
          </w:p>
          <w:p w14:paraId="237BCBF3">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《安全评价检测检验机构管理办法》第三十条 安全评价检测检验机构有下列情形之一的，责令改正或者责令限期改正，给予警告，可以并处一万元以下的罚款；逾期未改正的，处一万元以上三万元以下的罚款，对相关责任人处一千元以上五千元以下的罚款；情节严重的，处一万元以上三万元以下的罚款，对相关责任人处五千元以上一万元以下的罚款：（七）出租、出借安全评价检测检验资质证书的</w:t>
            </w:r>
            <w:r>
              <w:rPr>
                <w:rFonts w:ascii="仿宋_GB2312" w:hAnsi="宋体" w:eastAsia="仿宋_GB2312" w:cs="仿宋_GB2312"/>
                <w:kern w:val="0"/>
                <w:sz w:val="18"/>
                <w:szCs w:val="18"/>
                <w:lang w:bidi="ar"/>
              </w:rPr>
              <w:t>。</w:t>
            </w:r>
          </w:p>
          <w:p w14:paraId="4C746843">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七十二条承担安全评价、认证、检测、检验等职责的煤矿安全生产技术服务机构有出具失实报告、租借资质、挂靠、出具虚假报告等情形的，对该机构及直接负责的主管人员和其他直接责任人员，应当依照《中华人民共和国安全生产法》有关规定予以处罚并追究相应责任。其主要负责人对重大、特别重大煤矿生产安全事故负有责任的，终身不得从事煤矿安全生产相关技术服务工作。</w:t>
            </w:r>
          </w:p>
        </w:tc>
        <w:tc>
          <w:tcPr>
            <w:tcW w:w="459" w:type="dxa"/>
            <w:tcBorders>
              <w:tl2br w:val="nil"/>
              <w:tr2bl w:val="nil"/>
            </w:tcBorders>
            <w:shd w:val="clear" w:color="auto" w:fill="auto"/>
            <w:noWrap/>
            <w:tcMar>
              <w:top w:w="15" w:type="dxa"/>
              <w:left w:w="15" w:type="dxa"/>
              <w:right w:w="15" w:type="dxa"/>
            </w:tcMar>
            <w:vAlign w:val="center"/>
          </w:tcPr>
          <w:p w14:paraId="132ED1E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5CCF9EC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7A4A750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C4DF2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FA5F28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B432E9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BFE431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16B4A7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68E592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68F53FC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2769F46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896EE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010A45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D239A8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2D689A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B04763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3C943A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3656686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FFED0E3">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77B12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935EE8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7BC9B8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B2A234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2C17AB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8E0C2F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73B12C8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没有违法所得或违法所得不足十万元。</w:t>
            </w:r>
          </w:p>
        </w:tc>
        <w:tc>
          <w:tcPr>
            <w:tcW w:w="2655" w:type="dxa"/>
            <w:tcBorders>
              <w:tl2br w:val="nil"/>
              <w:tr2bl w:val="nil"/>
            </w:tcBorders>
            <w:shd w:val="clear" w:color="auto" w:fill="auto"/>
            <w:tcMar>
              <w:top w:w="15" w:type="dxa"/>
              <w:left w:w="15" w:type="dxa"/>
              <w:right w:w="15" w:type="dxa"/>
            </w:tcMar>
            <w:vAlign w:val="center"/>
          </w:tcPr>
          <w:p w14:paraId="08D6C606">
            <w:pPr>
              <w:keepNext w:val="0"/>
              <w:keepLines w:val="0"/>
              <w:pageBreakBefore w:val="0"/>
              <w:widowControl w:val="0"/>
              <w:kinsoku/>
              <w:wordWrap/>
              <w:overflowPunct w:val="0"/>
              <w:topLinePunct w:val="0"/>
              <w:autoSpaceDE/>
              <w:autoSpaceDN/>
              <w:bidi w:val="0"/>
              <w:adjustRightInd/>
              <w:snapToGrid/>
              <w:spacing w:line="23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1.吊销机构资质，五年内不得从事安全评价、认证、检测、检验等工作；没收违法所得，单处或者并处10万元以上20万元以下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2.吊销直接责任人员资格，五年内不得从事安全评价、认证、检测、检验等工作，并对其直接负责的主管人员和其他直接责任人员处5万元以上7万元以下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539CBD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C100EC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71814B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CF01A7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81AB1B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78BFCF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1AF203D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违法所得在十万元以上，且租借资质、挂靠2家（次)的。</w:t>
            </w:r>
          </w:p>
        </w:tc>
        <w:tc>
          <w:tcPr>
            <w:tcW w:w="2655" w:type="dxa"/>
            <w:tcBorders>
              <w:tl2br w:val="nil"/>
              <w:tr2bl w:val="nil"/>
            </w:tcBorders>
            <w:shd w:val="clear" w:color="auto" w:fill="auto"/>
            <w:tcMar>
              <w:top w:w="15" w:type="dxa"/>
              <w:left w:w="15" w:type="dxa"/>
              <w:right w:w="15" w:type="dxa"/>
            </w:tcMar>
            <w:vAlign w:val="center"/>
          </w:tcPr>
          <w:p w14:paraId="409A1477">
            <w:pPr>
              <w:keepNext w:val="0"/>
              <w:keepLines w:val="0"/>
              <w:pageBreakBefore w:val="0"/>
              <w:widowControl w:val="0"/>
              <w:kinsoku/>
              <w:wordWrap/>
              <w:overflowPunct w:val="0"/>
              <w:topLinePunct w:val="0"/>
              <w:autoSpaceDE/>
              <w:autoSpaceDN/>
              <w:bidi w:val="0"/>
              <w:adjustRightInd/>
              <w:snapToGrid/>
              <w:spacing w:line="23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1.吊销机构资质，五年内不得从事安全评价、认证、检测、检验等工作；没收违法所得，并处违法所得2倍以上4倍以下</w:t>
            </w:r>
            <w:r>
              <w:rPr>
                <w:rFonts w:hint="eastAsia" w:ascii="仿宋_GB2312" w:hAnsi="宋体" w:eastAsia="仿宋_GB2312" w:cs="仿宋_GB2312"/>
                <w:kern w:val="0"/>
                <w:sz w:val="18"/>
                <w:szCs w:val="18"/>
                <w:lang w:val="en-US" w:eastAsia="zh-CN" w:bidi="ar"/>
              </w:rPr>
              <w:t>的</w:t>
            </w:r>
            <w:r>
              <w:rPr>
                <w:rFonts w:hint="eastAsia" w:ascii="仿宋_GB2312" w:hAnsi="宋体" w:eastAsia="仿宋_GB2312" w:cs="仿宋_GB2312"/>
                <w:kern w:val="0"/>
                <w:sz w:val="18"/>
                <w:szCs w:val="18"/>
                <w:lang w:bidi="ar"/>
              </w:rPr>
              <w:t>罚款；</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2.吊销直接责任人员资格，五年内不得从事安全评价、认证、检测、检验等工作，并对其直接负责的主管人员和其他直接责任人员处7万元以上9万元以下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470D4C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258FC7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874E99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000A04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FFFA36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F0DDE0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6333B08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违法所得在十万元以上，且租借资质、挂靠3家（次)以上的。</w:t>
            </w:r>
          </w:p>
        </w:tc>
        <w:tc>
          <w:tcPr>
            <w:tcW w:w="2655" w:type="dxa"/>
            <w:tcBorders>
              <w:tl2br w:val="nil"/>
              <w:tr2bl w:val="nil"/>
            </w:tcBorders>
            <w:shd w:val="clear" w:color="auto" w:fill="auto"/>
            <w:tcMar>
              <w:top w:w="15" w:type="dxa"/>
              <w:left w:w="15" w:type="dxa"/>
              <w:right w:w="15" w:type="dxa"/>
            </w:tcMar>
            <w:vAlign w:val="center"/>
          </w:tcPr>
          <w:p w14:paraId="19586AB5">
            <w:pPr>
              <w:keepNext w:val="0"/>
              <w:keepLines w:val="0"/>
              <w:pageBreakBefore w:val="0"/>
              <w:widowControl w:val="0"/>
              <w:kinsoku/>
              <w:wordWrap/>
              <w:overflowPunct w:val="0"/>
              <w:topLinePunct w:val="0"/>
              <w:autoSpaceDE/>
              <w:autoSpaceDN/>
              <w:bidi w:val="0"/>
              <w:adjustRightInd/>
              <w:snapToGrid/>
              <w:spacing w:line="23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1.吊销机构资质，五年内不得从事安全评价、认证、检测、检验等工作；没收违法所得，并处违法所得4倍以上5倍以下</w:t>
            </w:r>
            <w:r>
              <w:rPr>
                <w:rFonts w:hint="eastAsia" w:ascii="仿宋_GB2312" w:hAnsi="宋体" w:eastAsia="仿宋_GB2312" w:cs="仿宋_GB2312"/>
                <w:kern w:val="0"/>
                <w:sz w:val="18"/>
                <w:szCs w:val="18"/>
                <w:lang w:val="en-US" w:eastAsia="zh-CN" w:bidi="ar"/>
              </w:rPr>
              <w:t>的</w:t>
            </w:r>
            <w:r>
              <w:rPr>
                <w:rFonts w:hint="eastAsia" w:ascii="仿宋_GB2312" w:hAnsi="宋体" w:eastAsia="仿宋_GB2312" w:cs="仿宋_GB2312"/>
                <w:kern w:val="0"/>
                <w:sz w:val="18"/>
                <w:szCs w:val="18"/>
                <w:lang w:bidi="ar"/>
              </w:rPr>
              <w:t>罚款，与生产经营单位承担连带赔偿责任；</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2.吊销直接责任人员资格，五年内不得从事安全评价、认证、检测、检验等工作，并对其直接负责的主管人员和其他直接责任人员处9万元以上10万元以下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3F5A4F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0350FBC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2</w:t>
            </w:r>
            <w:r>
              <w:rPr>
                <w:rFonts w:hint="eastAsia" w:ascii="仿宋_GB2312" w:hAnsi="宋体" w:eastAsia="仿宋_GB2312" w:cs="仿宋_GB2312"/>
                <w:kern w:val="0"/>
                <w:sz w:val="18"/>
                <w:szCs w:val="18"/>
                <w:lang w:val="en-US" w:eastAsia="zh-CN" w:bidi="ar"/>
              </w:rPr>
              <w:t>1</w:t>
            </w:r>
            <w:del w:id="3058" w:author="LV" w:date="2026-07-14T17:11:29Z">
              <w:r>
                <w:rPr>
                  <w:rFonts w:hint="default" w:ascii="仿宋_GB2312" w:hAnsi="宋体" w:eastAsia="仿宋_GB2312" w:cs="仿宋_GB2312"/>
                  <w:kern w:val="0"/>
                  <w:sz w:val="18"/>
                  <w:szCs w:val="18"/>
                  <w:lang w:val="en-US" w:eastAsia="zh-CN" w:bidi="ar"/>
                </w:rPr>
                <w:delText>2</w:delText>
              </w:r>
            </w:del>
            <w:ins w:id="3059" w:author="LV" w:date="2026-07-14T17:11:29Z">
              <w:r>
                <w:rPr>
                  <w:rFonts w:hint="eastAsia" w:ascii="仿宋_GB2312" w:hAnsi="宋体" w:eastAsia="仿宋_GB2312" w:cs="仿宋_GB2312"/>
                  <w:kern w:val="0"/>
                  <w:sz w:val="18"/>
                  <w:szCs w:val="18"/>
                  <w:lang w:val="en-US" w:eastAsia="zh-CN" w:bidi="ar"/>
                </w:rPr>
                <w:t>9</w:t>
              </w:r>
            </w:ins>
          </w:p>
        </w:tc>
        <w:tc>
          <w:tcPr>
            <w:tcW w:w="1005" w:type="dxa"/>
            <w:vMerge w:val="restart"/>
            <w:tcBorders>
              <w:tl2br w:val="nil"/>
              <w:tr2bl w:val="nil"/>
            </w:tcBorders>
            <w:shd w:val="clear" w:color="auto" w:fill="auto"/>
            <w:tcMar>
              <w:top w:w="15" w:type="dxa"/>
              <w:left w:w="15" w:type="dxa"/>
              <w:right w:w="15" w:type="dxa"/>
            </w:tcMar>
            <w:vAlign w:val="center"/>
          </w:tcPr>
          <w:p w14:paraId="4914C70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安全评价机构安全评价项目组组长及负责勘验人员不到现场实际地点开展勘验等有关工作的</w:t>
            </w:r>
          </w:p>
        </w:tc>
        <w:tc>
          <w:tcPr>
            <w:tcW w:w="3667" w:type="dxa"/>
            <w:vMerge w:val="restart"/>
            <w:tcBorders>
              <w:tl2br w:val="nil"/>
              <w:tr2bl w:val="nil"/>
            </w:tcBorders>
            <w:shd w:val="clear" w:color="auto" w:fill="auto"/>
            <w:tcMar>
              <w:top w:w="15" w:type="dxa"/>
              <w:left w:w="15" w:type="dxa"/>
              <w:right w:w="15" w:type="dxa"/>
            </w:tcMar>
            <w:vAlign w:val="center"/>
          </w:tcPr>
          <w:p w14:paraId="4F75393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《安全评价检测检验机构管理办法》第二十二条 安全评价检测检验机构及其从业人员不得有下列行为：（七）专职安全评价师、专业技术人员同时在两个以上安全评价检测检验机构从业的；（八）安全评价项目组组长及负责勘验人员不到现场实际地点开展勘验等有关工作的</w:t>
            </w:r>
            <w:r>
              <w:rPr>
                <w:rFonts w:ascii="仿宋_GB2312" w:hAnsi="宋体" w:eastAsia="仿宋_GB2312" w:cs="仿宋_GB2312"/>
                <w:kern w:val="0"/>
                <w:sz w:val="18"/>
                <w:szCs w:val="18"/>
                <w:lang w:bidi="ar"/>
              </w:rPr>
              <w:t>。</w:t>
            </w:r>
          </w:p>
        </w:tc>
        <w:tc>
          <w:tcPr>
            <w:tcW w:w="4082" w:type="dxa"/>
            <w:vMerge w:val="restart"/>
            <w:tcBorders>
              <w:tl2br w:val="nil"/>
              <w:tr2bl w:val="nil"/>
            </w:tcBorders>
            <w:shd w:val="clear" w:color="auto" w:fill="auto"/>
            <w:tcMar>
              <w:top w:w="15" w:type="dxa"/>
              <w:left w:w="15" w:type="dxa"/>
              <w:right w:w="15" w:type="dxa"/>
            </w:tcMar>
            <w:vAlign w:val="center"/>
          </w:tcPr>
          <w:p w14:paraId="3689735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《安全评价检测检验机构管理办法》第三十条 安全评价检测检验机构有下列情形之一的，责令改正或者责令限期改正，给予警告，可以并处一万元以下的罚款；逾期未改正的，处一万元以上三万元以下的罚款，对相关责任人处一千元以上五千元以下的罚款；情节严重的，处一万元以上三万元以下的罚款，对相关责任人处五千元以上一万元以下的罚款：（八）安全评价项目组组长及负责勘验人员不到现场实际地点开展勘验等有关工作的</w:t>
            </w:r>
            <w:r>
              <w:rPr>
                <w:rFonts w:ascii="仿宋_GB2312" w:hAnsi="宋体" w:eastAsia="仿宋_GB2312" w:cs="仿宋_GB2312"/>
                <w:kern w:val="0"/>
                <w:sz w:val="18"/>
                <w:szCs w:val="18"/>
                <w:lang w:bidi="ar"/>
              </w:rPr>
              <w:t>。</w:t>
            </w:r>
          </w:p>
        </w:tc>
        <w:tc>
          <w:tcPr>
            <w:tcW w:w="459" w:type="dxa"/>
            <w:tcBorders>
              <w:tl2br w:val="nil"/>
              <w:tr2bl w:val="nil"/>
            </w:tcBorders>
            <w:shd w:val="clear" w:color="auto" w:fill="auto"/>
            <w:noWrap/>
            <w:tcMar>
              <w:top w:w="15" w:type="dxa"/>
              <w:left w:w="15" w:type="dxa"/>
              <w:right w:w="15" w:type="dxa"/>
            </w:tcMar>
            <w:vAlign w:val="center"/>
          </w:tcPr>
          <w:p w14:paraId="2C6F94D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3C34CC1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37FCC1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73297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23275D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6DFC80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1B8D8D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78EE1F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6C6CC7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34B06E4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1739F9E4">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363C2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ECCE3F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958D51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65ED7C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3ABEE7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D3AA5F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6FE7C87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67EECED3">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CC0C2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83ADEB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44F7D4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BCD7F5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A925B3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B5D7F8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4A78129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1项服务项目安全评价项目组组长及负责勘验人员不到现场实际地点开展勘验等有关工作的。</w:t>
            </w:r>
          </w:p>
        </w:tc>
        <w:tc>
          <w:tcPr>
            <w:tcW w:w="2655" w:type="dxa"/>
            <w:tcBorders>
              <w:tl2br w:val="nil"/>
              <w:tr2bl w:val="nil"/>
            </w:tcBorders>
            <w:shd w:val="clear" w:color="auto" w:fill="auto"/>
            <w:tcMar>
              <w:top w:w="15" w:type="dxa"/>
              <w:left w:w="15" w:type="dxa"/>
              <w:right w:w="15" w:type="dxa"/>
            </w:tcMar>
            <w:vAlign w:val="center"/>
          </w:tcPr>
          <w:p w14:paraId="5BE31125">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给予警告，可以并处3000元以下</w:t>
            </w:r>
            <w:r>
              <w:rPr>
                <w:rFonts w:hint="eastAsia" w:ascii="仿宋_GB2312" w:hAnsi="宋体" w:eastAsia="仿宋_GB2312" w:cs="仿宋_GB2312"/>
                <w:kern w:val="0"/>
                <w:sz w:val="18"/>
                <w:szCs w:val="18"/>
                <w:lang w:eastAsia="zh-CN" w:bidi="ar"/>
              </w:rPr>
              <w:t>的的罚款</w:t>
            </w:r>
            <w:r>
              <w:rPr>
                <w:rFonts w:hint="eastAsia" w:ascii="仿宋_GB2312" w:hAnsi="宋体" w:eastAsia="仿宋_GB2312" w:cs="仿宋_GB2312"/>
                <w:kern w:val="0"/>
                <w:sz w:val="18"/>
                <w:szCs w:val="18"/>
                <w:lang w:bidi="ar"/>
              </w:rPr>
              <w:t>；逾期未改正的，处1万元以上1.5万元以下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，对相关责任人处1000元以上2000元以下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；情节严重的，处1万元以上1.5万元以下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，对相关责任人处5000元以上7000元以下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253689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9F2D5E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FD0AEC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98DF98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FE3252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1B8491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71489AC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2项服务项目安全评价项目组组长及负责勘验人员不到现场实际地点开展勘验等有关工作的。</w:t>
            </w:r>
          </w:p>
        </w:tc>
        <w:tc>
          <w:tcPr>
            <w:tcW w:w="2655" w:type="dxa"/>
            <w:tcBorders>
              <w:tl2br w:val="nil"/>
              <w:tr2bl w:val="nil"/>
            </w:tcBorders>
            <w:shd w:val="clear" w:color="auto" w:fill="auto"/>
            <w:tcMar>
              <w:top w:w="15" w:type="dxa"/>
              <w:left w:w="15" w:type="dxa"/>
              <w:right w:w="15" w:type="dxa"/>
            </w:tcMar>
            <w:vAlign w:val="center"/>
          </w:tcPr>
          <w:p w14:paraId="3B3147FD">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给予警告，可以并处3000元以上7000元以下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；逾期未改正的，处1.5万元以上2.5万元以下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，对相关责任人处2000元以上3000元以下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；情节严重的，处1.5万元以上2.5万元以下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，对相关责任人处7000元以上9000元以下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5A36A9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540B16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7FDB62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418D26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665E33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E3CCE4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4C42916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3项及以上服务项目安全评价项目组组长及负责勘验人员不到现场实际地点开展勘验等有关工作的。</w:t>
            </w:r>
          </w:p>
        </w:tc>
        <w:tc>
          <w:tcPr>
            <w:tcW w:w="2655" w:type="dxa"/>
            <w:tcBorders>
              <w:tl2br w:val="nil"/>
              <w:tr2bl w:val="nil"/>
            </w:tcBorders>
            <w:shd w:val="clear" w:color="auto" w:fill="auto"/>
            <w:tcMar>
              <w:top w:w="15" w:type="dxa"/>
              <w:left w:w="15" w:type="dxa"/>
              <w:right w:w="15" w:type="dxa"/>
            </w:tcMar>
            <w:vAlign w:val="center"/>
          </w:tcPr>
          <w:p w14:paraId="111F8C69">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给予警告，可以并处7000元以上1万元以下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；逾期未改正的，处2.5万元以上3万元以下万元</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，对相关责任人处3000元以上5000元以下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；情节严重的，处2.5万元以上3万元以下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，对相关责任人处9000元以上1万元以下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7CAF64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188DB96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2</w:t>
            </w:r>
            <w:del w:id="3060" w:author="LV" w:date="2026-07-14T17:11:32Z">
              <w:r>
                <w:rPr>
                  <w:rFonts w:hint="default" w:ascii="仿宋_GB2312" w:hAnsi="宋体" w:eastAsia="仿宋_GB2312" w:cs="仿宋_GB2312"/>
                  <w:kern w:val="0"/>
                  <w:sz w:val="18"/>
                  <w:szCs w:val="18"/>
                  <w:lang w:val="en-US" w:eastAsia="zh-CN" w:bidi="ar"/>
                </w:rPr>
                <w:delText>13</w:delText>
              </w:r>
            </w:del>
            <w:ins w:id="3061" w:author="LV" w:date="2026-07-14T17:11:32Z">
              <w:r>
                <w:rPr>
                  <w:rFonts w:hint="eastAsia" w:ascii="仿宋_GB2312" w:hAnsi="宋体" w:eastAsia="仿宋_GB2312" w:cs="仿宋_GB2312"/>
                  <w:kern w:val="0"/>
                  <w:sz w:val="18"/>
                  <w:szCs w:val="18"/>
                  <w:lang w:val="en-US" w:eastAsia="zh-CN" w:bidi="ar"/>
                </w:rPr>
                <w:t>2</w:t>
              </w:r>
            </w:ins>
            <w:ins w:id="3062" w:author="LV" w:date="2026-07-14T17:11:33Z">
              <w:r>
                <w:rPr>
                  <w:rFonts w:hint="eastAsia" w:ascii="仿宋_GB2312" w:hAnsi="宋体" w:eastAsia="仿宋_GB2312" w:cs="仿宋_GB2312"/>
                  <w:kern w:val="0"/>
                  <w:sz w:val="18"/>
                  <w:szCs w:val="18"/>
                  <w:lang w:val="en-US" w:eastAsia="zh-CN" w:bidi="ar"/>
                </w:rPr>
                <w:t>0</w:t>
              </w:r>
            </w:ins>
          </w:p>
        </w:tc>
        <w:tc>
          <w:tcPr>
            <w:tcW w:w="1005" w:type="dxa"/>
            <w:vMerge w:val="restart"/>
            <w:tcBorders>
              <w:tl2br w:val="nil"/>
              <w:tr2bl w:val="nil"/>
            </w:tcBorders>
            <w:shd w:val="clear" w:color="auto" w:fill="auto"/>
            <w:tcMar>
              <w:top w:w="15" w:type="dxa"/>
              <w:left w:w="15" w:type="dxa"/>
              <w:right w:w="15" w:type="dxa"/>
            </w:tcMar>
            <w:vAlign w:val="center"/>
          </w:tcPr>
          <w:p w14:paraId="76A6F58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安全生产检测检验机构承担现场检测检验的人员不到现场实际地点开展设备检测检验等有关工作的</w:t>
            </w:r>
          </w:p>
        </w:tc>
        <w:tc>
          <w:tcPr>
            <w:tcW w:w="3667" w:type="dxa"/>
            <w:vMerge w:val="restart"/>
            <w:tcBorders>
              <w:tl2br w:val="nil"/>
              <w:tr2bl w:val="nil"/>
            </w:tcBorders>
            <w:shd w:val="clear" w:color="auto" w:fill="auto"/>
            <w:tcMar>
              <w:top w:w="15" w:type="dxa"/>
              <w:left w:w="15" w:type="dxa"/>
              <w:right w:w="15" w:type="dxa"/>
            </w:tcMar>
            <w:vAlign w:val="center"/>
          </w:tcPr>
          <w:p w14:paraId="499B0DE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《安全评价检测检验机构管理办法》第二十二条 安全评价检测检验机构及其从业人员不得有下列行为：（七）专职安全评价师、专业技术人员同时在两个以上安全评价检测检验机构从业的；（八）安全评价项目组组长及负责勘验人员不到现场实际地点开展勘验等有关工作的</w:t>
            </w:r>
            <w:r>
              <w:rPr>
                <w:rFonts w:ascii="仿宋_GB2312" w:hAnsi="宋体" w:eastAsia="仿宋_GB2312" w:cs="仿宋_GB2312"/>
                <w:kern w:val="0"/>
                <w:sz w:val="18"/>
                <w:szCs w:val="18"/>
                <w:lang w:bidi="ar"/>
              </w:rPr>
              <w:t>。</w:t>
            </w:r>
          </w:p>
        </w:tc>
        <w:tc>
          <w:tcPr>
            <w:tcW w:w="4082" w:type="dxa"/>
            <w:vMerge w:val="restart"/>
            <w:tcBorders>
              <w:tl2br w:val="nil"/>
              <w:tr2bl w:val="nil"/>
            </w:tcBorders>
            <w:shd w:val="clear" w:color="auto" w:fill="auto"/>
            <w:tcMar>
              <w:top w:w="15" w:type="dxa"/>
              <w:left w:w="15" w:type="dxa"/>
              <w:right w:w="15" w:type="dxa"/>
            </w:tcMar>
            <w:vAlign w:val="center"/>
          </w:tcPr>
          <w:p w14:paraId="7A9182B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《安全评价检测检验机构管理办法》第三十条 安全评价检测检验机构有下列情形之一的，责令改正或者责令限期改正，给予警告，可以并处一万元以下的罚款；逾期未改正的，处一万元以上三万元以下的罚款，对相关责任人处一千元以上五千元以下的罚款；情节严重的，处一万元以上三万元以下的罚款，对相关责任人处五千元以上一万元以下的罚款：（九）承担现场检测检验的人员不到现场实际地点开展设备检测检验等有关工作的</w:t>
            </w:r>
            <w:r>
              <w:rPr>
                <w:rFonts w:ascii="仿宋_GB2312" w:hAnsi="宋体" w:eastAsia="仿宋_GB2312" w:cs="仿宋_GB2312"/>
                <w:kern w:val="0"/>
                <w:sz w:val="18"/>
                <w:szCs w:val="18"/>
                <w:lang w:bidi="ar"/>
              </w:rPr>
              <w:t>。</w:t>
            </w:r>
          </w:p>
        </w:tc>
        <w:tc>
          <w:tcPr>
            <w:tcW w:w="459" w:type="dxa"/>
            <w:tcBorders>
              <w:tl2br w:val="nil"/>
              <w:tr2bl w:val="nil"/>
            </w:tcBorders>
            <w:shd w:val="clear" w:color="auto" w:fill="auto"/>
            <w:noWrap/>
            <w:tcMar>
              <w:top w:w="15" w:type="dxa"/>
              <w:left w:w="15" w:type="dxa"/>
              <w:right w:w="15" w:type="dxa"/>
            </w:tcMar>
            <w:vAlign w:val="center"/>
          </w:tcPr>
          <w:p w14:paraId="0407855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1388A00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7A016013">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B0705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A09E65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631A14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E858EC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05CBD0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040D8F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6791091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224A4CB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A0A5D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C7B76E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91F283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9FFA8F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656495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793E8F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48DF902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74D830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C03B2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FC884D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186A12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248DF4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9CE68E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D6C11F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75418EC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1项服务项目承担现场检测检验的人员不到现场实际地点开展设备检测检验等有关工作的。</w:t>
            </w:r>
          </w:p>
        </w:tc>
        <w:tc>
          <w:tcPr>
            <w:tcW w:w="2655" w:type="dxa"/>
            <w:tcBorders>
              <w:tl2br w:val="nil"/>
              <w:tr2bl w:val="nil"/>
            </w:tcBorders>
            <w:shd w:val="clear" w:color="auto" w:fill="auto"/>
            <w:tcMar>
              <w:top w:w="15" w:type="dxa"/>
              <w:left w:w="15" w:type="dxa"/>
              <w:right w:w="15" w:type="dxa"/>
            </w:tcMar>
            <w:vAlign w:val="center"/>
          </w:tcPr>
          <w:p w14:paraId="1AB6BCB1">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给予警告，可以并处3000元以下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；逾期未改正的，处1万元以上1.5万元以下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，对相关责任人处1000元以上2000元以下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；情节严重的，处1万元以上1.5万元以下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，对相关责任人处5000元以上7000元以下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57D739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73997B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8FBB9C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A28600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9CF59C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6990C3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0CCC443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2项服务项目承担现场检测检验的人员不到现场实际地点开展设备检测检验等有关工作的。</w:t>
            </w:r>
          </w:p>
        </w:tc>
        <w:tc>
          <w:tcPr>
            <w:tcW w:w="2655" w:type="dxa"/>
            <w:tcBorders>
              <w:tl2br w:val="nil"/>
              <w:tr2bl w:val="nil"/>
            </w:tcBorders>
            <w:shd w:val="clear" w:color="auto" w:fill="auto"/>
            <w:tcMar>
              <w:top w:w="15" w:type="dxa"/>
              <w:left w:w="15" w:type="dxa"/>
              <w:right w:w="15" w:type="dxa"/>
            </w:tcMar>
            <w:vAlign w:val="center"/>
          </w:tcPr>
          <w:p w14:paraId="4565C530">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给予警告，可以并处3000元以上7000元以下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；逾期未改正的，处1.5万元以上2.5万元以下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，对相关责任人处2000元以上3000元以下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；情节严重的，处1.5万元以上2.5万元以下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，对相关责任人处7000元以上9000元以下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2B8890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65D85B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481454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EBDC8C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136871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8A2B7F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2BD9D7D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3项及以上服务项目承担现场检测检验的人员不到现场实际地点开展设备检测检验等有关工作的。</w:t>
            </w:r>
          </w:p>
        </w:tc>
        <w:tc>
          <w:tcPr>
            <w:tcW w:w="2655" w:type="dxa"/>
            <w:tcBorders>
              <w:tl2br w:val="nil"/>
              <w:tr2bl w:val="nil"/>
            </w:tcBorders>
            <w:shd w:val="clear" w:color="auto" w:fill="auto"/>
            <w:tcMar>
              <w:top w:w="15" w:type="dxa"/>
              <w:left w:w="15" w:type="dxa"/>
              <w:right w:w="15" w:type="dxa"/>
            </w:tcMar>
            <w:vAlign w:val="center"/>
          </w:tcPr>
          <w:p w14:paraId="058DB2DF">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给予警告，可以并处7000元以上1万元以下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；逾期未改正的，处2.5万元以上3万元以下万元</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，对相关责任人处3000元以上5000元以下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；情节严重的，处2.5万元以上3万元以下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，对相关责任人处9000元以上1万元以下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0F939C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290BBC4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2</w:t>
            </w:r>
            <w:del w:id="3063" w:author="LV" w:date="2026-07-14T17:11:37Z">
              <w:r>
                <w:rPr>
                  <w:rFonts w:hint="default" w:ascii="仿宋_GB2312" w:hAnsi="宋体" w:eastAsia="仿宋_GB2312" w:cs="仿宋_GB2312"/>
                  <w:kern w:val="0"/>
                  <w:sz w:val="18"/>
                  <w:szCs w:val="18"/>
                  <w:lang w:val="en-US" w:bidi="ar"/>
                </w:rPr>
                <w:delText>1</w:delText>
              </w:r>
            </w:del>
            <w:del w:id="3064" w:author="LV" w:date="2026-07-14T17:11:37Z">
              <w:r>
                <w:rPr>
                  <w:rFonts w:hint="default" w:ascii="仿宋_GB2312" w:hAnsi="宋体" w:eastAsia="仿宋_GB2312" w:cs="仿宋_GB2312"/>
                  <w:kern w:val="0"/>
                  <w:sz w:val="18"/>
                  <w:szCs w:val="18"/>
                  <w:lang w:val="en-US" w:eastAsia="zh-CN" w:bidi="ar"/>
                </w:rPr>
                <w:delText>4</w:delText>
              </w:r>
            </w:del>
            <w:ins w:id="3065" w:author="LV" w:date="2026-07-14T17:11:37Z">
              <w:r>
                <w:rPr>
                  <w:rFonts w:hint="eastAsia" w:ascii="仿宋_GB2312" w:hAnsi="宋体" w:eastAsia="仿宋_GB2312" w:cs="仿宋_GB2312"/>
                  <w:kern w:val="0"/>
                  <w:sz w:val="18"/>
                  <w:szCs w:val="18"/>
                  <w:lang w:val="en-US" w:eastAsia="zh-CN" w:bidi="ar"/>
                </w:rPr>
                <w:t>21</w:t>
              </w:r>
            </w:ins>
          </w:p>
        </w:tc>
        <w:tc>
          <w:tcPr>
            <w:tcW w:w="1005" w:type="dxa"/>
            <w:vMerge w:val="restart"/>
            <w:tcBorders>
              <w:tl2br w:val="nil"/>
              <w:tr2bl w:val="nil"/>
            </w:tcBorders>
            <w:shd w:val="clear" w:color="auto" w:fill="auto"/>
            <w:tcMar>
              <w:top w:w="15" w:type="dxa"/>
              <w:left w:w="15" w:type="dxa"/>
              <w:right w:w="15" w:type="dxa"/>
            </w:tcMar>
            <w:vAlign w:val="center"/>
          </w:tcPr>
          <w:p w14:paraId="0B9A007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安全评价机构安全评价报告存在法规标准引用错误、关键危险有害因素漏项、重大危险源辨识错误、对策措施建议与存在问题严重不符等重大疏漏，但尚未造成重大损失的</w:t>
            </w:r>
          </w:p>
        </w:tc>
        <w:tc>
          <w:tcPr>
            <w:tcW w:w="3667" w:type="dxa"/>
            <w:vMerge w:val="restart"/>
            <w:tcBorders>
              <w:tl2br w:val="nil"/>
              <w:tr2bl w:val="nil"/>
            </w:tcBorders>
            <w:shd w:val="clear" w:color="auto" w:fill="auto"/>
            <w:tcMar>
              <w:top w:w="15" w:type="dxa"/>
              <w:left w:w="15" w:type="dxa"/>
              <w:right w:w="15" w:type="dxa"/>
            </w:tcMar>
            <w:vAlign w:val="center"/>
          </w:tcPr>
          <w:p w14:paraId="1CE51D8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《安全评价检测检验机构管理办法》第二十二条 安全评价检测检验机构及其从业人员不得有下列行为：（五）出具虚假或者重大疏漏的安全评价、检测检验报告的；本办法所称虚假报告，是指安全评价报告、安全生产检测检验报告内容与当时实际情况严重不符，报告结论定性严重偏离客观实际。</w:t>
            </w:r>
          </w:p>
        </w:tc>
        <w:tc>
          <w:tcPr>
            <w:tcW w:w="4082" w:type="dxa"/>
            <w:vMerge w:val="restart"/>
            <w:tcBorders>
              <w:tl2br w:val="nil"/>
              <w:tr2bl w:val="nil"/>
            </w:tcBorders>
            <w:shd w:val="clear" w:color="auto" w:fill="auto"/>
            <w:tcMar>
              <w:top w:w="15" w:type="dxa"/>
              <w:left w:w="15" w:type="dxa"/>
              <w:right w:w="15" w:type="dxa"/>
            </w:tcMar>
            <w:vAlign w:val="center"/>
          </w:tcPr>
          <w:p w14:paraId="78CF673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《安全评价检测检验机构管理办法》第三十条 安全评价检测检验机构有下列情形之一的，责令改正或者责令限期改正，给予警告，可以并处一万元以下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逾期未改正的，处一万元以上三万元以下的罚款，对相关责任人处一千元以上五千元以下的罚款；情节严重的，处一万元以上三万元以下的罚款，对相关责任人处五千元以上一万元以下的罚款：（十）安全评价报告存在法规标准引用错误、关键危险有害因素漏项、重大危险源辨识错误、对策措施建议与存在问题严重不符等重大疏漏，但尚未造成重大损失的</w:t>
            </w:r>
            <w:r>
              <w:rPr>
                <w:rFonts w:ascii="仿宋_GB2312" w:hAnsi="宋体" w:eastAsia="仿宋_GB2312" w:cs="仿宋_GB2312"/>
                <w:kern w:val="0"/>
                <w:sz w:val="18"/>
                <w:szCs w:val="18"/>
                <w:lang w:bidi="ar"/>
              </w:rPr>
              <w:t>。</w:t>
            </w:r>
          </w:p>
        </w:tc>
        <w:tc>
          <w:tcPr>
            <w:tcW w:w="459" w:type="dxa"/>
            <w:tcBorders>
              <w:tl2br w:val="nil"/>
              <w:tr2bl w:val="nil"/>
            </w:tcBorders>
            <w:shd w:val="clear" w:color="auto" w:fill="auto"/>
            <w:noWrap/>
            <w:tcMar>
              <w:top w:w="15" w:type="dxa"/>
              <w:left w:w="15" w:type="dxa"/>
              <w:right w:w="15" w:type="dxa"/>
            </w:tcMar>
            <w:vAlign w:val="center"/>
          </w:tcPr>
          <w:p w14:paraId="2D781B0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56D5E12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195CA3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22BF3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3A12AA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E0354C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818738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A10E1C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F2563F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6ECC70F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1CD63FFD">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E417D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EF1F69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77DB31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4577FA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53D62E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C70E1F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48E076D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19CB2A6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A8458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2A35C9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C12DB7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E4FE9F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620AFF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A82C08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1A460626">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1项安全评价报告存在法规标准引用错误、关键危险有害因素漏项、重大危险源辨识错误、对策措施建议与存在问题严重不符等重大疏漏，但尚未造成重大损失的。</w:t>
            </w:r>
          </w:p>
        </w:tc>
        <w:tc>
          <w:tcPr>
            <w:tcW w:w="2655" w:type="dxa"/>
            <w:tcBorders>
              <w:tl2br w:val="nil"/>
              <w:tr2bl w:val="nil"/>
            </w:tcBorders>
            <w:shd w:val="clear" w:color="auto" w:fill="auto"/>
            <w:tcMar>
              <w:top w:w="15" w:type="dxa"/>
              <w:left w:w="15" w:type="dxa"/>
              <w:right w:w="15" w:type="dxa"/>
            </w:tcMar>
            <w:vAlign w:val="center"/>
          </w:tcPr>
          <w:p w14:paraId="55D444F9">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给予警告，可以并处3000元以下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；逾期未改正的，处1万元以上1.5万元以下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，对相关责任人处1000元以上2000元以下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；情节严重的，处1万元以上1.5万元以下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，对相关责任人处5000元以上7000元以下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68C959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F27639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666325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08B39E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52AC57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ED311C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1E55E0D9">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2项安全评价报告存在法规标准引用错误、关键危险有害因素漏项、重大危险源辨识错误、对策措施建议与存在问题严重不符等重大疏漏，但尚未造成重大损失的。</w:t>
            </w:r>
          </w:p>
        </w:tc>
        <w:tc>
          <w:tcPr>
            <w:tcW w:w="2655" w:type="dxa"/>
            <w:tcBorders>
              <w:tl2br w:val="nil"/>
              <w:tr2bl w:val="nil"/>
            </w:tcBorders>
            <w:shd w:val="clear" w:color="auto" w:fill="auto"/>
            <w:tcMar>
              <w:top w:w="15" w:type="dxa"/>
              <w:left w:w="15" w:type="dxa"/>
              <w:right w:w="15" w:type="dxa"/>
            </w:tcMar>
            <w:vAlign w:val="center"/>
          </w:tcPr>
          <w:p w14:paraId="69027DED">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给予警告，可以并处3000元以上7000元以下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；逾期未改正的，处1.5万元以上2.5万元以下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，对相关责任人处2000元以上3000元以下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；情节严重的，处1.5万元以上2.5万元以下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，对相关责任人处7000元以上9000元以下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404906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9219E3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1EF8B8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E229D1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569D5F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A92FB1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62507070">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3项及以上安全评价报告存在法规标准引用错误、关键危险有害因素漏项、重大危险源辨识错误、对策措施建议与存在问题严重不符等重大疏漏，但尚未造成重大损失的。</w:t>
            </w:r>
          </w:p>
        </w:tc>
        <w:tc>
          <w:tcPr>
            <w:tcW w:w="2655" w:type="dxa"/>
            <w:tcBorders>
              <w:tl2br w:val="nil"/>
              <w:tr2bl w:val="nil"/>
            </w:tcBorders>
            <w:shd w:val="clear" w:color="auto" w:fill="auto"/>
            <w:tcMar>
              <w:top w:w="15" w:type="dxa"/>
              <w:left w:w="15" w:type="dxa"/>
              <w:right w:w="15" w:type="dxa"/>
            </w:tcMar>
            <w:vAlign w:val="center"/>
          </w:tcPr>
          <w:p w14:paraId="1E785EBE">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给予警告，可以并处7000元以上1万元以下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；逾期未改正的，处2.5万元以上3万元以下万元</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，对相关责任人处3000元以上5000元以下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；情节严重的，处2.5万元以上3万元以下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，对相关责任人处9000元以上1万元以下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6FE175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1C65AA0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2</w:t>
            </w:r>
            <w:del w:id="3066" w:author="LV" w:date="2026-07-14T17:11:40Z">
              <w:r>
                <w:rPr>
                  <w:rFonts w:hint="default" w:ascii="仿宋_GB2312" w:hAnsi="宋体" w:eastAsia="仿宋_GB2312" w:cs="仿宋_GB2312"/>
                  <w:kern w:val="0"/>
                  <w:sz w:val="18"/>
                  <w:szCs w:val="18"/>
                  <w:lang w:val="en-US" w:bidi="ar"/>
                </w:rPr>
                <w:delText>1</w:delText>
              </w:r>
            </w:del>
            <w:del w:id="3067" w:author="LV" w:date="2026-07-14T17:11:40Z">
              <w:r>
                <w:rPr>
                  <w:rFonts w:hint="default" w:ascii="仿宋_GB2312" w:hAnsi="宋体" w:eastAsia="仿宋_GB2312" w:cs="仿宋_GB2312"/>
                  <w:kern w:val="0"/>
                  <w:sz w:val="18"/>
                  <w:szCs w:val="18"/>
                  <w:lang w:val="en-US" w:eastAsia="zh-CN" w:bidi="ar"/>
                </w:rPr>
                <w:delText>5</w:delText>
              </w:r>
            </w:del>
            <w:ins w:id="3068" w:author="LV" w:date="2026-07-14T17:11:40Z">
              <w:r>
                <w:rPr>
                  <w:rFonts w:hint="eastAsia" w:ascii="仿宋_GB2312" w:hAnsi="宋体" w:eastAsia="仿宋_GB2312" w:cs="仿宋_GB2312"/>
                  <w:kern w:val="0"/>
                  <w:sz w:val="18"/>
                  <w:szCs w:val="18"/>
                  <w:lang w:val="en-US" w:eastAsia="zh-CN" w:bidi="ar"/>
                </w:rPr>
                <w:t>2</w:t>
              </w:r>
            </w:ins>
            <w:ins w:id="3069" w:author="LV" w:date="2026-07-14T17:11:41Z">
              <w:r>
                <w:rPr>
                  <w:rFonts w:hint="eastAsia" w:ascii="仿宋_GB2312" w:hAnsi="宋体" w:eastAsia="仿宋_GB2312" w:cs="仿宋_GB2312"/>
                  <w:kern w:val="0"/>
                  <w:sz w:val="18"/>
                  <w:szCs w:val="18"/>
                  <w:lang w:val="en-US" w:eastAsia="zh-CN" w:bidi="ar"/>
                </w:rPr>
                <w:t>2</w:t>
              </w:r>
            </w:ins>
          </w:p>
        </w:tc>
        <w:tc>
          <w:tcPr>
            <w:tcW w:w="1005" w:type="dxa"/>
            <w:vMerge w:val="restart"/>
            <w:tcBorders>
              <w:tl2br w:val="nil"/>
              <w:tr2bl w:val="nil"/>
            </w:tcBorders>
            <w:shd w:val="clear" w:color="auto" w:fill="auto"/>
            <w:tcMar>
              <w:top w:w="15" w:type="dxa"/>
              <w:left w:w="15" w:type="dxa"/>
              <w:right w:w="15" w:type="dxa"/>
            </w:tcMar>
            <w:vAlign w:val="center"/>
          </w:tcPr>
          <w:p w14:paraId="285B56A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安全生产检测检验机构检测检验报告存在法规标准引用错误、关键项目漏检、结论不明确等重大疏漏，但尚未造成重大损失的</w:t>
            </w:r>
          </w:p>
        </w:tc>
        <w:tc>
          <w:tcPr>
            <w:tcW w:w="3667" w:type="dxa"/>
            <w:vMerge w:val="restart"/>
            <w:tcBorders>
              <w:tl2br w:val="nil"/>
              <w:tr2bl w:val="nil"/>
            </w:tcBorders>
            <w:shd w:val="clear" w:color="auto" w:fill="auto"/>
            <w:tcMar>
              <w:top w:w="15" w:type="dxa"/>
              <w:left w:w="15" w:type="dxa"/>
              <w:right w:w="15" w:type="dxa"/>
            </w:tcMar>
            <w:vAlign w:val="center"/>
          </w:tcPr>
          <w:p w14:paraId="505F6A4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《安全评价检测检验机构管理办法》第二十二条 安全评价检测检验机构及其从业人员不得有下列行为：（五）出具虚假或者重大疏漏的安全评价、检测检验报告的；本办法所称虚假报告，是指安全评价报告、安全生产检测检验报告内容与当时实际情况严重不符，报告结论定性严重偏离客观实际。</w:t>
            </w:r>
          </w:p>
        </w:tc>
        <w:tc>
          <w:tcPr>
            <w:tcW w:w="4082" w:type="dxa"/>
            <w:vMerge w:val="restart"/>
            <w:tcBorders>
              <w:tl2br w:val="nil"/>
              <w:tr2bl w:val="nil"/>
            </w:tcBorders>
            <w:shd w:val="clear" w:color="auto" w:fill="auto"/>
            <w:tcMar>
              <w:top w:w="15" w:type="dxa"/>
              <w:left w:w="15" w:type="dxa"/>
              <w:right w:w="15" w:type="dxa"/>
            </w:tcMar>
            <w:vAlign w:val="center"/>
          </w:tcPr>
          <w:p w14:paraId="53ADECA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《安全评价检测检验机构管理办法》第三十条 安全评价检测检验机构有下列情形之一的，责令改正或者责令限期改正，给予警告，可以并处一万元以下的罚款；逾期未改正的，处一万元以上三万元以下的罚款，对相关责任人处一千元以上五千元以下的罚款；情节严重的，处一万元以上三万元以下的罚款，对相关责任人处五千元以上一万元以下的罚款：（十一）安全生产检测检验报告存在法规标准引用错误、关键项目漏检、结论不明确等重大疏漏，但尚未造成重大损失的。</w:t>
            </w:r>
          </w:p>
        </w:tc>
        <w:tc>
          <w:tcPr>
            <w:tcW w:w="459" w:type="dxa"/>
            <w:tcBorders>
              <w:tl2br w:val="nil"/>
              <w:tr2bl w:val="nil"/>
            </w:tcBorders>
            <w:shd w:val="clear" w:color="auto" w:fill="auto"/>
            <w:noWrap/>
            <w:tcMar>
              <w:top w:w="15" w:type="dxa"/>
              <w:left w:w="15" w:type="dxa"/>
              <w:right w:w="15" w:type="dxa"/>
            </w:tcMar>
            <w:vAlign w:val="center"/>
          </w:tcPr>
          <w:p w14:paraId="5F81CE9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7BD6224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6E8C8E36">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9EFCA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65C2A3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A19DF6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861E7C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B9F449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75BC78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5C4538A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78EB09D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B6F9E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372AAA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6D9F3C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7ABB57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E572BB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57D83A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3C02686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1C91A6F">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8282D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CBD398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D61049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600CEA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D0EDE5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94CD09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6D90D0A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1项检测检验报告存在法规标准引用错误、关键项目漏检、结论不明确等重大疏漏，但尚未造成重大损失的。</w:t>
            </w:r>
          </w:p>
        </w:tc>
        <w:tc>
          <w:tcPr>
            <w:tcW w:w="2655" w:type="dxa"/>
            <w:tcBorders>
              <w:tl2br w:val="nil"/>
              <w:tr2bl w:val="nil"/>
            </w:tcBorders>
            <w:shd w:val="clear" w:color="auto" w:fill="auto"/>
            <w:tcMar>
              <w:top w:w="15" w:type="dxa"/>
              <w:left w:w="15" w:type="dxa"/>
              <w:right w:w="15" w:type="dxa"/>
            </w:tcMar>
            <w:vAlign w:val="center"/>
          </w:tcPr>
          <w:p w14:paraId="7DF43B6B">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给予警告，可以并处3000元以下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；逾期未改正的，处1万元以上1.5万元以下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，对相关责任人处1000元以上2000元以下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；情节严重的，处1万元以上1.5万元以下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，对相关责任人处5000元以上7000元以下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5CA244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44FADE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A36F8F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DA7495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80E60A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C94ADE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5C2E5AD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2项检测检验报告存在法规标准引用错误、关键项目漏检、结论不明确等重大疏漏，但尚未造成重大损失的。</w:t>
            </w:r>
          </w:p>
        </w:tc>
        <w:tc>
          <w:tcPr>
            <w:tcW w:w="2655" w:type="dxa"/>
            <w:tcBorders>
              <w:tl2br w:val="nil"/>
              <w:tr2bl w:val="nil"/>
            </w:tcBorders>
            <w:shd w:val="clear" w:color="auto" w:fill="auto"/>
            <w:tcMar>
              <w:top w:w="15" w:type="dxa"/>
              <w:left w:w="15" w:type="dxa"/>
              <w:right w:w="15" w:type="dxa"/>
            </w:tcMar>
            <w:vAlign w:val="center"/>
          </w:tcPr>
          <w:p w14:paraId="031DC307">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给予警告，可以并处3000元以上7000元以下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；逾期未改正的，处1.5万元以上2.5万元以下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，对相关责任人处2000元以上3000元以下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；情节严重的，处1.5万元以上2.5万元以下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，对相关责任人处7000元以上9000元以下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002C8B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33C350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5D5CFF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11E715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F23CC3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28F903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2546D9C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3项及以上检测检验报告存在法规标准引用错误、关键项目漏检、结论不明确等重大疏漏，但尚未造成重大损失的。</w:t>
            </w:r>
          </w:p>
        </w:tc>
        <w:tc>
          <w:tcPr>
            <w:tcW w:w="2655" w:type="dxa"/>
            <w:tcBorders>
              <w:tl2br w:val="nil"/>
              <w:tr2bl w:val="nil"/>
            </w:tcBorders>
            <w:shd w:val="clear" w:color="auto" w:fill="auto"/>
            <w:tcMar>
              <w:top w:w="15" w:type="dxa"/>
              <w:left w:w="15" w:type="dxa"/>
              <w:right w:w="15" w:type="dxa"/>
            </w:tcMar>
            <w:vAlign w:val="center"/>
          </w:tcPr>
          <w:p w14:paraId="62722B2D">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给予警告，可以并处7000元以上1万元以下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；逾期未改正的，处2.5万元以上3万元以下万元</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，对相关责任人处3000元以上5000元以下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；情节严重的，处2.5万元以上3万元以下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，对相关责任人处9000元以上1万元以下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22D4C9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6ADFCA7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2</w:t>
            </w:r>
            <w:del w:id="3070" w:author="LV" w:date="2026-07-14T17:11:44Z">
              <w:r>
                <w:rPr>
                  <w:rFonts w:hint="default" w:ascii="仿宋_GB2312" w:hAnsi="宋体" w:eastAsia="仿宋_GB2312" w:cs="仿宋_GB2312"/>
                  <w:kern w:val="0"/>
                  <w:sz w:val="18"/>
                  <w:szCs w:val="18"/>
                  <w:lang w:val="en-US" w:bidi="ar"/>
                </w:rPr>
                <w:delText>1</w:delText>
              </w:r>
            </w:del>
            <w:del w:id="3071" w:author="LV" w:date="2026-07-14T17:11:44Z">
              <w:r>
                <w:rPr>
                  <w:rFonts w:hint="default" w:ascii="仿宋_GB2312" w:hAnsi="宋体" w:eastAsia="仿宋_GB2312" w:cs="仿宋_GB2312"/>
                  <w:kern w:val="0"/>
                  <w:sz w:val="18"/>
                  <w:szCs w:val="18"/>
                  <w:lang w:val="en-US" w:eastAsia="zh-CN" w:bidi="ar"/>
                </w:rPr>
                <w:delText>6</w:delText>
              </w:r>
            </w:del>
            <w:ins w:id="3072" w:author="LV" w:date="2026-07-14T17:11:44Z">
              <w:r>
                <w:rPr>
                  <w:rFonts w:hint="eastAsia" w:ascii="仿宋_GB2312" w:hAnsi="宋体" w:eastAsia="仿宋_GB2312" w:cs="仿宋_GB2312"/>
                  <w:kern w:val="0"/>
                  <w:sz w:val="18"/>
                  <w:szCs w:val="18"/>
                  <w:lang w:val="en-US" w:eastAsia="zh-CN" w:bidi="ar"/>
                </w:rPr>
                <w:t>23</w:t>
              </w:r>
            </w:ins>
          </w:p>
        </w:tc>
        <w:tc>
          <w:tcPr>
            <w:tcW w:w="1005" w:type="dxa"/>
            <w:vMerge w:val="restart"/>
            <w:tcBorders>
              <w:tl2br w:val="nil"/>
              <w:tr2bl w:val="nil"/>
            </w:tcBorders>
            <w:shd w:val="clear" w:color="auto" w:fill="auto"/>
            <w:tcMar>
              <w:top w:w="15" w:type="dxa"/>
              <w:left w:w="15" w:type="dxa"/>
              <w:right w:w="15" w:type="dxa"/>
            </w:tcMar>
            <w:vAlign w:val="center"/>
          </w:tcPr>
          <w:p w14:paraId="47C3C9F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电力设施产权人未设立电力设施安全标志，逾期不改正的</w:t>
            </w:r>
          </w:p>
        </w:tc>
        <w:tc>
          <w:tcPr>
            <w:tcW w:w="3667" w:type="dxa"/>
            <w:vMerge w:val="restart"/>
            <w:tcBorders>
              <w:tl2br w:val="nil"/>
              <w:tr2bl w:val="nil"/>
            </w:tcBorders>
            <w:shd w:val="clear" w:color="auto" w:fill="auto"/>
            <w:tcMar>
              <w:top w:w="15" w:type="dxa"/>
              <w:left w:w="15" w:type="dxa"/>
              <w:right w:w="15" w:type="dxa"/>
            </w:tcMar>
            <w:vAlign w:val="center"/>
          </w:tcPr>
          <w:p w14:paraId="202F54D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《电力设施保护条例》第十一条第一款 在必要的架空电力线路保护区的区界上，应设立标志，并标明保护区的宽度和保护规定。</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《山东省电力设施和电能保护条例》第十一条第一款：在架空电力线路保护区和输送管路保护区的显著位置，设置电力设施保护标志，标明保护区的宽度和相应的保护规定。</w:t>
            </w:r>
          </w:p>
        </w:tc>
        <w:tc>
          <w:tcPr>
            <w:tcW w:w="4082" w:type="dxa"/>
            <w:vMerge w:val="restart"/>
            <w:tcBorders>
              <w:tl2br w:val="nil"/>
              <w:tr2bl w:val="nil"/>
            </w:tcBorders>
            <w:shd w:val="clear" w:color="auto" w:fill="auto"/>
            <w:tcMar>
              <w:top w:w="15" w:type="dxa"/>
              <w:left w:w="15" w:type="dxa"/>
              <w:right w:w="15" w:type="dxa"/>
            </w:tcMar>
            <w:vAlign w:val="center"/>
          </w:tcPr>
          <w:p w14:paraId="53EFA69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《山东省电力设施和电能保护条例》第四十九条第一款 违反本条例第十一条第一款规定，电力设施产权人未设立电力设施安全标志的，由</w:t>
            </w:r>
            <w:r>
              <w:rPr>
                <w:rFonts w:hint="eastAsia" w:ascii="仿宋_GB2312" w:hAnsi="宋体" w:eastAsia="仿宋_GB2312" w:cs="仿宋_GB2312"/>
                <w:kern w:val="0"/>
                <w:sz w:val="18"/>
                <w:szCs w:val="18"/>
                <w:lang w:eastAsia="zh-CN" w:bidi="ar"/>
              </w:rPr>
              <w:t>电力管理部门</w:t>
            </w:r>
            <w:r>
              <w:rPr>
                <w:rFonts w:hint="eastAsia" w:ascii="仿宋_GB2312" w:hAnsi="宋体" w:eastAsia="仿宋_GB2312" w:cs="仿宋_GB2312"/>
                <w:kern w:val="0"/>
                <w:sz w:val="18"/>
                <w:szCs w:val="18"/>
                <w:lang w:bidi="ar"/>
              </w:rPr>
              <w:t>责令限期改正；逾期不改正的，处一万元以上五万元以下罚款。</w:t>
            </w:r>
          </w:p>
        </w:tc>
        <w:tc>
          <w:tcPr>
            <w:tcW w:w="459" w:type="dxa"/>
            <w:tcBorders>
              <w:tl2br w:val="nil"/>
              <w:tr2bl w:val="nil"/>
            </w:tcBorders>
            <w:shd w:val="clear" w:color="auto" w:fill="auto"/>
            <w:noWrap/>
            <w:tcMar>
              <w:top w:w="15" w:type="dxa"/>
              <w:left w:w="15" w:type="dxa"/>
              <w:right w:w="15" w:type="dxa"/>
            </w:tcMar>
            <w:vAlign w:val="center"/>
          </w:tcPr>
          <w:p w14:paraId="6DBCF8C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01CCAFF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1F9756F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8BF89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19354E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797084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3E5055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B29887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D1EA21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36B7D63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F3D3606">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AFD3B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1D2938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B38D54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DF11EF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816EBE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808D9E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21254BD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6186FEC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B9C7F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418" w:type="dxa"/>
            <w:vMerge w:val="continue"/>
            <w:tcBorders>
              <w:bottom w:val="single" w:color="auto" w:sz="4" w:space="0"/>
              <w:tl2br w:val="nil"/>
              <w:tr2bl w:val="nil"/>
            </w:tcBorders>
            <w:shd w:val="clear" w:color="auto" w:fill="auto"/>
            <w:noWrap/>
            <w:tcMar>
              <w:top w:w="15" w:type="dxa"/>
              <w:left w:w="15" w:type="dxa"/>
              <w:right w:w="15" w:type="dxa"/>
            </w:tcMar>
            <w:vAlign w:val="center"/>
          </w:tcPr>
          <w:p w14:paraId="508D38E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bottom w:val="single" w:color="auto" w:sz="4" w:space="0"/>
              <w:tl2br w:val="nil"/>
              <w:tr2bl w:val="nil"/>
            </w:tcBorders>
            <w:shd w:val="clear" w:color="auto" w:fill="auto"/>
            <w:tcMar>
              <w:top w:w="15" w:type="dxa"/>
              <w:left w:w="15" w:type="dxa"/>
              <w:right w:w="15" w:type="dxa"/>
            </w:tcMar>
            <w:vAlign w:val="center"/>
          </w:tcPr>
          <w:p w14:paraId="50B70A1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bottom w:val="single" w:color="auto" w:sz="4" w:space="0"/>
              <w:tl2br w:val="nil"/>
              <w:tr2bl w:val="nil"/>
            </w:tcBorders>
            <w:shd w:val="clear" w:color="auto" w:fill="auto"/>
            <w:tcMar>
              <w:top w:w="15" w:type="dxa"/>
              <w:left w:w="15" w:type="dxa"/>
              <w:right w:w="15" w:type="dxa"/>
            </w:tcMar>
            <w:vAlign w:val="center"/>
          </w:tcPr>
          <w:p w14:paraId="1F11CC0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bottom w:val="single" w:color="auto" w:sz="4" w:space="0"/>
              <w:tl2br w:val="nil"/>
              <w:tr2bl w:val="nil"/>
            </w:tcBorders>
            <w:shd w:val="clear" w:color="auto" w:fill="auto"/>
            <w:tcMar>
              <w:top w:w="15" w:type="dxa"/>
              <w:left w:w="15" w:type="dxa"/>
              <w:right w:w="15" w:type="dxa"/>
            </w:tcMar>
            <w:vAlign w:val="center"/>
          </w:tcPr>
          <w:p w14:paraId="2E1EC04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bottom w:val="single" w:color="auto" w:sz="4" w:space="0"/>
              <w:tl2br w:val="nil"/>
              <w:tr2bl w:val="nil"/>
            </w:tcBorders>
            <w:shd w:val="clear" w:color="auto" w:fill="auto"/>
            <w:noWrap/>
            <w:tcMar>
              <w:top w:w="15" w:type="dxa"/>
              <w:left w:w="15" w:type="dxa"/>
              <w:right w:w="15" w:type="dxa"/>
            </w:tcMar>
            <w:vAlign w:val="center"/>
          </w:tcPr>
          <w:p w14:paraId="5C7FB5A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bottom w:val="single" w:color="auto" w:sz="4" w:space="0"/>
              <w:tl2br w:val="nil"/>
              <w:tr2bl w:val="nil"/>
            </w:tcBorders>
            <w:shd w:val="clear" w:color="auto" w:fill="auto"/>
            <w:tcMar>
              <w:top w:w="15" w:type="dxa"/>
              <w:left w:w="15" w:type="dxa"/>
              <w:right w:w="15" w:type="dxa"/>
            </w:tcMar>
            <w:vAlign w:val="center"/>
          </w:tcPr>
          <w:p w14:paraId="5552CA72">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电力设施产权人未设立电力设施安全标志,经</w:t>
            </w:r>
            <w:r>
              <w:rPr>
                <w:rFonts w:hint="eastAsia" w:ascii="仿宋_GB2312" w:hAnsi="宋体" w:eastAsia="仿宋_GB2312" w:cs="仿宋_GB2312"/>
                <w:kern w:val="0"/>
                <w:sz w:val="18"/>
                <w:szCs w:val="18"/>
                <w:lang w:eastAsia="zh-CN" w:bidi="ar"/>
              </w:rPr>
              <w:t>电力管理部门</w:t>
            </w:r>
            <w:r>
              <w:rPr>
                <w:rFonts w:hint="eastAsia" w:ascii="仿宋_GB2312" w:hAnsi="宋体" w:eastAsia="仿宋_GB2312" w:cs="仿宋_GB2312"/>
                <w:kern w:val="0"/>
                <w:sz w:val="18"/>
                <w:szCs w:val="18"/>
                <w:lang w:bidi="ar"/>
              </w:rPr>
              <w:t>责令改正，在整改实施过程中，未能限期完成整改，且整改期间未造成其他损失的。</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电力设施产权人设立电力设施安全</w:t>
            </w:r>
            <w:r>
              <w:rPr>
                <w:rFonts w:hint="eastAsia" w:ascii="仿宋_GB2312" w:hAnsi="宋体" w:eastAsia="仿宋_GB2312" w:cs="仿宋_GB2312"/>
                <w:spacing w:val="-6"/>
                <w:kern w:val="0"/>
                <w:sz w:val="18"/>
                <w:szCs w:val="18"/>
                <w:lang w:bidi="ar"/>
              </w:rPr>
              <w:t>标志,但未在架空电力线路保护区和输送管路保护区的显著位置，经</w:t>
            </w:r>
            <w:r>
              <w:rPr>
                <w:rFonts w:hint="eastAsia" w:ascii="仿宋_GB2312" w:hAnsi="宋体" w:eastAsia="仿宋_GB2312" w:cs="仿宋_GB2312"/>
                <w:spacing w:val="-6"/>
                <w:kern w:val="0"/>
                <w:sz w:val="18"/>
                <w:szCs w:val="18"/>
                <w:lang w:eastAsia="zh-CN" w:bidi="ar"/>
              </w:rPr>
              <w:t>电力管理部门</w:t>
            </w:r>
            <w:r>
              <w:rPr>
                <w:rFonts w:hint="eastAsia" w:ascii="仿宋_GB2312" w:hAnsi="宋体" w:eastAsia="仿宋_GB2312" w:cs="仿宋_GB2312"/>
                <w:spacing w:val="-6"/>
                <w:kern w:val="0"/>
                <w:sz w:val="18"/>
                <w:szCs w:val="18"/>
                <w:lang w:bidi="ar"/>
              </w:rPr>
              <w:t>责令改正，在整改实施过程中，未能限期完成整改，且整改期间未造成其他损失的。</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电力设施产权人设立电力设施安全标志,但未标明保护区的宽度和相应的保护规定，经</w:t>
            </w:r>
            <w:r>
              <w:rPr>
                <w:rFonts w:hint="eastAsia" w:ascii="仿宋_GB2312" w:hAnsi="宋体" w:eastAsia="仿宋_GB2312" w:cs="仿宋_GB2312"/>
                <w:kern w:val="0"/>
                <w:sz w:val="18"/>
                <w:szCs w:val="18"/>
                <w:lang w:eastAsia="zh-CN" w:bidi="ar"/>
              </w:rPr>
              <w:t>电力管理部门</w:t>
            </w:r>
            <w:r>
              <w:rPr>
                <w:rFonts w:hint="eastAsia" w:ascii="仿宋_GB2312" w:hAnsi="宋体" w:eastAsia="仿宋_GB2312" w:cs="仿宋_GB2312"/>
                <w:kern w:val="0"/>
                <w:sz w:val="18"/>
                <w:szCs w:val="18"/>
                <w:lang w:bidi="ar"/>
              </w:rPr>
              <w:t>责令改正，在整改实施过程中，未能限期完成整改，且整改期间未造成其他损失的。</w:t>
            </w:r>
          </w:p>
        </w:tc>
        <w:tc>
          <w:tcPr>
            <w:tcW w:w="2655" w:type="dxa"/>
            <w:tcBorders>
              <w:bottom w:val="single" w:color="auto" w:sz="4" w:space="0"/>
              <w:tl2br w:val="nil"/>
              <w:tr2bl w:val="nil"/>
            </w:tcBorders>
            <w:shd w:val="clear" w:color="auto" w:fill="auto"/>
            <w:tcMar>
              <w:top w:w="15" w:type="dxa"/>
              <w:left w:w="15" w:type="dxa"/>
              <w:right w:w="15" w:type="dxa"/>
            </w:tcMar>
            <w:vAlign w:val="center"/>
          </w:tcPr>
          <w:p w14:paraId="39ACE37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处1万元以上2万元以下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0B75DB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98" w:hRule="atLeast"/>
          <w:jc w:val="center"/>
        </w:trPr>
        <w:tc>
          <w:tcPr>
            <w:tcW w:w="418"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1875481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kern w:val="2"/>
                <w:sz w:val="18"/>
                <w:szCs w:val="18"/>
                <w:lang w:val="en-US" w:eastAsia="zh-CN" w:bidi="ar-SA"/>
              </w:rPr>
            </w:pPr>
            <w:del w:id="3073" w:author="LV" w:date="2026-07-14T17:13:41Z">
              <w:r>
                <w:rPr>
                  <w:rFonts w:hint="eastAsia" w:ascii="仿宋_GB2312" w:hAnsi="宋体" w:eastAsia="仿宋_GB2312" w:cs="仿宋_GB2312"/>
                  <w:kern w:val="0"/>
                  <w:sz w:val="18"/>
                  <w:szCs w:val="18"/>
                  <w:lang w:bidi="ar"/>
                </w:rPr>
                <w:delText>2</w:delText>
              </w:r>
            </w:del>
            <w:del w:id="3074" w:author="LV" w:date="2026-07-14T17:13:41Z">
              <w:r>
                <w:rPr>
                  <w:rFonts w:hint="default" w:ascii="仿宋_GB2312" w:hAnsi="宋体" w:eastAsia="仿宋_GB2312" w:cs="仿宋_GB2312"/>
                  <w:kern w:val="0"/>
                  <w:sz w:val="18"/>
                  <w:szCs w:val="18"/>
                  <w:lang w:val="en-US" w:bidi="ar"/>
                </w:rPr>
                <w:delText>1</w:delText>
              </w:r>
            </w:del>
            <w:del w:id="3075" w:author="LV" w:date="2026-07-14T17:13:41Z">
              <w:r>
                <w:rPr>
                  <w:rFonts w:hint="default" w:ascii="仿宋_GB2312" w:hAnsi="宋体" w:eastAsia="仿宋_GB2312" w:cs="仿宋_GB2312"/>
                  <w:kern w:val="0"/>
                  <w:sz w:val="18"/>
                  <w:szCs w:val="18"/>
                  <w:lang w:val="en-US" w:eastAsia="zh-CN" w:bidi="ar"/>
                </w:rPr>
                <w:delText>6</w:delText>
              </w:r>
            </w:del>
          </w:p>
        </w:tc>
        <w:tc>
          <w:tcPr>
            <w:tcW w:w="1005"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00156C7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电力设施产权人未设立电力设施安全标志，逾期不改正的</w:t>
            </w:r>
          </w:p>
        </w:tc>
        <w:tc>
          <w:tcPr>
            <w:tcW w:w="3667"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29D12C6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《电力设施保护条例》第十一条第一款 在必要的架空电力线路保护区的区界上，应设立标志，并标明保护区的宽度和保护规定。</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《山东省电力设施和电能保护条例》第十一条第一款：在架空电力线路保护区和输送管路保护区的显著位置，设置电力设施保护标志，标明保护区的宽度和相应的保护规定。</w:t>
            </w:r>
          </w:p>
        </w:tc>
        <w:tc>
          <w:tcPr>
            <w:tcW w:w="4082"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03F211D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《山东省电力设施和电能保护条例》第四十九条第一款 违反本条例第十一条第一款规定，电力设施产权人未设立电力设施安全标志的，由</w:t>
            </w:r>
            <w:r>
              <w:rPr>
                <w:rFonts w:hint="eastAsia" w:ascii="仿宋_GB2312" w:hAnsi="宋体" w:eastAsia="仿宋_GB2312" w:cs="仿宋_GB2312"/>
                <w:kern w:val="0"/>
                <w:sz w:val="18"/>
                <w:szCs w:val="18"/>
                <w:lang w:eastAsia="zh-CN" w:bidi="ar"/>
              </w:rPr>
              <w:t>电力管理部门</w:t>
            </w:r>
            <w:r>
              <w:rPr>
                <w:rFonts w:hint="eastAsia" w:ascii="仿宋_GB2312" w:hAnsi="宋体" w:eastAsia="仿宋_GB2312" w:cs="仿宋_GB2312"/>
                <w:kern w:val="0"/>
                <w:sz w:val="18"/>
                <w:szCs w:val="18"/>
                <w:lang w:bidi="ar"/>
              </w:rPr>
              <w:t>责令限期改正；逾期不改正的，处一万元以上五万元以下罚款。</w:t>
            </w:r>
          </w:p>
        </w:tc>
        <w:tc>
          <w:tcPr>
            <w:tcW w:w="459"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79DCB48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一般处罚</w:t>
            </w:r>
          </w:p>
        </w:tc>
        <w:tc>
          <w:tcPr>
            <w:tcW w:w="1829"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13BFF9C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电力设施产权人未设立电力设施安全标志,经</w:t>
            </w:r>
            <w:r>
              <w:rPr>
                <w:rFonts w:hint="eastAsia" w:ascii="仿宋_GB2312" w:hAnsi="宋体" w:eastAsia="仿宋_GB2312" w:cs="仿宋_GB2312"/>
                <w:kern w:val="0"/>
                <w:sz w:val="18"/>
                <w:szCs w:val="18"/>
                <w:lang w:eastAsia="zh-CN" w:bidi="ar"/>
              </w:rPr>
              <w:t>电力管理部门</w:t>
            </w:r>
            <w:r>
              <w:rPr>
                <w:rFonts w:hint="eastAsia" w:ascii="仿宋_GB2312" w:hAnsi="宋体" w:eastAsia="仿宋_GB2312" w:cs="仿宋_GB2312"/>
                <w:kern w:val="0"/>
                <w:sz w:val="18"/>
                <w:szCs w:val="18"/>
                <w:lang w:bidi="ar"/>
              </w:rPr>
              <w:t>责令改正，在整改实施过程中，未能限期完成整改，且在整改过程中造成其他损失的。</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spacing w:val="-6"/>
                <w:kern w:val="0"/>
                <w:sz w:val="18"/>
                <w:szCs w:val="18"/>
                <w:lang w:bidi="ar"/>
              </w:rPr>
              <w:t>电力设施产权人设立电力设施安全标志,但未在架空电力线路保护区和输送管路保护区的显著位置，经</w:t>
            </w:r>
            <w:r>
              <w:rPr>
                <w:rFonts w:hint="eastAsia" w:ascii="仿宋_GB2312" w:hAnsi="宋体" w:eastAsia="仿宋_GB2312" w:cs="仿宋_GB2312"/>
                <w:spacing w:val="-6"/>
                <w:kern w:val="0"/>
                <w:sz w:val="18"/>
                <w:szCs w:val="18"/>
                <w:lang w:eastAsia="zh-CN" w:bidi="ar"/>
              </w:rPr>
              <w:t>电力管理部门</w:t>
            </w:r>
            <w:r>
              <w:rPr>
                <w:rFonts w:hint="eastAsia" w:ascii="仿宋_GB2312" w:hAnsi="宋体" w:eastAsia="仿宋_GB2312" w:cs="仿宋_GB2312"/>
                <w:spacing w:val="-6"/>
                <w:kern w:val="0"/>
                <w:sz w:val="18"/>
                <w:szCs w:val="18"/>
                <w:lang w:bidi="ar"/>
              </w:rPr>
              <w:t>责令改正，在整改实施过程中，未能限期完成整改，且</w:t>
            </w:r>
            <w:r>
              <w:rPr>
                <w:rFonts w:hint="eastAsia" w:ascii="仿宋_GB2312" w:hAnsi="宋体" w:eastAsia="仿宋_GB2312" w:cs="仿宋_GB2312"/>
                <w:kern w:val="0"/>
                <w:sz w:val="18"/>
                <w:szCs w:val="18"/>
                <w:lang w:bidi="ar"/>
              </w:rPr>
              <w:t>在整改过程中造成其他损失的。</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电力设施产权人设立电力设施安全标志,但未标明保护区的宽度和相应的保护规定，经</w:t>
            </w:r>
            <w:r>
              <w:rPr>
                <w:rFonts w:hint="eastAsia" w:ascii="仿宋_GB2312" w:hAnsi="宋体" w:eastAsia="仿宋_GB2312" w:cs="仿宋_GB2312"/>
                <w:kern w:val="0"/>
                <w:sz w:val="18"/>
                <w:szCs w:val="18"/>
                <w:lang w:eastAsia="zh-CN" w:bidi="ar"/>
              </w:rPr>
              <w:t>电力管理部门</w:t>
            </w:r>
            <w:r>
              <w:rPr>
                <w:rFonts w:hint="eastAsia" w:ascii="仿宋_GB2312" w:hAnsi="宋体" w:eastAsia="仿宋_GB2312" w:cs="仿宋_GB2312"/>
                <w:kern w:val="0"/>
                <w:sz w:val="18"/>
                <w:szCs w:val="18"/>
                <w:lang w:bidi="ar"/>
              </w:rPr>
              <w:t>责令改正，在整改实施过程中，未能限期完成整改，且在整改过程中造成其他损失的。</w:t>
            </w:r>
          </w:p>
        </w:tc>
        <w:tc>
          <w:tcPr>
            <w:tcW w:w="2655"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2C5EA9C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处2万元以上4万元以下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6D4EB3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67" w:hRule="atLeast"/>
          <w:jc w:val="center"/>
        </w:trPr>
        <w:tc>
          <w:tcPr>
            <w:tcW w:w="418" w:type="dxa"/>
            <w:tcBorders>
              <w:top w:val="single" w:color="auto" w:sz="4" w:space="0"/>
              <w:tl2br w:val="nil"/>
              <w:tr2bl w:val="nil"/>
            </w:tcBorders>
            <w:shd w:val="clear" w:color="auto" w:fill="auto"/>
            <w:noWrap/>
            <w:tcMar>
              <w:top w:w="15" w:type="dxa"/>
              <w:left w:w="15" w:type="dxa"/>
              <w:right w:w="15" w:type="dxa"/>
            </w:tcMar>
            <w:vAlign w:val="center"/>
          </w:tcPr>
          <w:p w14:paraId="778B5E5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kern w:val="2"/>
                <w:sz w:val="18"/>
                <w:szCs w:val="18"/>
                <w:lang w:val="en-US" w:eastAsia="zh-CN" w:bidi="ar-SA"/>
              </w:rPr>
            </w:pPr>
            <w:del w:id="3076" w:author="LV" w:date="2026-07-14T17:13:45Z">
              <w:r>
                <w:rPr>
                  <w:rFonts w:hint="eastAsia" w:ascii="仿宋_GB2312" w:hAnsi="宋体" w:eastAsia="仿宋_GB2312" w:cs="仿宋_GB2312"/>
                  <w:kern w:val="0"/>
                  <w:sz w:val="18"/>
                  <w:szCs w:val="18"/>
                  <w:lang w:bidi="ar"/>
                </w:rPr>
                <w:delText>2</w:delText>
              </w:r>
            </w:del>
            <w:del w:id="3077" w:author="LV" w:date="2026-07-14T17:13:45Z">
              <w:r>
                <w:rPr>
                  <w:rFonts w:hint="default" w:ascii="仿宋_GB2312" w:hAnsi="宋体" w:eastAsia="仿宋_GB2312" w:cs="仿宋_GB2312"/>
                  <w:kern w:val="0"/>
                  <w:sz w:val="18"/>
                  <w:szCs w:val="18"/>
                  <w:lang w:val="en-US" w:bidi="ar"/>
                </w:rPr>
                <w:delText>1</w:delText>
              </w:r>
            </w:del>
            <w:del w:id="3078" w:author="LV" w:date="2026-07-14T17:13:45Z">
              <w:r>
                <w:rPr>
                  <w:rFonts w:hint="default" w:ascii="仿宋_GB2312" w:hAnsi="宋体" w:eastAsia="仿宋_GB2312" w:cs="仿宋_GB2312"/>
                  <w:kern w:val="0"/>
                  <w:sz w:val="18"/>
                  <w:szCs w:val="18"/>
                  <w:lang w:val="en-US" w:eastAsia="zh-CN" w:bidi="ar"/>
                </w:rPr>
                <w:delText>6</w:delText>
              </w:r>
            </w:del>
          </w:p>
        </w:tc>
        <w:tc>
          <w:tcPr>
            <w:tcW w:w="1005" w:type="dxa"/>
            <w:tcBorders>
              <w:top w:val="single" w:color="auto" w:sz="4" w:space="0"/>
              <w:tl2br w:val="nil"/>
              <w:tr2bl w:val="nil"/>
            </w:tcBorders>
            <w:shd w:val="clear" w:color="auto" w:fill="auto"/>
            <w:tcMar>
              <w:top w:w="15" w:type="dxa"/>
              <w:left w:w="15" w:type="dxa"/>
              <w:right w:w="15" w:type="dxa"/>
            </w:tcMar>
            <w:vAlign w:val="center"/>
          </w:tcPr>
          <w:p w14:paraId="29EE6FA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电力设施产权人未设立电力设施安全标志，逾期不改正的</w:t>
            </w:r>
          </w:p>
        </w:tc>
        <w:tc>
          <w:tcPr>
            <w:tcW w:w="3667" w:type="dxa"/>
            <w:tcBorders>
              <w:top w:val="single" w:color="auto" w:sz="4" w:space="0"/>
              <w:tl2br w:val="nil"/>
              <w:tr2bl w:val="nil"/>
            </w:tcBorders>
            <w:shd w:val="clear" w:color="auto" w:fill="auto"/>
            <w:tcMar>
              <w:top w:w="15" w:type="dxa"/>
              <w:left w:w="15" w:type="dxa"/>
              <w:right w:w="15" w:type="dxa"/>
            </w:tcMar>
            <w:vAlign w:val="center"/>
          </w:tcPr>
          <w:p w14:paraId="2F4C447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《电力设施保护条例》第十一条第一款 在必要的架空电力线路保护区的区界上，应设立标志，并标明保护区的宽度和保护规定。</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《山东省电力设施和电能保护条例》第十一条第一款：在架空电力线路保护区和输送管路保护区的显著位置，设置电力设施保护标志，标明保护区的宽度和相应的保护规定。</w:t>
            </w:r>
          </w:p>
        </w:tc>
        <w:tc>
          <w:tcPr>
            <w:tcW w:w="4082" w:type="dxa"/>
            <w:tcBorders>
              <w:top w:val="single" w:color="auto" w:sz="4" w:space="0"/>
              <w:tl2br w:val="nil"/>
              <w:tr2bl w:val="nil"/>
            </w:tcBorders>
            <w:shd w:val="clear" w:color="auto" w:fill="auto"/>
            <w:tcMar>
              <w:top w:w="15" w:type="dxa"/>
              <w:left w:w="15" w:type="dxa"/>
              <w:right w:w="15" w:type="dxa"/>
            </w:tcMar>
            <w:vAlign w:val="center"/>
          </w:tcPr>
          <w:p w14:paraId="0F643DF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《山东省电力设施和电能保护条例》第四十九条第一款 违反本条例第十一条第一款规定，电力设施产权人未设立电力设施安全标志的，由</w:t>
            </w:r>
            <w:r>
              <w:rPr>
                <w:rFonts w:hint="eastAsia" w:ascii="仿宋_GB2312" w:hAnsi="宋体" w:eastAsia="仿宋_GB2312" w:cs="仿宋_GB2312"/>
                <w:kern w:val="0"/>
                <w:sz w:val="18"/>
                <w:szCs w:val="18"/>
                <w:lang w:eastAsia="zh-CN" w:bidi="ar"/>
              </w:rPr>
              <w:t>电力管理部门</w:t>
            </w:r>
            <w:r>
              <w:rPr>
                <w:rFonts w:hint="eastAsia" w:ascii="仿宋_GB2312" w:hAnsi="宋体" w:eastAsia="仿宋_GB2312" w:cs="仿宋_GB2312"/>
                <w:kern w:val="0"/>
                <w:sz w:val="18"/>
                <w:szCs w:val="18"/>
                <w:lang w:bidi="ar"/>
              </w:rPr>
              <w:t>责令限期改正；逾期不改正的，处一万元以上五万元以下罚款。</w:t>
            </w:r>
          </w:p>
        </w:tc>
        <w:tc>
          <w:tcPr>
            <w:tcW w:w="459" w:type="dxa"/>
            <w:tcBorders>
              <w:top w:val="single" w:color="auto" w:sz="4" w:space="0"/>
              <w:tl2br w:val="nil"/>
              <w:tr2bl w:val="nil"/>
            </w:tcBorders>
            <w:shd w:val="clear" w:color="auto" w:fill="auto"/>
            <w:noWrap/>
            <w:tcMar>
              <w:top w:w="15" w:type="dxa"/>
              <w:left w:w="15" w:type="dxa"/>
              <w:right w:w="15" w:type="dxa"/>
            </w:tcMar>
            <w:vAlign w:val="center"/>
          </w:tcPr>
          <w:p w14:paraId="466E2BC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bidi="ar"/>
              </w:rPr>
              <w:t>从重处罚</w:t>
            </w:r>
          </w:p>
        </w:tc>
        <w:tc>
          <w:tcPr>
            <w:tcW w:w="1829" w:type="dxa"/>
            <w:tcBorders>
              <w:top w:val="single" w:color="auto" w:sz="4" w:space="0"/>
              <w:tl2br w:val="nil"/>
              <w:tr2bl w:val="nil"/>
            </w:tcBorders>
            <w:shd w:val="clear" w:color="auto" w:fill="auto"/>
            <w:tcMar>
              <w:top w:w="15" w:type="dxa"/>
              <w:left w:w="15" w:type="dxa"/>
              <w:right w:w="15" w:type="dxa"/>
            </w:tcMar>
            <w:vAlign w:val="center"/>
          </w:tcPr>
          <w:p w14:paraId="4A4F669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bidi="ar"/>
              </w:rPr>
              <w:t>电力设施产权人未设立电力设施安全标志,经</w:t>
            </w:r>
            <w:r>
              <w:rPr>
                <w:rFonts w:hint="eastAsia" w:ascii="仿宋_GB2312" w:hAnsi="宋体" w:eastAsia="仿宋_GB2312" w:cs="仿宋_GB2312"/>
                <w:kern w:val="0"/>
                <w:sz w:val="18"/>
                <w:szCs w:val="18"/>
                <w:lang w:eastAsia="zh-CN" w:bidi="ar"/>
              </w:rPr>
              <w:t>电力管理部门</w:t>
            </w:r>
            <w:r>
              <w:rPr>
                <w:rFonts w:hint="eastAsia" w:ascii="仿宋_GB2312" w:hAnsi="宋体" w:eastAsia="仿宋_GB2312" w:cs="仿宋_GB2312"/>
                <w:kern w:val="0"/>
                <w:sz w:val="18"/>
                <w:szCs w:val="18"/>
                <w:lang w:bidi="ar"/>
              </w:rPr>
              <w:t>责令限期改正，拒不整改的。</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电力设施产权人设立电力设施安全标志,但未在架空电力线路保护区和输送管路保护区的显著位置，经</w:t>
            </w:r>
            <w:r>
              <w:rPr>
                <w:rFonts w:hint="eastAsia" w:ascii="仿宋_GB2312" w:hAnsi="宋体" w:eastAsia="仿宋_GB2312" w:cs="仿宋_GB2312"/>
                <w:kern w:val="0"/>
                <w:sz w:val="18"/>
                <w:szCs w:val="18"/>
                <w:lang w:eastAsia="zh-CN" w:bidi="ar"/>
              </w:rPr>
              <w:t>电力管理部门</w:t>
            </w:r>
            <w:r>
              <w:rPr>
                <w:rFonts w:hint="eastAsia" w:ascii="仿宋_GB2312" w:hAnsi="宋体" w:eastAsia="仿宋_GB2312" w:cs="仿宋_GB2312"/>
                <w:kern w:val="0"/>
                <w:sz w:val="18"/>
                <w:szCs w:val="18"/>
                <w:lang w:bidi="ar"/>
              </w:rPr>
              <w:t>责令限期改正，拒不整改的。</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spacing w:val="-6"/>
                <w:kern w:val="0"/>
                <w:sz w:val="18"/>
                <w:szCs w:val="18"/>
                <w:lang w:bidi="ar"/>
              </w:rPr>
              <w:t>电力设施产权人设立电力设施安全标志,但未标明保护区的宽度和相应的保护规定，经</w:t>
            </w:r>
            <w:r>
              <w:rPr>
                <w:rFonts w:hint="eastAsia" w:ascii="仿宋_GB2312" w:hAnsi="宋体" w:eastAsia="仿宋_GB2312" w:cs="仿宋_GB2312"/>
                <w:spacing w:val="-6"/>
                <w:kern w:val="0"/>
                <w:sz w:val="18"/>
                <w:szCs w:val="18"/>
                <w:lang w:eastAsia="zh-CN" w:bidi="ar"/>
              </w:rPr>
              <w:t>电力管理部门</w:t>
            </w:r>
            <w:r>
              <w:rPr>
                <w:rFonts w:hint="eastAsia" w:ascii="仿宋_GB2312" w:hAnsi="宋体" w:eastAsia="仿宋_GB2312" w:cs="仿宋_GB2312"/>
                <w:spacing w:val="-6"/>
                <w:kern w:val="0"/>
                <w:sz w:val="18"/>
                <w:szCs w:val="18"/>
                <w:lang w:bidi="ar"/>
              </w:rPr>
              <w:t>责令限期改正，拒不整改的。</w:t>
            </w:r>
          </w:p>
        </w:tc>
        <w:tc>
          <w:tcPr>
            <w:tcW w:w="2655" w:type="dxa"/>
            <w:tcBorders>
              <w:top w:val="single" w:color="auto" w:sz="4" w:space="0"/>
              <w:tl2br w:val="nil"/>
              <w:tr2bl w:val="nil"/>
            </w:tcBorders>
            <w:shd w:val="clear" w:color="auto" w:fill="auto"/>
            <w:tcMar>
              <w:top w:w="15" w:type="dxa"/>
              <w:left w:w="15" w:type="dxa"/>
              <w:right w:w="15" w:type="dxa"/>
            </w:tcMar>
            <w:vAlign w:val="center"/>
          </w:tcPr>
          <w:p w14:paraId="1A31451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bidi="ar"/>
              </w:rPr>
              <w:t>处4万元以上5万元以下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2C81F0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149A4AD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2</w:t>
            </w:r>
            <w:del w:id="3079" w:author="LV" w:date="2026-07-14T17:11:54Z">
              <w:r>
                <w:rPr>
                  <w:rFonts w:hint="default" w:ascii="仿宋_GB2312" w:hAnsi="宋体" w:eastAsia="仿宋_GB2312" w:cs="仿宋_GB2312"/>
                  <w:kern w:val="0"/>
                  <w:sz w:val="18"/>
                  <w:szCs w:val="18"/>
                  <w:lang w:val="en-US" w:bidi="ar"/>
                </w:rPr>
                <w:delText>1</w:delText>
              </w:r>
            </w:del>
            <w:del w:id="3080" w:author="LV" w:date="2026-07-14T17:11:54Z">
              <w:r>
                <w:rPr>
                  <w:rFonts w:hint="default" w:ascii="仿宋_GB2312" w:hAnsi="宋体" w:eastAsia="仿宋_GB2312" w:cs="仿宋_GB2312"/>
                  <w:kern w:val="0"/>
                  <w:sz w:val="18"/>
                  <w:szCs w:val="18"/>
                  <w:lang w:val="en-US" w:eastAsia="zh-CN" w:bidi="ar"/>
                </w:rPr>
                <w:delText>7</w:delText>
              </w:r>
            </w:del>
            <w:ins w:id="3081" w:author="LV" w:date="2026-07-14T17:11:54Z">
              <w:r>
                <w:rPr>
                  <w:rFonts w:hint="eastAsia" w:ascii="仿宋_GB2312" w:hAnsi="宋体" w:eastAsia="仿宋_GB2312" w:cs="仿宋_GB2312"/>
                  <w:kern w:val="0"/>
                  <w:sz w:val="18"/>
                  <w:szCs w:val="18"/>
                  <w:lang w:val="en-US" w:eastAsia="zh-CN" w:bidi="ar"/>
                </w:rPr>
                <w:t>2</w:t>
              </w:r>
            </w:ins>
            <w:ins w:id="3082" w:author="LV" w:date="2026-07-14T17:13:51Z">
              <w:r>
                <w:rPr>
                  <w:rFonts w:hint="eastAsia" w:ascii="仿宋_GB2312" w:hAnsi="宋体" w:eastAsia="仿宋_GB2312" w:cs="仿宋_GB2312"/>
                  <w:kern w:val="0"/>
                  <w:sz w:val="18"/>
                  <w:szCs w:val="18"/>
                  <w:lang w:val="en-US" w:eastAsia="zh-CN" w:bidi="ar"/>
                </w:rPr>
                <w:t>4</w:t>
              </w:r>
            </w:ins>
          </w:p>
        </w:tc>
        <w:tc>
          <w:tcPr>
            <w:tcW w:w="1005" w:type="dxa"/>
            <w:vMerge w:val="restart"/>
            <w:tcBorders>
              <w:tl2br w:val="nil"/>
              <w:tr2bl w:val="nil"/>
            </w:tcBorders>
            <w:shd w:val="clear" w:color="auto" w:fill="auto"/>
            <w:tcMar>
              <w:top w:w="15" w:type="dxa"/>
              <w:left w:w="15" w:type="dxa"/>
              <w:right w:w="15" w:type="dxa"/>
            </w:tcMar>
            <w:vAlign w:val="center"/>
          </w:tcPr>
          <w:p w14:paraId="3191FA2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破坏或者擅自移动电力设施保护标志、安全标志</w:t>
            </w:r>
            <w:r>
              <w:rPr>
                <w:rFonts w:hint="eastAsia" w:ascii="仿宋_GB2312" w:hAnsi="宋体" w:eastAsia="仿宋_GB2312" w:cs="仿宋_GB2312"/>
                <w:kern w:val="0"/>
                <w:sz w:val="18"/>
                <w:szCs w:val="18"/>
                <w:lang w:val="en-US" w:eastAsia="zh-CN" w:bidi="ar"/>
              </w:rPr>
              <w:t>的</w:t>
            </w:r>
          </w:p>
        </w:tc>
        <w:tc>
          <w:tcPr>
            <w:tcW w:w="3667" w:type="dxa"/>
            <w:vMerge w:val="restart"/>
            <w:tcBorders>
              <w:tl2br w:val="nil"/>
              <w:tr2bl w:val="nil"/>
            </w:tcBorders>
            <w:shd w:val="clear" w:color="auto" w:fill="auto"/>
            <w:tcMar>
              <w:top w:w="15" w:type="dxa"/>
              <w:left w:w="15" w:type="dxa"/>
              <w:right w:w="15" w:type="dxa"/>
            </w:tcMar>
            <w:vAlign w:val="center"/>
          </w:tcPr>
          <w:p w14:paraId="720C134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《电力设施保护条例》第十一条第二款 在架空电力线路导线跨越重要公路和航道的区段，应设立标志，并标明导线距穿越物体之间的安全距离。</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 xml:space="preserve">《山东省电力设施和电能保护条例》第十一条第二款 </w:t>
            </w:r>
            <w:r>
              <w:rPr>
                <w:rFonts w:hint="eastAsia" w:ascii="仿宋_GB2312" w:hAnsi="宋体" w:eastAsia="仿宋_GB2312" w:cs="仿宋_GB2312"/>
                <w:kern w:val="0"/>
                <w:sz w:val="18"/>
                <w:szCs w:val="18"/>
                <w:lang w:val="en-US" w:eastAsia="zh-CN" w:bidi="ar"/>
              </w:rPr>
              <w:t xml:space="preserve"> </w:t>
            </w:r>
            <w:r>
              <w:rPr>
                <w:rFonts w:hint="eastAsia" w:ascii="仿宋_GB2312" w:hAnsi="宋体" w:eastAsia="仿宋_GB2312" w:cs="仿宋_GB2312"/>
                <w:kern w:val="0"/>
                <w:sz w:val="18"/>
                <w:szCs w:val="18"/>
                <w:lang w:bidi="ar"/>
              </w:rPr>
              <w:t>任何单位和个人不得破坏和擅自移动电力设施保护标志、安全标志。</w:t>
            </w:r>
          </w:p>
        </w:tc>
        <w:tc>
          <w:tcPr>
            <w:tcW w:w="4082" w:type="dxa"/>
            <w:vMerge w:val="restart"/>
            <w:tcBorders>
              <w:tl2br w:val="nil"/>
              <w:tr2bl w:val="nil"/>
            </w:tcBorders>
            <w:shd w:val="clear" w:color="auto" w:fill="auto"/>
            <w:tcMar>
              <w:top w:w="15" w:type="dxa"/>
              <w:left w:w="15" w:type="dxa"/>
              <w:right w:w="15" w:type="dxa"/>
            </w:tcMar>
            <w:vAlign w:val="center"/>
          </w:tcPr>
          <w:p w14:paraId="26F7CA5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《山东省电力设施和电能保护条例》第四十九条第二款 违反本条例第十一条第二款规定，破坏或者擅自移动电力设施保护标志、安全标志的，由</w:t>
            </w:r>
            <w:r>
              <w:rPr>
                <w:rFonts w:hint="eastAsia" w:ascii="仿宋_GB2312" w:hAnsi="宋体" w:eastAsia="仿宋_GB2312" w:cs="仿宋_GB2312"/>
                <w:kern w:val="0"/>
                <w:sz w:val="18"/>
                <w:szCs w:val="18"/>
                <w:lang w:eastAsia="zh-CN" w:bidi="ar"/>
              </w:rPr>
              <w:t>电力管理部门责令改正；拒不改正的，</w:t>
            </w:r>
            <w:r>
              <w:rPr>
                <w:rFonts w:hint="eastAsia" w:ascii="仿宋_GB2312" w:hAnsi="宋体" w:eastAsia="仿宋_GB2312" w:cs="仿宋_GB2312"/>
                <w:kern w:val="0"/>
                <w:sz w:val="18"/>
                <w:szCs w:val="18"/>
                <w:lang w:bidi="ar"/>
              </w:rPr>
              <w:t>处五百元以上五千元以下罚款。</w:t>
            </w:r>
          </w:p>
        </w:tc>
        <w:tc>
          <w:tcPr>
            <w:tcW w:w="459" w:type="dxa"/>
            <w:tcBorders>
              <w:tl2br w:val="nil"/>
              <w:tr2bl w:val="nil"/>
            </w:tcBorders>
            <w:shd w:val="clear" w:color="auto" w:fill="auto"/>
            <w:noWrap/>
            <w:tcMar>
              <w:top w:w="15" w:type="dxa"/>
              <w:left w:w="15" w:type="dxa"/>
              <w:right w:w="15" w:type="dxa"/>
            </w:tcMar>
            <w:vAlign w:val="center"/>
          </w:tcPr>
          <w:p w14:paraId="6DD4E37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163B283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88F0B3E">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9EADC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D0FE47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76AD0B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DBF222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02FCA7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D7A1B0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105E7DF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234F54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52EAF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1ED587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F999D4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4E3FEA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EA7717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C3B44E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5B2497D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1640ED1E">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14320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98"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A964E7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1D91CA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2AF86D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5EC5A9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9BB1AE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76CF563C">
            <w:pPr>
              <w:keepNext w:val="0"/>
              <w:keepLines w:val="0"/>
              <w:pageBreakBefore w:val="0"/>
              <w:widowControl w:val="0"/>
              <w:kinsoku/>
              <w:wordWrap/>
              <w:overflowPunct w:val="0"/>
              <w:topLinePunct w:val="0"/>
              <w:autoSpaceDE/>
              <w:autoSpaceDN/>
              <w:bidi w:val="0"/>
              <w:adjustRightInd/>
              <w:snapToGrid/>
              <w:spacing w:line="20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未经得电力设施产权人允许，擅自移动电力设施保护标志、安全标志，经发现后，按要求限期恢复的，未产生其他损失的。</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损坏电力设施保护标志、安全标志，经发现后，按要求限期恢复的，未产生其他损失的。</w:t>
            </w:r>
          </w:p>
        </w:tc>
        <w:tc>
          <w:tcPr>
            <w:tcW w:w="2655" w:type="dxa"/>
            <w:tcBorders>
              <w:tl2br w:val="nil"/>
              <w:tr2bl w:val="nil"/>
            </w:tcBorders>
            <w:shd w:val="clear" w:color="auto" w:fill="auto"/>
            <w:tcMar>
              <w:top w:w="15" w:type="dxa"/>
              <w:left w:w="15" w:type="dxa"/>
              <w:right w:w="15" w:type="dxa"/>
            </w:tcMar>
            <w:vAlign w:val="center"/>
          </w:tcPr>
          <w:p w14:paraId="73D94FC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处500元以上2000元以下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6AA037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98"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7DE94C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41CDC8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E55984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ABBAA5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2E6EC0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0B24B8A7">
            <w:pPr>
              <w:keepNext w:val="0"/>
              <w:keepLines w:val="0"/>
              <w:pageBreakBefore w:val="0"/>
              <w:widowControl w:val="0"/>
              <w:kinsoku/>
              <w:wordWrap/>
              <w:overflowPunct w:val="0"/>
              <w:topLinePunct w:val="0"/>
              <w:autoSpaceDE/>
              <w:autoSpaceDN/>
              <w:bidi w:val="0"/>
              <w:adjustRightInd/>
              <w:snapToGrid/>
              <w:spacing w:line="20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未经得电力设施产权人允许，擅自移动电力设施保护标志、安全标志，且限期仍未恢复或在整改过程中造成其他损失的。</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损坏电力设施保护标志、安全标志，且限期仍未恢复或在整改过程中造成其他损失的。</w:t>
            </w:r>
          </w:p>
        </w:tc>
        <w:tc>
          <w:tcPr>
            <w:tcW w:w="2655" w:type="dxa"/>
            <w:tcBorders>
              <w:tl2br w:val="nil"/>
              <w:tr2bl w:val="nil"/>
            </w:tcBorders>
            <w:shd w:val="clear" w:color="auto" w:fill="auto"/>
            <w:tcMar>
              <w:top w:w="15" w:type="dxa"/>
              <w:left w:w="15" w:type="dxa"/>
              <w:right w:w="15" w:type="dxa"/>
            </w:tcMar>
            <w:vAlign w:val="center"/>
          </w:tcPr>
          <w:p w14:paraId="68401DA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处2000元以上3000元以下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416820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98"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9BECE8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AA25FC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F61AA2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2670DB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125F06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123D9EF4">
            <w:pPr>
              <w:keepNext w:val="0"/>
              <w:keepLines w:val="0"/>
              <w:pageBreakBefore w:val="0"/>
              <w:widowControl w:val="0"/>
              <w:kinsoku/>
              <w:wordWrap/>
              <w:overflowPunct w:val="0"/>
              <w:topLinePunct w:val="0"/>
              <w:autoSpaceDE/>
              <w:autoSpaceDN/>
              <w:bidi w:val="0"/>
              <w:adjustRightInd/>
              <w:snapToGrid/>
              <w:spacing w:line="20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未经得电力设施产权人允许，擅自移动电力设施保护标志、安全标志，拒不整改的。</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无故阻碍电力设施产权人设立电力设施保护标志、安全标志的。</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故意破坏、污损、涂改、盗窃电力设施保护标志、安全标志的。</w:t>
            </w:r>
          </w:p>
        </w:tc>
        <w:tc>
          <w:tcPr>
            <w:tcW w:w="2655" w:type="dxa"/>
            <w:tcBorders>
              <w:tl2br w:val="nil"/>
              <w:tr2bl w:val="nil"/>
            </w:tcBorders>
            <w:shd w:val="clear" w:color="auto" w:fill="auto"/>
            <w:tcMar>
              <w:top w:w="15" w:type="dxa"/>
              <w:left w:w="15" w:type="dxa"/>
              <w:right w:w="15" w:type="dxa"/>
            </w:tcMar>
            <w:vAlign w:val="center"/>
          </w:tcPr>
          <w:p w14:paraId="5FFFBD6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处3000元以上5000元以下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590B05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6AD72A6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2</w:t>
            </w:r>
            <w:del w:id="3083" w:author="LV" w:date="2026-07-14T17:11:58Z">
              <w:r>
                <w:rPr>
                  <w:rFonts w:hint="default" w:ascii="仿宋_GB2312" w:hAnsi="宋体" w:eastAsia="仿宋_GB2312" w:cs="仿宋_GB2312"/>
                  <w:kern w:val="0"/>
                  <w:sz w:val="18"/>
                  <w:szCs w:val="18"/>
                  <w:lang w:val="en-US" w:bidi="ar"/>
                </w:rPr>
                <w:delText>1</w:delText>
              </w:r>
            </w:del>
            <w:del w:id="3084" w:author="LV" w:date="2026-07-14T17:11:58Z">
              <w:r>
                <w:rPr>
                  <w:rFonts w:hint="default" w:ascii="仿宋_GB2312" w:hAnsi="宋体" w:eastAsia="仿宋_GB2312" w:cs="仿宋_GB2312"/>
                  <w:kern w:val="0"/>
                  <w:sz w:val="18"/>
                  <w:szCs w:val="18"/>
                  <w:lang w:val="en-US" w:eastAsia="zh-CN" w:bidi="ar"/>
                </w:rPr>
                <w:delText>8</w:delText>
              </w:r>
            </w:del>
            <w:ins w:id="3085" w:author="LV" w:date="2026-07-14T17:11:58Z">
              <w:r>
                <w:rPr>
                  <w:rFonts w:hint="eastAsia" w:ascii="仿宋_GB2312" w:hAnsi="宋体" w:eastAsia="仿宋_GB2312" w:cs="仿宋_GB2312"/>
                  <w:kern w:val="0"/>
                  <w:sz w:val="18"/>
                  <w:szCs w:val="18"/>
                  <w:lang w:val="en-US" w:eastAsia="zh-CN" w:bidi="ar"/>
                </w:rPr>
                <w:t>2</w:t>
              </w:r>
            </w:ins>
            <w:ins w:id="3086" w:author="LV" w:date="2026-07-14T17:13:58Z">
              <w:r>
                <w:rPr>
                  <w:rFonts w:hint="eastAsia" w:ascii="仿宋_GB2312" w:hAnsi="宋体" w:eastAsia="仿宋_GB2312" w:cs="仿宋_GB2312"/>
                  <w:kern w:val="0"/>
                  <w:sz w:val="18"/>
                  <w:szCs w:val="18"/>
                  <w:lang w:val="en-US" w:eastAsia="zh-CN" w:bidi="ar"/>
                </w:rPr>
                <w:t>5</w:t>
              </w:r>
            </w:ins>
          </w:p>
        </w:tc>
        <w:tc>
          <w:tcPr>
            <w:tcW w:w="1005" w:type="dxa"/>
            <w:vMerge w:val="restart"/>
            <w:tcBorders>
              <w:tl2br w:val="nil"/>
              <w:tr2bl w:val="nil"/>
            </w:tcBorders>
            <w:shd w:val="clear" w:color="auto" w:fill="auto"/>
            <w:tcMar>
              <w:top w:w="15" w:type="dxa"/>
              <w:left w:w="15" w:type="dxa"/>
              <w:right w:w="15" w:type="dxa"/>
            </w:tcMar>
            <w:vAlign w:val="center"/>
          </w:tcPr>
          <w:p w14:paraId="0B78677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从事危害发电设施、变电设施、电力交易设施的行为，拒不停止违法行为或者改正的</w:t>
            </w:r>
          </w:p>
        </w:tc>
        <w:tc>
          <w:tcPr>
            <w:tcW w:w="3667" w:type="dxa"/>
            <w:vMerge w:val="restart"/>
            <w:tcBorders>
              <w:tl2br w:val="nil"/>
              <w:tr2bl w:val="nil"/>
            </w:tcBorders>
            <w:shd w:val="clear" w:color="auto" w:fill="auto"/>
            <w:tcMar>
              <w:top w:w="15" w:type="dxa"/>
              <w:left w:w="15" w:type="dxa"/>
              <w:right w:w="15" w:type="dxa"/>
            </w:tcMar>
            <w:vAlign w:val="center"/>
          </w:tcPr>
          <w:p w14:paraId="55921BE7">
            <w:pPr>
              <w:keepNext w:val="0"/>
              <w:keepLines w:val="0"/>
              <w:pageBreakBefore w:val="0"/>
              <w:widowControl w:val="0"/>
              <w:kinsoku/>
              <w:wordWrap/>
              <w:overflowPunct w:val="0"/>
              <w:topLinePunct w:val="0"/>
              <w:autoSpaceDE/>
              <w:autoSpaceDN/>
              <w:bidi w:val="0"/>
              <w:adjustRightInd/>
              <w:snapToGrid/>
              <w:spacing w:line="25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《电力设施保护条例》第十三条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任何单位或个人不得从事下列危害发电设施、变电设施的行为：</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(一)闯入发电厂、变电站内扰乱生产和工作秩序，移动、损害标志物；</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(二)危及输水、输油、供热、排灰等管道(沟)的安全运行；</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(三)影响专用铁路、公路、桥梁、码头的使用；</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(四)在用于水力发电的水库内，进入距水工建筑物300米区域内炸鱼、捕鱼、游泳、划船及其他可能危及水工建筑物安全的行为；</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(五)其他危害发电、变电设施的行为。</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《山东省电力设施和电能保护条例》第十二条   任何单位和个人不得从事下列危害发电设施、变电设施、电力交易设施的行为:</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（一）扰乱发电、变电、电力交易场所生产和工作秩序；</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（二）利用发电、变电场所修建建筑物、构筑物，堆放易燃易爆等危险物品；</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（三）影响电力专用铁路、公路、桥梁、码头的使用；</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（四）破坏输水、输油、供热、冲灰管道（沟）、水井、电厂灰坝、水库、泵站等设施；</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（五）在电厂灰坝、水库大坝上挖掘、取土，修建建筑物、构筑物或者种植农作物；</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（六）在用于水力发电的水库、电力专用码头内，进入距水工建筑物三百米区域和火力发电循环水入口和出口划定区域游泳、划船以及从事捕捞、养殖等作业；</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（七）其他危害发电设施、变电设施、电力交易设施及其辅助设施的行为。</w:t>
            </w:r>
          </w:p>
        </w:tc>
        <w:tc>
          <w:tcPr>
            <w:tcW w:w="4082" w:type="dxa"/>
            <w:vMerge w:val="restart"/>
            <w:tcBorders>
              <w:tl2br w:val="nil"/>
              <w:tr2bl w:val="nil"/>
            </w:tcBorders>
            <w:shd w:val="clear" w:color="auto" w:fill="auto"/>
            <w:tcMar>
              <w:top w:w="15" w:type="dxa"/>
              <w:left w:w="15" w:type="dxa"/>
              <w:right w:w="15" w:type="dxa"/>
            </w:tcMar>
            <w:vAlign w:val="center"/>
          </w:tcPr>
          <w:p w14:paraId="3C0A64D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《山东省电力设施和电能保护条例》第五十条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违反本条例第十二条、第十三条、第十四条、第十五条规定的，由</w:t>
            </w:r>
            <w:r>
              <w:rPr>
                <w:rFonts w:hint="eastAsia" w:ascii="仿宋_GB2312" w:hAnsi="宋体" w:eastAsia="仿宋_GB2312" w:cs="仿宋_GB2312"/>
                <w:kern w:val="0"/>
                <w:sz w:val="18"/>
                <w:szCs w:val="18"/>
                <w:lang w:eastAsia="zh-CN" w:bidi="ar"/>
              </w:rPr>
              <w:t>电力管理部门</w:t>
            </w:r>
            <w:r>
              <w:rPr>
                <w:rFonts w:hint="eastAsia" w:ascii="仿宋_GB2312" w:hAnsi="宋体" w:eastAsia="仿宋_GB2312" w:cs="仿宋_GB2312"/>
                <w:kern w:val="0"/>
                <w:sz w:val="18"/>
                <w:szCs w:val="18"/>
                <w:lang w:bidi="ar"/>
              </w:rPr>
              <w:t>责令停止违法行为或者责令改正；拒不停止违法行为或者改正的，对个人处一千元以上一万元以下罚款，对单位处五千元以上一万元以下罚款。构成违反治安管理行为的，由公安机关依法处罚；构成犯罪的，依法追究刑事责任。</w:t>
            </w:r>
          </w:p>
        </w:tc>
        <w:tc>
          <w:tcPr>
            <w:tcW w:w="459" w:type="dxa"/>
            <w:tcBorders>
              <w:tl2br w:val="nil"/>
              <w:tr2bl w:val="nil"/>
            </w:tcBorders>
            <w:shd w:val="clear" w:color="auto" w:fill="auto"/>
            <w:noWrap/>
            <w:tcMar>
              <w:top w:w="15" w:type="dxa"/>
              <w:left w:w="15" w:type="dxa"/>
              <w:right w:w="15" w:type="dxa"/>
            </w:tcMar>
            <w:vAlign w:val="center"/>
          </w:tcPr>
          <w:p w14:paraId="7E67EF6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0B050DE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606605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8FF9B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375156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780B83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C66F4D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DFC0EF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44A16E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39F6159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28E28C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E8EAA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E30432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799BFE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75E6F3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332B10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86144D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46C5FE5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CD21173">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7AFEF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82" w:hRule="atLeast"/>
          <w:jc w:val="center"/>
        </w:trPr>
        <w:tc>
          <w:tcPr>
            <w:tcW w:w="418" w:type="dxa"/>
            <w:vMerge w:val="continue"/>
            <w:tcBorders>
              <w:bottom w:val="single" w:color="auto" w:sz="4" w:space="0"/>
              <w:tl2br w:val="nil"/>
              <w:tr2bl w:val="nil"/>
            </w:tcBorders>
            <w:shd w:val="clear" w:color="auto" w:fill="auto"/>
            <w:noWrap/>
            <w:tcMar>
              <w:top w:w="15" w:type="dxa"/>
              <w:left w:w="15" w:type="dxa"/>
              <w:right w:w="15" w:type="dxa"/>
            </w:tcMar>
            <w:vAlign w:val="center"/>
          </w:tcPr>
          <w:p w14:paraId="5CD7667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bottom w:val="single" w:color="auto" w:sz="4" w:space="0"/>
              <w:tl2br w:val="nil"/>
              <w:tr2bl w:val="nil"/>
            </w:tcBorders>
            <w:shd w:val="clear" w:color="auto" w:fill="auto"/>
            <w:tcMar>
              <w:top w:w="15" w:type="dxa"/>
              <w:left w:w="15" w:type="dxa"/>
              <w:right w:w="15" w:type="dxa"/>
            </w:tcMar>
            <w:vAlign w:val="center"/>
          </w:tcPr>
          <w:p w14:paraId="7673D71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bottom w:val="single" w:color="auto" w:sz="4" w:space="0"/>
              <w:tl2br w:val="nil"/>
              <w:tr2bl w:val="nil"/>
            </w:tcBorders>
            <w:shd w:val="clear" w:color="auto" w:fill="auto"/>
            <w:tcMar>
              <w:top w:w="15" w:type="dxa"/>
              <w:left w:w="15" w:type="dxa"/>
              <w:right w:w="15" w:type="dxa"/>
            </w:tcMar>
            <w:vAlign w:val="center"/>
          </w:tcPr>
          <w:p w14:paraId="7C94162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bottom w:val="single" w:color="auto" w:sz="4" w:space="0"/>
              <w:tl2br w:val="nil"/>
              <w:tr2bl w:val="nil"/>
            </w:tcBorders>
            <w:shd w:val="clear" w:color="auto" w:fill="auto"/>
            <w:tcMar>
              <w:top w:w="15" w:type="dxa"/>
              <w:left w:w="15" w:type="dxa"/>
              <w:right w:w="15" w:type="dxa"/>
            </w:tcMar>
            <w:vAlign w:val="center"/>
          </w:tcPr>
          <w:p w14:paraId="29521CE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bottom w:val="single" w:color="auto" w:sz="4" w:space="0"/>
              <w:tl2br w:val="nil"/>
              <w:tr2bl w:val="nil"/>
            </w:tcBorders>
            <w:shd w:val="clear" w:color="auto" w:fill="auto"/>
            <w:noWrap/>
            <w:tcMar>
              <w:top w:w="15" w:type="dxa"/>
              <w:left w:w="15" w:type="dxa"/>
              <w:right w:w="15" w:type="dxa"/>
            </w:tcMar>
            <w:vAlign w:val="center"/>
          </w:tcPr>
          <w:p w14:paraId="630AAE7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bottom w:val="single" w:color="auto" w:sz="4" w:space="0"/>
              <w:tl2br w:val="nil"/>
              <w:tr2bl w:val="nil"/>
            </w:tcBorders>
            <w:shd w:val="clear" w:color="auto" w:fill="auto"/>
            <w:tcMar>
              <w:top w:w="15" w:type="dxa"/>
              <w:left w:w="15" w:type="dxa"/>
              <w:right w:w="15" w:type="dxa"/>
            </w:tcMar>
            <w:vAlign w:val="center"/>
          </w:tcPr>
          <w:p w14:paraId="385CA36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违反《山东省电力设施和电能保护条例》第十二条相关规定，未引发发电设施、变电设施、电力交易设施损坏。整改期间未按要求及时停止违法行为或未按要求限期改正的，未造成其他损失的。</w:t>
            </w:r>
          </w:p>
        </w:tc>
        <w:tc>
          <w:tcPr>
            <w:tcW w:w="2655" w:type="dxa"/>
            <w:tcBorders>
              <w:bottom w:val="single" w:color="auto" w:sz="4" w:space="0"/>
              <w:tl2br w:val="nil"/>
              <w:tr2bl w:val="nil"/>
            </w:tcBorders>
            <w:shd w:val="clear" w:color="auto" w:fill="auto"/>
            <w:tcMar>
              <w:top w:w="15" w:type="dxa"/>
              <w:left w:w="15" w:type="dxa"/>
              <w:right w:w="15" w:type="dxa"/>
            </w:tcMar>
            <w:vAlign w:val="center"/>
          </w:tcPr>
          <w:p w14:paraId="44FEA46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val="en-US" w:eastAsia="zh-CN" w:bidi="ar"/>
              </w:rPr>
              <w:t>对</w:t>
            </w:r>
            <w:r>
              <w:rPr>
                <w:rFonts w:hint="eastAsia" w:ascii="仿宋_GB2312" w:hAnsi="宋体" w:eastAsia="仿宋_GB2312" w:cs="仿宋_GB2312"/>
                <w:kern w:val="0"/>
                <w:sz w:val="18"/>
                <w:szCs w:val="18"/>
                <w:lang w:bidi="ar"/>
              </w:rPr>
              <w:t>个人处1000元以上3000元以下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r>
              <w:rPr>
                <w:rFonts w:hint="eastAsia" w:ascii="仿宋_GB2312" w:hAnsi="宋体" w:eastAsia="仿宋_GB2312" w:cs="仿宋_GB2312"/>
                <w:kern w:val="0"/>
                <w:sz w:val="18"/>
                <w:szCs w:val="18"/>
                <w:lang w:val="en-US" w:eastAsia="zh-CN" w:bidi="ar"/>
              </w:rPr>
              <w:t>对</w:t>
            </w:r>
            <w:r>
              <w:rPr>
                <w:rFonts w:hint="eastAsia" w:ascii="仿宋_GB2312" w:hAnsi="宋体" w:eastAsia="仿宋_GB2312" w:cs="仿宋_GB2312"/>
                <w:kern w:val="0"/>
                <w:sz w:val="18"/>
                <w:szCs w:val="18"/>
                <w:lang w:bidi="ar"/>
              </w:rPr>
              <w:t>单位处5000元以上6000元以下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6D5334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26" w:hRule="atLeast"/>
          <w:jc w:val="center"/>
        </w:trPr>
        <w:tc>
          <w:tcPr>
            <w:tcW w:w="418"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5B146F8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hint="default" w:ascii="仿宋_GB2312" w:hAnsi="宋体" w:eastAsia="仿宋_GB2312" w:cs="仿宋_GB2312"/>
                <w:kern w:val="2"/>
                <w:sz w:val="18"/>
                <w:szCs w:val="18"/>
                <w:lang w:val="en-US" w:eastAsia="zh-CN" w:bidi="ar-SA"/>
              </w:rPr>
              <w:pPrChange w:id="3087" w:author="LV" w:date="2026-07-14T17:12:33Z">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pPr>
              </w:pPrChange>
            </w:pPr>
            <w:del w:id="3088" w:author="LV" w:date="2026-07-14T17:12:33Z">
              <w:r>
                <w:rPr>
                  <w:rFonts w:hint="eastAsia" w:ascii="仿宋_GB2312" w:hAnsi="宋体" w:eastAsia="仿宋_GB2312" w:cs="仿宋_GB2312"/>
                  <w:kern w:val="0"/>
                  <w:sz w:val="18"/>
                  <w:szCs w:val="18"/>
                  <w:lang w:bidi="ar"/>
                </w:rPr>
                <w:delText>2</w:delText>
              </w:r>
            </w:del>
            <w:del w:id="3089" w:author="LV" w:date="2026-07-14T17:12:29Z">
              <w:r>
                <w:rPr>
                  <w:rFonts w:hint="default" w:ascii="仿宋_GB2312" w:hAnsi="宋体" w:eastAsia="仿宋_GB2312" w:cs="仿宋_GB2312"/>
                  <w:kern w:val="0"/>
                  <w:sz w:val="18"/>
                  <w:szCs w:val="18"/>
                  <w:lang w:val="en-US" w:bidi="ar"/>
                </w:rPr>
                <w:delText>1</w:delText>
              </w:r>
            </w:del>
            <w:del w:id="3090" w:author="LV" w:date="2026-07-14T17:12:29Z">
              <w:r>
                <w:rPr>
                  <w:rFonts w:hint="default" w:ascii="仿宋_GB2312" w:hAnsi="宋体" w:eastAsia="仿宋_GB2312" w:cs="仿宋_GB2312"/>
                  <w:kern w:val="0"/>
                  <w:sz w:val="18"/>
                  <w:szCs w:val="18"/>
                  <w:lang w:val="en-US" w:eastAsia="zh-CN" w:bidi="ar"/>
                </w:rPr>
                <w:delText>8</w:delText>
              </w:r>
            </w:del>
          </w:p>
        </w:tc>
        <w:tc>
          <w:tcPr>
            <w:tcW w:w="1005"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1DDD3AD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从事危害发电设施、变电设施、电力交易设施的行为，拒不停止违法行为或者改正的</w:t>
            </w:r>
          </w:p>
        </w:tc>
        <w:tc>
          <w:tcPr>
            <w:tcW w:w="3667"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131C1526">
            <w:pPr>
              <w:keepNext w:val="0"/>
              <w:keepLines w:val="0"/>
              <w:pageBreakBefore w:val="0"/>
              <w:widowControl w:val="0"/>
              <w:kinsoku/>
              <w:wordWrap/>
              <w:overflowPunct w:val="0"/>
              <w:topLinePunct w:val="0"/>
              <w:autoSpaceDE/>
              <w:autoSpaceDN/>
              <w:bidi w:val="0"/>
              <w:adjustRightInd/>
              <w:snapToGrid/>
              <w:spacing w:line="25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《电力设施保护条例》第十三条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任何单位或个人不得从事下列危害发电设施、变电设施的行为：</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(一)闯入发电厂、变电站内扰乱生产和工作秩序，移动、损害标志物；</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(二)危及输水、输油、供热、排灰等管道(沟)的安全运行；</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(三)影响专用铁路、公路、桥梁、码头的使用；</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(四)在用于水力发电的水库内，进入距水工建筑物300米区域内炸鱼、捕鱼、游泳、划船及其他可能危及水工建筑物安全的行为；</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(五)其他危害发电、变电设施的行为。</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《山东省电力设施和电能保护条例》第十二条   任何单位和个人不得从事下列危害发电设施、变电设施、电力交易设施的行为:</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（一）扰乱发电、变电、电力交易场所生产和工作秩序；</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（二）利用发电、变电场所修建建筑物、构筑物，堆放易燃易爆等危险物品；</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（三）影响电力专用铁路、公路、桥梁、码头的使用；</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（四）破坏输水、输油、供热、冲灰管道（沟）、水井、电厂灰坝、水库、泵站等设施；</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（五）在电厂灰坝、水库大坝上挖掘、取土，修建建筑物、构筑物或者种植农作物；</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（六）在用于水力发电的水库、电力专用码头内，进入距水工建筑物三百米区域和火力发电循环水入口和出口划定区域游泳、划船以及从事捕捞、养殖等作业；</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（七）其他危害发电设施、变电设施、电力交易设施及其辅助设施的行为。</w:t>
            </w:r>
          </w:p>
        </w:tc>
        <w:tc>
          <w:tcPr>
            <w:tcW w:w="4082"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6338B49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《山东省电力设施和电能保护条例》第五十条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违反本条例第十二条、第十三条、第十四条、第十五条规定的，由</w:t>
            </w:r>
            <w:r>
              <w:rPr>
                <w:rFonts w:hint="eastAsia" w:ascii="仿宋_GB2312" w:hAnsi="宋体" w:eastAsia="仿宋_GB2312" w:cs="仿宋_GB2312"/>
                <w:kern w:val="0"/>
                <w:sz w:val="18"/>
                <w:szCs w:val="18"/>
                <w:lang w:eastAsia="zh-CN" w:bidi="ar"/>
              </w:rPr>
              <w:t>电力管理部门</w:t>
            </w:r>
            <w:r>
              <w:rPr>
                <w:rFonts w:hint="eastAsia" w:ascii="仿宋_GB2312" w:hAnsi="宋体" w:eastAsia="仿宋_GB2312" w:cs="仿宋_GB2312"/>
                <w:kern w:val="0"/>
                <w:sz w:val="18"/>
                <w:szCs w:val="18"/>
                <w:lang w:bidi="ar"/>
              </w:rPr>
              <w:t>责令停止违法行为或者责令改正；拒不停止违法行为或者改正的，对个人处一千元以上一万元以下罚款，对单位处五千元以上一万元以下罚款。构成违反治安管理行为的，由公安机关依法处罚；构成犯罪的，依法追究刑事责任。</w:t>
            </w:r>
          </w:p>
        </w:tc>
        <w:tc>
          <w:tcPr>
            <w:tcW w:w="459"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1DE339F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5F574576">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违反《山东省电力设施和电能保护条例》第十二条相关规定，未引发发电设施、变电设施、电力交易设施损坏。整改期间未按要求及时停止违法行为或未按要求限期改正的，造成发电设施停运1小时以内的。</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违反《山东省电力设施和电能保护条例》第十二条相关规定，未引发发电设施、变电设施、电力交易设施损坏。整改期间未按要求及时停止违法行为或未按要求限期改正的，造成变电设施停运1小时以内的。</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违反《山东省电力设施和电能保护条例》第十二条相关规定，未引发发电设施、变电设施、电力交易设施损坏。整改期间未按要求及时停止违法行为或未按要求限期改正的，造成电力交易设施停运1小时以内的。</w:t>
            </w:r>
          </w:p>
        </w:tc>
        <w:tc>
          <w:tcPr>
            <w:tcW w:w="2655"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7B2DB87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val="en-US" w:eastAsia="zh-CN" w:bidi="ar"/>
              </w:rPr>
              <w:t>对个人处3000元以上6000元以下的罚款；对</w:t>
            </w:r>
            <w:r>
              <w:rPr>
                <w:rFonts w:hint="eastAsia" w:ascii="仿宋_GB2312" w:hAnsi="宋体" w:eastAsia="仿宋_GB2312" w:cs="仿宋_GB2312"/>
                <w:kern w:val="0"/>
                <w:sz w:val="18"/>
                <w:szCs w:val="18"/>
                <w:lang w:bidi="ar"/>
              </w:rPr>
              <w:t>单位处6000元以上8000元以下的</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6A4438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418" w:type="dxa"/>
            <w:tcBorders>
              <w:top w:val="single" w:color="auto" w:sz="4" w:space="0"/>
              <w:tl2br w:val="nil"/>
              <w:tr2bl w:val="nil"/>
            </w:tcBorders>
            <w:shd w:val="clear" w:color="auto" w:fill="auto"/>
            <w:noWrap/>
            <w:tcMar>
              <w:top w:w="15" w:type="dxa"/>
              <w:left w:w="15" w:type="dxa"/>
              <w:right w:w="15" w:type="dxa"/>
            </w:tcMar>
            <w:vAlign w:val="center"/>
          </w:tcPr>
          <w:p w14:paraId="0CDC90F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del w:id="3091" w:author="LV" w:date="2026-07-14T17:12:40Z">
              <w:r>
                <w:rPr>
                  <w:rFonts w:hint="eastAsia" w:ascii="仿宋_GB2312" w:hAnsi="宋体" w:eastAsia="仿宋_GB2312" w:cs="仿宋_GB2312"/>
                  <w:kern w:val="0"/>
                  <w:sz w:val="18"/>
                  <w:szCs w:val="18"/>
                  <w:lang w:bidi="ar"/>
                </w:rPr>
                <w:delText>21</w:delText>
              </w:r>
            </w:del>
            <w:del w:id="3092" w:author="LV" w:date="2026-07-14T17:12:40Z">
              <w:r>
                <w:rPr>
                  <w:rFonts w:hint="eastAsia" w:ascii="仿宋_GB2312" w:hAnsi="宋体" w:eastAsia="仿宋_GB2312" w:cs="仿宋_GB2312"/>
                  <w:kern w:val="0"/>
                  <w:sz w:val="18"/>
                  <w:szCs w:val="18"/>
                  <w:lang w:val="en-US" w:eastAsia="zh-CN" w:bidi="ar"/>
                </w:rPr>
                <w:delText>8</w:delText>
              </w:r>
            </w:del>
          </w:p>
        </w:tc>
        <w:tc>
          <w:tcPr>
            <w:tcW w:w="1005" w:type="dxa"/>
            <w:tcBorders>
              <w:top w:val="single" w:color="auto" w:sz="4" w:space="0"/>
              <w:tl2br w:val="nil"/>
              <w:tr2bl w:val="nil"/>
            </w:tcBorders>
            <w:shd w:val="clear" w:color="auto" w:fill="auto"/>
            <w:tcMar>
              <w:top w:w="15" w:type="dxa"/>
              <w:left w:w="15" w:type="dxa"/>
              <w:right w:w="15" w:type="dxa"/>
            </w:tcMar>
            <w:vAlign w:val="center"/>
          </w:tcPr>
          <w:p w14:paraId="2E79CF7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从事危害发电设施、变电设施、电力交易设施的行为，拒不停止违法行为或者改正的</w:t>
            </w:r>
          </w:p>
        </w:tc>
        <w:tc>
          <w:tcPr>
            <w:tcW w:w="3667" w:type="dxa"/>
            <w:tcBorders>
              <w:top w:val="single" w:color="auto" w:sz="4" w:space="0"/>
              <w:tl2br w:val="nil"/>
              <w:tr2bl w:val="nil"/>
            </w:tcBorders>
            <w:shd w:val="clear" w:color="auto" w:fill="auto"/>
            <w:tcMar>
              <w:top w:w="15" w:type="dxa"/>
              <w:left w:w="15" w:type="dxa"/>
              <w:right w:w="15" w:type="dxa"/>
            </w:tcMar>
            <w:vAlign w:val="center"/>
          </w:tcPr>
          <w:p w14:paraId="5F514712">
            <w:pPr>
              <w:keepNext w:val="0"/>
              <w:keepLines w:val="0"/>
              <w:pageBreakBefore w:val="0"/>
              <w:widowControl w:val="0"/>
              <w:kinsoku/>
              <w:wordWrap/>
              <w:overflowPunct w:val="0"/>
              <w:topLinePunct w:val="0"/>
              <w:autoSpaceDE/>
              <w:autoSpaceDN/>
              <w:bidi w:val="0"/>
              <w:adjustRightInd/>
              <w:snapToGrid/>
              <w:spacing w:line="25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《电力设施保护条例》第十三条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任何单位或个人不得从事下列危害发电设施、变电设施的行为：</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(一)闯入发电厂、变电站内扰乱生产和工作秩序，移动、损害标志物；</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(二)危及输水、输油、供热、排灰等管道(沟)的安全运行；</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(三)影响专用铁路、公路、桥梁、码头的使用；</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(四)在用于水力发电的水库内，进入距水工建筑物300米区域内炸鱼、捕鱼、游泳、划船及其他可能危及水工建筑物安全的行为；</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(五)其他危害发电、变电设施的行为。</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《山东省电力设施和电能保护条例》第十二条   任何单位和个人不得从事下列危害发电设施、变电设施、电力交易设施的行为:</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（一）扰乱发电、变电、电力交易场所生产和工作秩序；</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（二）利用发电、变电场所修建建筑物、构筑物，堆放易燃易爆等危险物品；</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（三）影响电力专用铁路、公路、桥梁、码头的使用；</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（四）破坏输水、输油、供热、冲灰管道（沟）、水井、电厂灰坝、水库、泵站等设施；</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（五）在电厂灰坝、水库大坝上挖掘、取土，修建建筑物、构筑物或者种植农作物；</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（六）在用于水力发电的水库、电力专用码头内，进入距水工建筑物三百米区域和火力发电循环水入口和出口划定区域游泳、划船以及从事捕捞、养殖等作业；</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（七）其他危害发电设施、变电设施、电力交易设施及其辅助设施的行为。</w:t>
            </w:r>
          </w:p>
        </w:tc>
        <w:tc>
          <w:tcPr>
            <w:tcW w:w="4082" w:type="dxa"/>
            <w:tcBorders>
              <w:top w:val="single" w:color="auto" w:sz="4" w:space="0"/>
              <w:tl2br w:val="nil"/>
              <w:tr2bl w:val="nil"/>
            </w:tcBorders>
            <w:shd w:val="clear" w:color="auto" w:fill="auto"/>
            <w:tcMar>
              <w:top w:w="15" w:type="dxa"/>
              <w:left w:w="15" w:type="dxa"/>
              <w:right w:w="15" w:type="dxa"/>
            </w:tcMar>
            <w:vAlign w:val="center"/>
          </w:tcPr>
          <w:p w14:paraId="12385FD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《山东省电力设施和电能保护条例》第五十条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违反本条例第十二条、第十三条、第十四条、第十五条规定的，由</w:t>
            </w:r>
            <w:r>
              <w:rPr>
                <w:rFonts w:hint="eastAsia" w:ascii="仿宋_GB2312" w:hAnsi="宋体" w:eastAsia="仿宋_GB2312" w:cs="仿宋_GB2312"/>
                <w:kern w:val="0"/>
                <w:sz w:val="18"/>
                <w:szCs w:val="18"/>
                <w:lang w:eastAsia="zh-CN" w:bidi="ar"/>
              </w:rPr>
              <w:t>电力管理部门</w:t>
            </w:r>
            <w:r>
              <w:rPr>
                <w:rFonts w:hint="eastAsia" w:ascii="仿宋_GB2312" w:hAnsi="宋体" w:eastAsia="仿宋_GB2312" w:cs="仿宋_GB2312"/>
                <w:kern w:val="0"/>
                <w:sz w:val="18"/>
                <w:szCs w:val="18"/>
                <w:lang w:bidi="ar"/>
              </w:rPr>
              <w:t>责令停止违法行为或者责令改正；拒不停止违法行为或者改正的，对个人处一千元以上一万元以下罚款，对单位处五千元以上一万元以下罚款。构成违反治安管理行为的，由公安机关依法处罚；构成犯罪的，依法追究刑事责任。</w:t>
            </w:r>
          </w:p>
        </w:tc>
        <w:tc>
          <w:tcPr>
            <w:tcW w:w="459" w:type="dxa"/>
            <w:tcBorders>
              <w:top w:val="single" w:color="auto" w:sz="4" w:space="0"/>
              <w:tl2br w:val="nil"/>
              <w:tr2bl w:val="nil"/>
            </w:tcBorders>
            <w:shd w:val="clear" w:color="auto" w:fill="auto"/>
            <w:noWrap/>
            <w:tcMar>
              <w:top w:w="15" w:type="dxa"/>
              <w:left w:w="15" w:type="dxa"/>
              <w:right w:w="15" w:type="dxa"/>
            </w:tcMar>
            <w:vAlign w:val="center"/>
          </w:tcPr>
          <w:p w14:paraId="06F0289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op w:val="single" w:color="auto" w:sz="4" w:space="0"/>
              <w:tl2br w:val="nil"/>
              <w:tr2bl w:val="nil"/>
            </w:tcBorders>
            <w:shd w:val="clear" w:color="auto" w:fill="auto"/>
            <w:tcMar>
              <w:top w:w="15" w:type="dxa"/>
              <w:left w:w="15" w:type="dxa"/>
              <w:right w:w="15" w:type="dxa"/>
            </w:tcMar>
            <w:vAlign w:val="center"/>
          </w:tcPr>
          <w:p w14:paraId="1383A934">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违反《山东省电力设施和电能保护条例》第十二条相关规定，引发发电设施、变电设施、电力交易设施损坏的。</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违反《山东省电力设施和电能保护条例》第十二条相关规定。整改期间未按要求及时停止违法行为或未按要求限期改正的，造成发电设施停运1小时以上的。</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违反《山东省电力设施和电能保护条例》第十二条相关规定，整改期间未按要求及时停止违法行为或未按要求限期改正的，造成变电设施停运1小时以上的。</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违反《山东省电力设施和电能保护条例》第十二条相关规定，整改期间未按要求及时停止违法行为或未按要求限期改正的，造成电力交易设施停运1小时以上的。</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违反《山东省电力设施和电能保护条例》第十二条相关规定，拒不停止违法行为或改正的。</w:t>
            </w:r>
          </w:p>
          <w:p w14:paraId="3D2CF67A">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p>
        </w:tc>
        <w:tc>
          <w:tcPr>
            <w:tcW w:w="2655" w:type="dxa"/>
            <w:tcBorders>
              <w:top w:val="single" w:color="auto" w:sz="4" w:space="0"/>
              <w:tl2br w:val="nil"/>
              <w:tr2bl w:val="nil"/>
            </w:tcBorders>
            <w:shd w:val="clear" w:color="auto" w:fill="auto"/>
            <w:tcMar>
              <w:top w:w="15" w:type="dxa"/>
              <w:left w:w="15" w:type="dxa"/>
              <w:right w:w="15" w:type="dxa"/>
            </w:tcMar>
            <w:vAlign w:val="center"/>
          </w:tcPr>
          <w:p w14:paraId="0220A50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val="en-US" w:eastAsia="zh-CN" w:bidi="ar"/>
              </w:rPr>
              <w:t>对个人处6000元以上10000元以下的的罚款；对</w:t>
            </w:r>
            <w:r>
              <w:rPr>
                <w:rFonts w:hint="eastAsia" w:ascii="仿宋_GB2312" w:hAnsi="宋体" w:eastAsia="仿宋_GB2312" w:cs="仿宋_GB2312"/>
                <w:kern w:val="0"/>
                <w:sz w:val="18"/>
                <w:szCs w:val="18"/>
                <w:lang w:bidi="ar"/>
              </w:rPr>
              <w:t>单位处8000元以上1万元以下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544E52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27746E9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bidi="ar"/>
              </w:rPr>
            </w:pPr>
          </w:p>
          <w:p w14:paraId="231F304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bidi="ar"/>
              </w:rPr>
            </w:pPr>
          </w:p>
          <w:p w14:paraId="43978C5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bidi="ar"/>
              </w:rPr>
            </w:pPr>
          </w:p>
          <w:p w14:paraId="0FF4568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bidi="ar"/>
              </w:rPr>
            </w:pPr>
          </w:p>
          <w:p w14:paraId="37E0123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bidi="ar"/>
              </w:rPr>
            </w:pPr>
          </w:p>
          <w:p w14:paraId="3463F2F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bidi="ar"/>
              </w:rPr>
            </w:pPr>
          </w:p>
          <w:p w14:paraId="520438A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bidi="ar"/>
              </w:rPr>
            </w:pPr>
          </w:p>
          <w:p w14:paraId="37AC429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bidi="ar"/>
              </w:rPr>
            </w:pPr>
          </w:p>
          <w:p w14:paraId="7D7934D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bidi="ar"/>
              </w:rPr>
            </w:pPr>
          </w:p>
          <w:p w14:paraId="7D56925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bidi="ar"/>
              </w:rPr>
            </w:pPr>
          </w:p>
          <w:p w14:paraId="6815F37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bidi="ar"/>
              </w:rPr>
            </w:pPr>
          </w:p>
          <w:p w14:paraId="410F66D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bidi="ar"/>
              </w:rPr>
            </w:pPr>
          </w:p>
          <w:p w14:paraId="1AD40F5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bidi="ar"/>
              </w:rPr>
            </w:pPr>
          </w:p>
          <w:p w14:paraId="66CD044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bidi="ar"/>
              </w:rPr>
            </w:pPr>
          </w:p>
          <w:p w14:paraId="313BAB6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bidi="ar"/>
              </w:rPr>
              <w:t>2</w:t>
            </w:r>
            <w:del w:id="3093" w:author="LV" w:date="2026-07-14T17:12:53Z">
              <w:r>
                <w:rPr>
                  <w:rFonts w:hint="default" w:ascii="仿宋_GB2312" w:hAnsi="宋体" w:eastAsia="仿宋_GB2312" w:cs="仿宋_GB2312"/>
                  <w:kern w:val="0"/>
                  <w:sz w:val="18"/>
                  <w:szCs w:val="18"/>
                  <w:lang w:val="en-US" w:bidi="ar"/>
                </w:rPr>
                <w:delText>1</w:delText>
              </w:r>
            </w:del>
            <w:del w:id="3094" w:author="LV" w:date="2026-07-14T17:12:53Z">
              <w:r>
                <w:rPr>
                  <w:rFonts w:hint="default" w:ascii="仿宋_GB2312" w:hAnsi="宋体" w:eastAsia="仿宋_GB2312" w:cs="仿宋_GB2312"/>
                  <w:kern w:val="0"/>
                  <w:sz w:val="18"/>
                  <w:szCs w:val="18"/>
                  <w:lang w:val="en-US" w:eastAsia="zh-CN" w:bidi="ar"/>
                </w:rPr>
                <w:delText>9</w:delText>
              </w:r>
            </w:del>
            <w:ins w:id="3095" w:author="LV" w:date="2026-07-14T17:12:53Z">
              <w:r>
                <w:rPr>
                  <w:rFonts w:hint="eastAsia" w:ascii="仿宋_GB2312" w:hAnsi="宋体" w:eastAsia="仿宋_GB2312" w:cs="仿宋_GB2312"/>
                  <w:kern w:val="0"/>
                  <w:sz w:val="18"/>
                  <w:szCs w:val="18"/>
                  <w:lang w:val="en-US" w:eastAsia="zh-CN" w:bidi="ar"/>
                </w:rPr>
                <w:t>2</w:t>
              </w:r>
            </w:ins>
            <w:ins w:id="3096" w:author="LV" w:date="2026-07-14T17:14:07Z">
              <w:r>
                <w:rPr>
                  <w:rFonts w:hint="eastAsia" w:ascii="仿宋_GB2312" w:hAnsi="宋体" w:eastAsia="仿宋_GB2312" w:cs="仿宋_GB2312"/>
                  <w:kern w:val="0"/>
                  <w:sz w:val="18"/>
                  <w:szCs w:val="18"/>
                  <w:lang w:val="en-US" w:eastAsia="zh-CN" w:bidi="ar"/>
                </w:rPr>
                <w:t>6</w:t>
              </w:r>
            </w:ins>
          </w:p>
          <w:p w14:paraId="22D861E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val="en-US" w:eastAsia="zh-CN" w:bidi="ar"/>
              </w:rPr>
            </w:pPr>
          </w:p>
          <w:p w14:paraId="29631DB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val="en-US" w:eastAsia="zh-CN" w:bidi="ar"/>
              </w:rPr>
            </w:pPr>
          </w:p>
          <w:p w14:paraId="5710D68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val="en-US" w:eastAsia="zh-CN" w:bidi="ar"/>
              </w:rPr>
            </w:pPr>
          </w:p>
          <w:p w14:paraId="2B8CD4D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val="en-US" w:eastAsia="zh-CN" w:bidi="ar"/>
              </w:rPr>
            </w:pPr>
          </w:p>
          <w:p w14:paraId="41AC600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val="en-US" w:eastAsia="zh-CN" w:bidi="ar"/>
              </w:rPr>
            </w:pPr>
          </w:p>
          <w:p w14:paraId="63D3982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val="en-US" w:eastAsia="zh-CN" w:bidi="ar"/>
              </w:rPr>
            </w:pPr>
          </w:p>
          <w:p w14:paraId="4736012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val="en-US" w:eastAsia="zh-CN" w:bidi="ar"/>
              </w:rPr>
            </w:pPr>
          </w:p>
          <w:p w14:paraId="1627F94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val="en-US" w:eastAsia="zh-CN" w:bidi="ar"/>
              </w:rPr>
            </w:pPr>
          </w:p>
          <w:p w14:paraId="770C7CF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val="en-US" w:eastAsia="zh-CN" w:bidi="ar"/>
              </w:rPr>
            </w:pPr>
          </w:p>
          <w:p w14:paraId="45272E2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val="en-US" w:eastAsia="zh-CN" w:bidi="ar"/>
              </w:rPr>
            </w:pPr>
          </w:p>
          <w:p w14:paraId="019B890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val="en-US" w:eastAsia="zh-CN" w:bidi="ar"/>
              </w:rPr>
            </w:pPr>
          </w:p>
          <w:p w14:paraId="4D79FD6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val="en-US" w:eastAsia="zh-CN" w:bidi="ar"/>
              </w:rPr>
            </w:pPr>
          </w:p>
          <w:p w14:paraId="2D1DF04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val="en-US" w:eastAsia="zh-CN" w:bidi="ar"/>
              </w:rPr>
            </w:pPr>
          </w:p>
          <w:p w14:paraId="62FCEEE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val="en-US" w:eastAsia="zh-CN" w:bidi="ar"/>
              </w:rPr>
            </w:pPr>
          </w:p>
          <w:p w14:paraId="795BAB5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val="en-US" w:eastAsia="zh-CN" w:bidi="ar"/>
              </w:rPr>
            </w:pPr>
          </w:p>
          <w:p w14:paraId="6207031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val="en-US" w:eastAsia="zh-CN" w:bidi="ar"/>
              </w:rPr>
            </w:pPr>
          </w:p>
          <w:p w14:paraId="7C5D300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val="en-US" w:eastAsia="zh-CN" w:bidi="ar"/>
              </w:rPr>
            </w:pPr>
          </w:p>
          <w:p w14:paraId="4E0D945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val="en-US" w:eastAsia="zh-CN" w:bidi="ar"/>
              </w:rPr>
            </w:pPr>
          </w:p>
          <w:p w14:paraId="6E732F1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val="en-US" w:eastAsia="zh-CN" w:bidi="ar"/>
              </w:rPr>
            </w:pPr>
          </w:p>
          <w:p w14:paraId="60FFEC3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val="en-US" w:eastAsia="zh-CN" w:bidi="ar"/>
              </w:rPr>
            </w:pPr>
          </w:p>
          <w:p w14:paraId="6A2BD84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val="en-US" w:eastAsia="zh-CN" w:bidi="ar"/>
              </w:rPr>
            </w:pPr>
          </w:p>
          <w:p w14:paraId="770AFA3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val="en-US" w:eastAsia="zh-CN" w:bidi="ar"/>
              </w:rPr>
            </w:pPr>
          </w:p>
          <w:p w14:paraId="40BF82F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val="en-US" w:eastAsia="zh-CN" w:bidi="ar"/>
              </w:rPr>
            </w:pPr>
          </w:p>
          <w:p w14:paraId="21F7126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val="en-US" w:eastAsia="zh-CN" w:bidi="ar"/>
              </w:rPr>
            </w:pPr>
          </w:p>
          <w:p w14:paraId="2664074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val="en-US" w:eastAsia="zh-CN" w:bidi="ar"/>
              </w:rPr>
            </w:pPr>
          </w:p>
          <w:p w14:paraId="286D9B2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val="en-US" w:eastAsia="zh-CN" w:bidi="ar"/>
              </w:rPr>
            </w:pPr>
          </w:p>
          <w:p w14:paraId="0475DCF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val="en-US" w:eastAsia="zh-CN" w:bidi="ar"/>
              </w:rPr>
            </w:pPr>
            <w:del w:id="3097" w:author="LV" w:date="2026-07-14T17:14:19Z">
              <w:r>
                <w:rPr>
                  <w:rFonts w:hint="eastAsia" w:ascii="仿宋_GB2312" w:hAnsi="宋体" w:eastAsia="仿宋_GB2312" w:cs="仿宋_GB2312"/>
                  <w:kern w:val="0"/>
                  <w:sz w:val="18"/>
                  <w:szCs w:val="18"/>
                  <w:lang w:bidi="ar"/>
                </w:rPr>
                <w:delText>2</w:delText>
              </w:r>
            </w:del>
            <w:del w:id="3098" w:author="LV" w:date="2026-07-14T17:14:18Z">
              <w:r>
                <w:rPr>
                  <w:rFonts w:hint="eastAsia" w:ascii="仿宋_GB2312" w:hAnsi="宋体" w:eastAsia="仿宋_GB2312" w:cs="仿宋_GB2312"/>
                  <w:kern w:val="0"/>
                  <w:sz w:val="18"/>
                  <w:szCs w:val="18"/>
                  <w:lang w:bidi="ar"/>
                </w:rPr>
                <w:delText>1</w:delText>
              </w:r>
            </w:del>
            <w:del w:id="3099" w:author="LV" w:date="2026-07-14T17:14:18Z">
              <w:r>
                <w:rPr>
                  <w:rFonts w:hint="eastAsia" w:ascii="仿宋_GB2312" w:hAnsi="宋体" w:eastAsia="仿宋_GB2312" w:cs="仿宋_GB2312"/>
                  <w:kern w:val="0"/>
                  <w:sz w:val="18"/>
                  <w:szCs w:val="18"/>
                  <w:lang w:val="en-US" w:eastAsia="zh-CN" w:bidi="ar"/>
                </w:rPr>
                <w:delText>9</w:delText>
              </w:r>
            </w:del>
          </w:p>
        </w:tc>
        <w:tc>
          <w:tcPr>
            <w:tcW w:w="1005" w:type="dxa"/>
            <w:vMerge w:val="restart"/>
            <w:tcBorders>
              <w:tl2br w:val="nil"/>
              <w:tr2bl w:val="nil"/>
            </w:tcBorders>
            <w:shd w:val="clear" w:color="auto" w:fill="auto"/>
            <w:tcMar>
              <w:top w:w="15" w:type="dxa"/>
              <w:left w:w="15" w:type="dxa"/>
              <w:right w:w="15" w:type="dxa"/>
            </w:tcMar>
            <w:vAlign w:val="center"/>
          </w:tcPr>
          <w:p w14:paraId="0C73E78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22EEAF8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7D4072F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68E7CCC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50935D8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68A808B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30F56BB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75DE50C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6D8B617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28D6E37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5277376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6B96B02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4BFA7B7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2D4B9AC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从事危害电力线路设施的行为</w:t>
            </w:r>
          </w:p>
          <w:p w14:paraId="1C8BBD2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146FE06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055189B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702EE8C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4719834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656357B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1A36D6C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16BCA0B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1FE7762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374F15E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650A0EF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3551967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3F738C8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3193AFE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07DB93E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0BF2541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3F957EC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14DF187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2C1B4D7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56694FF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488B193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6C812DD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6021B88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1414D29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56FB51C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从事危害电力线路设施的行为</w:t>
            </w:r>
          </w:p>
        </w:tc>
        <w:tc>
          <w:tcPr>
            <w:tcW w:w="3667" w:type="dxa"/>
            <w:vMerge w:val="restart"/>
            <w:tcBorders>
              <w:tl2br w:val="nil"/>
              <w:tr2bl w:val="nil"/>
            </w:tcBorders>
            <w:shd w:val="clear" w:color="auto" w:fill="auto"/>
            <w:tcMar>
              <w:top w:w="15" w:type="dxa"/>
              <w:left w:w="15" w:type="dxa"/>
              <w:right w:w="15" w:type="dxa"/>
            </w:tcMar>
            <w:vAlign w:val="center"/>
          </w:tcPr>
          <w:p w14:paraId="100A996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《电力设施保护条例》第十四条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任何单位或个人，不得从事下列危害电力线路设施的行为：</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(一)向电力线路设施射击；</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(二)向导线抛掷物体；</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(三)在架空电力线路导线两侧各300米的区域内放风筝；</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(四)擅自在导线上接用电器设备；</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(五)擅自攀登杆塔或在杆塔上架设电力线、通信线、广播线，安装广播喇叭；</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(六)利用杆塔、拉线作起重牵引地锚；</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(七)在杆塔、拉线上拴牲畜、悬挂物体、攀附农作物；</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(八)在杆塔、拉线基础的规定范围内取土、打桩、钻探、开挖或倾倒酸、碱、盐及其他有害化学物品；</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(九)在杆塔内(不含杆塔与杆塔之间)或杆塔与拉线之间修筑道路；</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(十)拆卸杆塔或拉线上的器材，移动、损坏永久性标志或标志牌；</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(十一)其他危害电力线路设施的行为。</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《山东省电力设施和电能保护条例》第十三条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 xml:space="preserve"> 任何单位和个人不得从事下列危害电力线路设施的行为:</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（一）盗拆或者破坏杆塔、变压器材，盗割电力导线、拉线；</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（二）利用杆塔、拉线作起重牵引地锚、悬挂物体、拴牲畜、攀附农作物；</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（三）向电力导线抛掷物体，向电力线路设施射击；</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（四）在架空电力线路两侧各三百米的区域内放风筝或者其他放飞物；</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（五）擅自在电力导线上接用电器设备或者在柱上变压器下堆放物品；</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（六）</w:t>
            </w:r>
            <w:r>
              <w:rPr>
                <w:rFonts w:hint="eastAsia" w:ascii="仿宋_GB2312" w:hAnsi="宋体" w:eastAsia="仿宋_GB2312" w:cs="仿宋_GB2312"/>
                <w:spacing w:val="-9"/>
                <w:kern w:val="0"/>
                <w:sz w:val="18"/>
                <w:szCs w:val="18"/>
                <w:lang w:bidi="ar"/>
              </w:rPr>
              <w:t>擅自攀登杆塔或者在杆塔上架设电力、通信、广播等线路，安装广播喇叭、照明灯具、广告牌等；</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（七）擅自开启井盖进入电力电缆沟或者在电力电缆沟内敷设其他管线；</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（八）在杆塔内（不含杆塔与杆塔之间）或者杆塔与拉线之间修筑道路；</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（九）挖掘接地极，破坏、堵塞、占压接地极检测井、渗水井、注水系统等设施；</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（十）堆砌、填埋、取土导致电力设施埋设深度改变，或者在架空电力线路下堆砌物体、抬高地面高程、增加建筑物以及构筑物高度导致安全距离不足；</w:t>
            </w:r>
          </w:p>
          <w:p w14:paraId="5D058DD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（十一）其他危害电力线路设施的行为。</w:t>
            </w:r>
          </w:p>
          <w:p w14:paraId="0C1A2D5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在电力线路设施附近从事无人驾驶航空器飞行以及相关活动，应当遵守无人驾驶航空器飞行管理相关规定。</w:t>
            </w:r>
          </w:p>
        </w:tc>
        <w:tc>
          <w:tcPr>
            <w:tcW w:w="4082" w:type="dxa"/>
            <w:vMerge w:val="restart"/>
            <w:tcBorders>
              <w:tl2br w:val="nil"/>
              <w:tr2bl w:val="nil"/>
            </w:tcBorders>
            <w:shd w:val="clear" w:color="auto" w:fill="auto"/>
            <w:tcMar>
              <w:top w:w="15" w:type="dxa"/>
              <w:left w:w="15" w:type="dxa"/>
              <w:right w:w="15" w:type="dxa"/>
            </w:tcMar>
            <w:vAlign w:val="center"/>
          </w:tcPr>
          <w:p w14:paraId="024E7FB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32C3199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6D27E19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1D9005F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16A399C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54A93DC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27C3982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3139E68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4916F96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7A17750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689AF90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7407390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《山东省电力设施和电能保护条例》第五十条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违反本条例第十二条、第十三条、第十四条第一款、第十五条规定的，由</w:t>
            </w:r>
            <w:r>
              <w:rPr>
                <w:rFonts w:hint="eastAsia" w:ascii="仿宋_GB2312" w:hAnsi="宋体" w:eastAsia="仿宋_GB2312" w:cs="仿宋_GB2312"/>
                <w:kern w:val="0"/>
                <w:sz w:val="18"/>
                <w:szCs w:val="18"/>
                <w:lang w:eastAsia="zh-CN" w:bidi="ar"/>
              </w:rPr>
              <w:t>电力管理部门</w:t>
            </w:r>
            <w:r>
              <w:rPr>
                <w:rFonts w:hint="eastAsia" w:ascii="仿宋_GB2312" w:hAnsi="宋体" w:eastAsia="仿宋_GB2312" w:cs="仿宋_GB2312"/>
                <w:kern w:val="0"/>
                <w:sz w:val="18"/>
                <w:szCs w:val="18"/>
                <w:lang w:bidi="ar"/>
              </w:rPr>
              <w:t>责令停止违法行为或者责令改正；拒不停止违法行为或者改正的，对个人处一千元以上五千元以下罚款，对单位处五千元以上一万元以下罚款。</w:t>
            </w:r>
          </w:p>
          <w:p w14:paraId="5DBBDC8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0F9F0C3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42A0434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7061C17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290DF73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53391F1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37FAA6E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1B0C37A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272FC4E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40557DE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1F7D15D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03D7794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3D628A5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2EDBDD4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3A1E5CE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0F8629A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3B4E09B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158E7A7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3C83FF7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789C71A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24E2793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2747B45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《山东省电力设施和电能保护条例》第五十条 违反本条例第十二条、第十三条、第十四条第一款、第十五条规定的，由电力管理部门责令停止违法行为或者责令改正；拒不停止违法行为或者改正的，对个人处一千元以上五千元以下罚款，对单位处五千元以上一万元以下罚款。</w:t>
            </w:r>
          </w:p>
        </w:tc>
        <w:tc>
          <w:tcPr>
            <w:tcW w:w="459" w:type="dxa"/>
            <w:tcBorders>
              <w:tl2br w:val="nil"/>
              <w:tr2bl w:val="nil"/>
            </w:tcBorders>
            <w:shd w:val="clear" w:color="auto" w:fill="auto"/>
            <w:noWrap/>
            <w:tcMar>
              <w:top w:w="15" w:type="dxa"/>
              <w:left w:w="15" w:type="dxa"/>
              <w:right w:w="15" w:type="dxa"/>
            </w:tcMar>
            <w:vAlign w:val="center"/>
          </w:tcPr>
          <w:p w14:paraId="2DD979C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6D0C732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1A46D3F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26F29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DA77FB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A9CCED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20DFDB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420E59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081BF9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3FD62C2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F36830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5741D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553ADB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6CD084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311C20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E912DD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CDBAF2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4A3033F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1C00A76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444AB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76D28A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62D740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903642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E93A3F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C4AB87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011A89F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违反《山东省电力设施和电能保护条例》第十三条相关规定，未引发输电线路故障、事故或电力设施损坏，整改期间未按要求及时停止违法行为或未按要求限期改正的，未造成其他损失的。</w:t>
            </w:r>
          </w:p>
        </w:tc>
        <w:tc>
          <w:tcPr>
            <w:tcW w:w="2655" w:type="dxa"/>
            <w:tcBorders>
              <w:tl2br w:val="nil"/>
              <w:tr2bl w:val="nil"/>
            </w:tcBorders>
            <w:shd w:val="clear" w:color="auto" w:fill="auto"/>
            <w:tcMar>
              <w:top w:w="15" w:type="dxa"/>
              <w:left w:w="15" w:type="dxa"/>
              <w:right w:w="15" w:type="dxa"/>
            </w:tcMar>
            <w:vAlign w:val="center"/>
          </w:tcPr>
          <w:p w14:paraId="0DC171B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val="en-US" w:eastAsia="zh-CN" w:bidi="ar"/>
              </w:rPr>
              <w:t>对</w:t>
            </w:r>
            <w:r>
              <w:rPr>
                <w:rFonts w:hint="eastAsia" w:ascii="仿宋_GB2312" w:hAnsi="宋体" w:eastAsia="仿宋_GB2312" w:cs="仿宋_GB2312"/>
                <w:kern w:val="0"/>
                <w:sz w:val="18"/>
                <w:szCs w:val="18"/>
                <w:lang w:bidi="ar"/>
              </w:rPr>
              <w:t>个人处1000元以上3000元以下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r>
              <w:rPr>
                <w:rFonts w:hint="eastAsia" w:ascii="仿宋_GB2312" w:hAnsi="宋体" w:eastAsia="仿宋_GB2312" w:cs="仿宋_GB2312"/>
                <w:kern w:val="0"/>
                <w:sz w:val="18"/>
                <w:szCs w:val="18"/>
                <w:lang w:val="en-US" w:eastAsia="zh-CN" w:bidi="ar"/>
              </w:rPr>
              <w:t>对</w:t>
            </w:r>
            <w:r>
              <w:rPr>
                <w:rFonts w:hint="eastAsia" w:ascii="仿宋_GB2312" w:hAnsi="宋体" w:eastAsia="仿宋_GB2312" w:cs="仿宋_GB2312"/>
                <w:kern w:val="0"/>
                <w:sz w:val="18"/>
                <w:szCs w:val="18"/>
                <w:lang w:bidi="ar"/>
              </w:rPr>
              <w:t>单位处5000以上6000元以下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2CE540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3"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D4D01C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111087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A5A67B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390B1A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5AAD87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27C8E93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违反《山东省电力设施和电能保护条例》第十三条相关规定，未引发输电线路事故或电力设施损坏。整改期间未按要求及时停止违法行为或未按要求限期改正，造成电力设施故障的。</w:t>
            </w:r>
          </w:p>
        </w:tc>
        <w:tc>
          <w:tcPr>
            <w:tcW w:w="2655" w:type="dxa"/>
            <w:tcBorders>
              <w:tl2br w:val="nil"/>
              <w:tr2bl w:val="nil"/>
            </w:tcBorders>
            <w:shd w:val="clear" w:color="auto" w:fill="auto"/>
            <w:tcMar>
              <w:top w:w="15" w:type="dxa"/>
              <w:left w:w="15" w:type="dxa"/>
              <w:right w:w="15" w:type="dxa"/>
            </w:tcMar>
            <w:vAlign w:val="center"/>
          </w:tcPr>
          <w:p w14:paraId="3F7E186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val="en-US" w:eastAsia="zh-CN" w:bidi="ar"/>
              </w:rPr>
              <w:t>对个人处3000元以上6000元以下的罚款；对</w:t>
            </w:r>
            <w:r>
              <w:rPr>
                <w:rFonts w:hint="eastAsia" w:ascii="仿宋_GB2312" w:hAnsi="宋体" w:eastAsia="仿宋_GB2312" w:cs="仿宋_GB2312"/>
                <w:kern w:val="0"/>
                <w:sz w:val="18"/>
                <w:szCs w:val="18"/>
                <w:lang w:bidi="ar"/>
              </w:rPr>
              <w:t>单位处6000以上8000元以下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2AC23D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68"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B42676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29B240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43243F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8D6666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FEA8B2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5FE5A15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违反《山东省电力设施和电能保护条例》第十三条相关规定，造成输电线路倒杆断线等严重后果的。</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违反《山东省电力设施和电能保护条例》第十三条相关规定，造成变压器损坏等严重后果的。</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违反《山东省电力设施和电能保护条例》第十三条相关规定，造成大面积停电等电网安全事故的。</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违反《山东省电力设施和电能保护条例》第十三条相关规定，拒不停止违法行为或改正的。</w:t>
            </w:r>
          </w:p>
        </w:tc>
        <w:tc>
          <w:tcPr>
            <w:tcW w:w="2655" w:type="dxa"/>
            <w:tcBorders>
              <w:tl2br w:val="nil"/>
              <w:tr2bl w:val="nil"/>
            </w:tcBorders>
            <w:shd w:val="clear" w:color="auto" w:fill="auto"/>
            <w:tcMar>
              <w:top w:w="15" w:type="dxa"/>
              <w:left w:w="15" w:type="dxa"/>
              <w:right w:w="15" w:type="dxa"/>
            </w:tcMar>
            <w:vAlign w:val="center"/>
          </w:tcPr>
          <w:p w14:paraId="7D51E59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val="en-US" w:eastAsia="zh-CN" w:bidi="ar"/>
              </w:rPr>
              <w:t>对个人处6000元以上10000元以下的的罚款；对</w:t>
            </w:r>
            <w:r>
              <w:rPr>
                <w:rFonts w:hint="eastAsia" w:ascii="仿宋_GB2312" w:hAnsi="宋体" w:eastAsia="仿宋_GB2312" w:cs="仿宋_GB2312"/>
                <w:kern w:val="0"/>
                <w:sz w:val="18"/>
                <w:szCs w:val="18"/>
                <w:lang w:bidi="ar"/>
              </w:rPr>
              <w:t>单位处8000元以上1万元以下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3F05D4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2A94A0C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2</w:t>
            </w:r>
            <w:r>
              <w:rPr>
                <w:rFonts w:hint="eastAsia" w:ascii="仿宋_GB2312" w:hAnsi="宋体" w:eastAsia="仿宋_GB2312" w:cs="仿宋_GB2312"/>
                <w:kern w:val="0"/>
                <w:sz w:val="18"/>
                <w:szCs w:val="18"/>
                <w:lang w:val="en-US" w:eastAsia="zh-CN" w:bidi="ar"/>
              </w:rPr>
              <w:t>2</w:t>
            </w:r>
            <w:del w:id="3100" w:author="LV" w:date="2026-07-14T17:15:52Z">
              <w:r>
                <w:rPr>
                  <w:rFonts w:hint="default" w:ascii="仿宋_GB2312" w:hAnsi="宋体" w:eastAsia="仿宋_GB2312" w:cs="仿宋_GB2312"/>
                  <w:kern w:val="0"/>
                  <w:sz w:val="18"/>
                  <w:szCs w:val="18"/>
                  <w:lang w:val="en-US" w:eastAsia="zh-CN" w:bidi="ar"/>
                </w:rPr>
                <w:delText>0</w:delText>
              </w:r>
            </w:del>
            <w:ins w:id="3101" w:author="LV" w:date="2026-07-14T17:15:52Z">
              <w:r>
                <w:rPr>
                  <w:rFonts w:hint="eastAsia" w:ascii="仿宋_GB2312" w:hAnsi="宋体" w:eastAsia="仿宋_GB2312" w:cs="仿宋_GB2312"/>
                  <w:kern w:val="0"/>
                  <w:sz w:val="18"/>
                  <w:szCs w:val="18"/>
                  <w:lang w:val="en-US" w:eastAsia="zh-CN" w:bidi="ar"/>
                </w:rPr>
                <w:t>7</w:t>
              </w:r>
            </w:ins>
          </w:p>
        </w:tc>
        <w:tc>
          <w:tcPr>
            <w:tcW w:w="1005" w:type="dxa"/>
            <w:vMerge w:val="restart"/>
            <w:tcBorders>
              <w:tl2br w:val="nil"/>
              <w:tr2bl w:val="nil"/>
            </w:tcBorders>
            <w:shd w:val="clear" w:color="auto" w:fill="auto"/>
            <w:tcMar>
              <w:top w:w="15" w:type="dxa"/>
              <w:left w:w="15" w:type="dxa"/>
              <w:right w:w="15" w:type="dxa"/>
            </w:tcMar>
            <w:vAlign w:val="center"/>
          </w:tcPr>
          <w:p w14:paraId="5DAC919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对在电缆保护区、输送管路保护区内从事违法活动</w:t>
            </w:r>
          </w:p>
        </w:tc>
        <w:tc>
          <w:tcPr>
            <w:tcW w:w="3667" w:type="dxa"/>
            <w:vMerge w:val="restart"/>
            <w:tcBorders>
              <w:tl2br w:val="nil"/>
              <w:tr2bl w:val="nil"/>
            </w:tcBorders>
            <w:shd w:val="clear" w:color="auto" w:fill="auto"/>
            <w:tcMar>
              <w:top w:w="15" w:type="dxa"/>
              <w:left w:w="15" w:type="dxa"/>
              <w:right w:w="15" w:type="dxa"/>
            </w:tcMar>
            <w:vAlign w:val="center"/>
          </w:tcPr>
          <w:p w14:paraId="36A65D0A">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bidi="ar"/>
              </w:rPr>
              <w:t>《电力设施保护条例》第十五条</w:t>
            </w:r>
            <w:r>
              <w:rPr>
                <w:rFonts w:hint="eastAsia" w:ascii="仿宋_GB2312" w:hAnsi="宋体" w:eastAsia="仿宋_GB2312" w:cs="仿宋_GB2312"/>
                <w:spacing w:val="-5"/>
                <w:kern w:val="0"/>
                <w:sz w:val="18"/>
                <w:szCs w:val="18"/>
                <w:lang w:eastAsia="zh-CN" w:bidi="ar"/>
              </w:rPr>
              <w:t xml:space="preserve"> </w:t>
            </w:r>
            <w:r>
              <w:rPr>
                <w:rFonts w:hint="eastAsia" w:ascii="仿宋_GB2312" w:hAnsi="宋体" w:eastAsia="仿宋_GB2312" w:cs="仿宋_GB2312"/>
                <w:spacing w:val="-5"/>
                <w:kern w:val="0"/>
                <w:sz w:val="18"/>
                <w:szCs w:val="18"/>
                <w:lang w:bidi="ar"/>
              </w:rPr>
              <w:t>任何单位或个人在架空电力线路保护区内，必须遵守下列规定：</w:t>
            </w:r>
            <w:r>
              <w:rPr>
                <w:rFonts w:hint="eastAsia" w:ascii="仿宋_GB2312" w:hAnsi="宋体" w:eastAsia="仿宋_GB2312" w:cs="仿宋_GB2312"/>
                <w:spacing w:val="-5"/>
                <w:kern w:val="0"/>
                <w:sz w:val="18"/>
                <w:szCs w:val="18"/>
                <w:lang w:bidi="ar"/>
              </w:rPr>
              <w:br w:type="textWrapping"/>
            </w:r>
            <w:r>
              <w:rPr>
                <w:rFonts w:hint="eastAsia" w:ascii="仿宋_GB2312" w:hAnsi="宋体" w:eastAsia="仿宋_GB2312" w:cs="仿宋_GB2312"/>
                <w:spacing w:val="-5"/>
                <w:kern w:val="0"/>
                <w:sz w:val="18"/>
                <w:szCs w:val="18"/>
                <w:lang w:bidi="ar"/>
              </w:rPr>
              <w:t>(一)不得堆放谷物、草料、垃圾、矿渣、易燃物、易爆物及其他影响安全供电的物品；</w:t>
            </w:r>
            <w:r>
              <w:rPr>
                <w:rFonts w:hint="eastAsia" w:ascii="仿宋_GB2312" w:hAnsi="宋体" w:eastAsia="仿宋_GB2312" w:cs="仿宋_GB2312"/>
                <w:spacing w:val="-5"/>
                <w:kern w:val="0"/>
                <w:sz w:val="18"/>
                <w:szCs w:val="18"/>
                <w:lang w:bidi="ar"/>
              </w:rPr>
              <w:br w:type="textWrapping"/>
            </w:r>
            <w:r>
              <w:rPr>
                <w:rFonts w:hint="eastAsia" w:ascii="仿宋_GB2312" w:hAnsi="宋体" w:eastAsia="仿宋_GB2312" w:cs="仿宋_GB2312"/>
                <w:spacing w:val="-5"/>
                <w:kern w:val="0"/>
                <w:sz w:val="18"/>
                <w:szCs w:val="18"/>
                <w:lang w:bidi="ar"/>
              </w:rPr>
              <w:t>(二)不得烧窑、烧荒；</w:t>
            </w:r>
            <w:r>
              <w:rPr>
                <w:rFonts w:hint="eastAsia" w:ascii="仿宋_GB2312" w:hAnsi="宋体" w:eastAsia="仿宋_GB2312" w:cs="仿宋_GB2312"/>
                <w:spacing w:val="-5"/>
                <w:kern w:val="0"/>
                <w:sz w:val="18"/>
                <w:szCs w:val="18"/>
                <w:lang w:bidi="ar"/>
              </w:rPr>
              <w:br w:type="textWrapping"/>
            </w:r>
            <w:r>
              <w:rPr>
                <w:rFonts w:hint="eastAsia" w:ascii="仿宋_GB2312" w:hAnsi="宋体" w:eastAsia="仿宋_GB2312" w:cs="仿宋_GB2312"/>
                <w:spacing w:val="-5"/>
                <w:kern w:val="0"/>
                <w:sz w:val="18"/>
                <w:szCs w:val="18"/>
                <w:lang w:bidi="ar"/>
              </w:rPr>
              <w:t>(三)不得兴建建筑物、构筑物；</w:t>
            </w:r>
            <w:r>
              <w:rPr>
                <w:rFonts w:hint="eastAsia" w:ascii="仿宋_GB2312" w:hAnsi="宋体" w:eastAsia="仿宋_GB2312" w:cs="仿宋_GB2312"/>
                <w:spacing w:val="-5"/>
                <w:kern w:val="0"/>
                <w:sz w:val="18"/>
                <w:szCs w:val="18"/>
                <w:lang w:bidi="ar"/>
              </w:rPr>
              <w:br w:type="textWrapping"/>
            </w:r>
            <w:r>
              <w:rPr>
                <w:rFonts w:hint="eastAsia" w:ascii="仿宋_GB2312" w:hAnsi="宋体" w:eastAsia="仿宋_GB2312" w:cs="仿宋_GB2312"/>
                <w:spacing w:val="-5"/>
                <w:kern w:val="0"/>
                <w:sz w:val="18"/>
                <w:szCs w:val="18"/>
                <w:lang w:bidi="ar"/>
              </w:rPr>
              <w:t>(四)不得种植可能危及电力设施安全的植物。</w:t>
            </w:r>
            <w:r>
              <w:rPr>
                <w:rFonts w:hint="eastAsia" w:ascii="仿宋_GB2312" w:hAnsi="宋体" w:eastAsia="仿宋_GB2312" w:cs="仿宋_GB2312"/>
                <w:spacing w:val="-5"/>
                <w:kern w:val="0"/>
                <w:sz w:val="18"/>
                <w:szCs w:val="18"/>
                <w:lang w:bidi="ar"/>
              </w:rPr>
              <w:br w:type="textWrapping"/>
            </w:r>
            <w:r>
              <w:rPr>
                <w:rFonts w:hint="eastAsia" w:ascii="仿宋_GB2312" w:hAnsi="宋体" w:eastAsia="仿宋_GB2312" w:cs="仿宋_GB2312"/>
                <w:spacing w:val="-5"/>
                <w:kern w:val="0"/>
                <w:sz w:val="18"/>
                <w:szCs w:val="18"/>
                <w:lang w:bidi="ar"/>
              </w:rPr>
              <w:t>《山东省电力设施和电能保护条例》第十四条</w:t>
            </w:r>
            <w:r>
              <w:rPr>
                <w:rFonts w:hint="eastAsia" w:ascii="仿宋_GB2312" w:hAnsi="宋体" w:eastAsia="仿宋_GB2312" w:cs="仿宋_GB2312"/>
                <w:spacing w:val="-5"/>
                <w:kern w:val="0"/>
                <w:sz w:val="18"/>
                <w:szCs w:val="18"/>
                <w:lang w:eastAsia="zh-CN" w:bidi="ar"/>
              </w:rPr>
              <w:t xml:space="preserve"> </w:t>
            </w:r>
            <w:r>
              <w:rPr>
                <w:rFonts w:hint="eastAsia" w:ascii="仿宋_GB2312" w:hAnsi="宋体" w:eastAsia="仿宋_GB2312" w:cs="仿宋_GB2312"/>
                <w:spacing w:val="-5"/>
                <w:kern w:val="0"/>
                <w:sz w:val="18"/>
                <w:szCs w:val="18"/>
                <w:lang w:bidi="ar"/>
              </w:rPr>
              <w:t xml:space="preserve"> 任何单位和个人不得在电力线路保护区</w:t>
            </w:r>
            <w:r>
              <w:rPr>
                <w:rFonts w:hint="eastAsia" w:ascii="仿宋_GB2312" w:hAnsi="宋体" w:eastAsia="仿宋_GB2312" w:cs="仿宋_GB2312"/>
                <w:spacing w:val="-5"/>
                <w:kern w:val="0"/>
                <w:sz w:val="18"/>
                <w:szCs w:val="18"/>
                <w:lang w:val="en-US" w:eastAsia="zh-CN" w:bidi="ar"/>
              </w:rPr>
              <w:t>以及</w:t>
            </w:r>
            <w:r>
              <w:rPr>
                <w:rFonts w:hint="eastAsia" w:ascii="仿宋_GB2312" w:hAnsi="宋体" w:eastAsia="仿宋_GB2312" w:cs="仿宋_GB2312"/>
                <w:spacing w:val="-5"/>
                <w:kern w:val="0"/>
                <w:sz w:val="18"/>
                <w:szCs w:val="18"/>
                <w:lang w:bidi="ar"/>
              </w:rPr>
              <w:t>输送管路保护区内实施下列行为:</w:t>
            </w:r>
            <w:r>
              <w:rPr>
                <w:rFonts w:hint="eastAsia" w:ascii="仿宋_GB2312" w:hAnsi="宋体" w:eastAsia="仿宋_GB2312" w:cs="仿宋_GB2312"/>
                <w:spacing w:val="-5"/>
                <w:kern w:val="0"/>
                <w:sz w:val="18"/>
                <w:szCs w:val="18"/>
                <w:lang w:bidi="ar"/>
              </w:rPr>
              <w:br w:type="textWrapping"/>
            </w:r>
            <w:r>
              <w:rPr>
                <w:rFonts w:hint="eastAsia" w:ascii="仿宋_GB2312" w:hAnsi="宋体" w:eastAsia="仿宋_GB2312" w:cs="仿宋_GB2312"/>
                <w:spacing w:val="-5"/>
                <w:kern w:val="0"/>
                <w:sz w:val="18"/>
                <w:szCs w:val="18"/>
                <w:lang w:bidi="ar"/>
              </w:rPr>
              <w:t>（一）在架空电力线路保护区内烧窑、烧荒、焚烧秸秆，修建建筑物、构筑物，种植可能危及电力设施安全的植物，堆放谷物、草料、易燃易爆物品和垃圾、矿渣</w:t>
            </w:r>
            <w:r>
              <w:rPr>
                <w:rFonts w:hint="eastAsia" w:ascii="仿宋_GB2312" w:hAnsi="宋体" w:eastAsia="仿宋_GB2312" w:cs="仿宋_GB2312"/>
                <w:spacing w:val="-5"/>
                <w:kern w:val="0"/>
                <w:sz w:val="18"/>
                <w:szCs w:val="18"/>
                <w:lang w:val="en-US" w:eastAsia="zh-CN" w:bidi="ar"/>
              </w:rPr>
              <w:t>以</w:t>
            </w:r>
            <w:r>
              <w:rPr>
                <w:rFonts w:hint="eastAsia" w:ascii="仿宋_GB2312" w:hAnsi="宋体" w:eastAsia="仿宋_GB2312" w:cs="仿宋_GB2312"/>
                <w:spacing w:val="-5"/>
                <w:kern w:val="0"/>
                <w:sz w:val="18"/>
                <w:szCs w:val="18"/>
                <w:lang w:bidi="ar"/>
              </w:rPr>
              <w:t>及其他堆积物，垂钓、燃放烟花爆竹或者制作、存放、悬挂气球等易漂浮的物体；</w:t>
            </w:r>
            <w:r>
              <w:rPr>
                <w:rFonts w:hint="eastAsia" w:ascii="仿宋_GB2312" w:hAnsi="宋体" w:eastAsia="仿宋_GB2312" w:cs="仿宋_GB2312"/>
                <w:spacing w:val="-5"/>
                <w:kern w:val="0"/>
                <w:sz w:val="18"/>
                <w:szCs w:val="18"/>
                <w:lang w:bidi="ar"/>
              </w:rPr>
              <w:br w:type="textWrapping"/>
            </w:r>
            <w:r>
              <w:rPr>
                <w:rFonts w:hint="eastAsia" w:ascii="仿宋_GB2312" w:hAnsi="宋体" w:eastAsia="仿宋_GB2312" w:cs="仿宋_GB2312"/>
                <w:spacing w:val="-5"/>
                <w:kern w:val="0"/>
                <w:sz w:val="18"/>
                <w:szCs w:val="18"/>
                <w:lang w:bidi="ar"/>
              </w:rPr>
              <w:t>（二）在地下电缆保护区内堆放垃圾、矿渣、易燃易爆物品，倾倒酸、碱、盐</w:t>
            </w:r>
            <w:r>
              <w:rPr>
                <w:rFonts w:hint="eastAsia" w:ascii="仿宋_GB2312" w:hAnsi="宋体" w:eastAsia="仿宋_GB2312" w:cs="仿宋_GB2312"/>
                <w:spacing w:val="-5"/>
                <w:kern w:val="0"/>
                <w:sz w:val="18"/>
                <w:szCs w:val="18"/>
                <w:lang w:val="en-US" w:eastAsia="zh-CN" w:bidi="ar"/>
              </w:rPr>
              <w:t>以及</w:t>
            </w:r>
            <w:r>
              <w:rPr>
                <w:rFonts w:hint="eastAsia" w:ascii="仿宋_GB2312" w:hAnsi="宋体" w:eastAsia="仿宋_GB2312" w:cs="仿宋_GB2312"/>
                <w:spacing w:val="-5"/>
                <w:kern w:val="0"/>
                <w:sz w:val="18"/>
                <w:szCs w:val="18"/>
                <w:lang w:bidi="ar"/>
              </w:rPr>
              <w:t>其他有害化学物品，修建建筑物、构筑物或者种植树木；</w:t>
            </w:r>
            <w:r>
              <w:rPr>
                <w:rFonts w:hint="eastAsia" w:ascii="仿宋_GB2312" w:hAnsi="宋体" w:eastAsia="仿宋_GB2312" w:cs="仿宋_GB2312"/>
                <w:spacing w:val="-5"/>
                <w:kern w:val="0"/>
                <w:sz w:val="18"/>
                <w:szCs w:val="18"/>
                <w:lang w:bidi="ar"/>
              </w:rPr>
              <w:br w:type="textWrapping"/>
            </w:r>
            <w:r>
              <w:rPr>
                <w:rFonts w:hint="eastAsia" w:ascii="仿宋_GB2312" w:hAnsi="宋体" w:eastAsia="仿宋_GB2312" w:cs="仿宋_GB2312"/>
                <w:spacing w:val="-5"/>
                <w:kern w:val="0"/>
                <w:sz w:val="18"/>
                <w:szCs w:val="18"/>
                <w:lang w:bidi="ar"/>
              </w:rPr>
              <w:t>（三）在水底电缆保护区内挖砂、钻探、打桩、抛锚、拖锚、底拖捕捞、张网、养殖；</w:t>
            </w:r>
            <w:r>
              <w:rPr>
                <w:rFonts w:hint="eastAsia" w:ascii="仿宋_GB2312" w:hAnsi="宋体" w:eastAsia="仿宋_GB2312" w:cs="仿宋_GB2312"/>
                <w:spacing w:val="-5"/>
                <w:kern w:val="0"/>
                <w:sz w:val="18"/>
                <w:szCs w:val="18"/>
                <w:lang w:bidi="ar"/>
              </w:rPr>
              <w:br w:type="textWrapping"/>
            </w:r>
            <w:r>
              <w:rPr>
                <w:rFonts w:hint="eastAsia" w:ascii="仿宋_GB2312" w:hAnsi="宋体" w:eastAsia="仿宋_GB2312" w:cs="仿宋_GB2312"/>
                <w:spacing w:val="-5"/>
                <w:kern w:val="0"/>
                <w:sz w:val="18"/>
                <w:szCs w:val="18"/>
                <w:lang w:bidi="ar"/>
              </w:rPr>
              <w:t>（四）在输送管路保护区内采石、取土、钻探、挖掘，倾倒酸、碱、盐</w:t>
            </w:r>
            <w:r>
              <w:rPr>
                <w:rFonts w:hint="eastAsia" w:ascii="仿宋_GB2312" w:hAnsi="宋体" w:eastAsia="仿宋_GB2312" w:cs="仿宋_GB2312"/>
                <w:spacing w:val="-5"/>
                <w:kern w:val="0"/>
                <w:sz w:val="18"/>
                <w:szCs w:val="18"/>
                <w:lang w:val="en-US" w:eastAsia="zh-CN" w:bidi="ar"/>
              </w:rPr>
              <w:t>以及</w:t>
            </w:r>
            <w:r>
              <w:rPr>
                <w:rFonts w:hint="eastAsia" w:ascii="仿宋_GB2312" w:hAnsi="宋体" w:eastAsia="仿宋_GB2312" w:cs="仿宋_GB2312"/>
                <w:spacing w:val="-5"/>
                <w:kern w:val="0"/>
                <w:sz w:val="18"/>
                <w:szCs w:val="18"/>
                <w:lang w:bidi="ar"/>
              </w:rPr>
              <w:t>其他有害化学物品，堆放垃圾和矿渣，放置易燃易爆物品，修建建筑物、构筑物；在水底冲灰管道保护区抛锚、拖锚、捕捞。</w:t>
            </w:r>
          </w:p>
          <w:p w14:paraId="2D07168D">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spacing w:val="-5"/>
                <w:kern w:val="0"/>
                <w:sz w:val="18"/>
                <w:szCs w:val="18"/>
                <w:lang w:bidi="ar"/>
              </w:rPr>
              <w:t>在电力线路保护区以及邻近区域使用和运输彩钢瓦、铁皮、塑料薄膜、反光膜、防尘（晒）网等轻质材料的，应当采取必要的安全防护措施，防止因掉落、脱落、飘浮影响电力运行安全。</w:t>
            </w:r>
          </w:p>
        </w:tc>
        <w:tc>
          <w:tcPr>
            <w:tcW w:w="4082" w:type="dxa"/>
            <w:vMerge w:val="restart"/>
            <w:tcBorders>
              <w:tl2br w:val="nil"/>
              <w:tr2bl w:val="nil"/>
            </w:tcBorders>
            <w:shd w:val="clear" w:color="auto" w:fill="auto"/>
            <w:tcMar>
              <w:top w:w="15" w:type="dxa"/>
              <w:left w:w="15" w:type="dxa"/>
              <w:right w:w="15" w:type="dxa"/>
            </w:tcMar>
            <w:vAlign w:val="center"/>
          </w:tcPr>
          <w:p w14:paraId="2343E7B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《山东省电力设施和电能保护条例》第五十条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违反本条例第十二条、第十三条、第十四条第一款、第十五条规定的，由</w:t>
            </w:r>
            <w:r>
              <w:rPr>
                <w:rFonts w:hint="eastAsia" w:ascii="仿宋_GB2312" w:hAnsi="宋体" w:eastAsia="仿宋_GB2312" w:cs="仿宋_GB2312"/>
                <w:kern w:val="0"/>
                <w:sz w:val="18"/>
                <w:szCs w:val="18"/>
                <w:lang w:eastAsia="zh-CN" w:bidi="ar"/>
              </w:rPr>
              <w:t>电力管理部门</w:t>
            </w:r>
            <w:r>
              <w:rPr>
                <w:rFonts w:hint="eastAsia" w:ascii="仿宋_GB2312" w:hAnsi="宋体" w:eastAsia="仿宋_GB2312" w:cs="仿宋_GB2312"/>
                <w:kern w:val="0"/>
                <w:sz w:val="18"/>
                <w:szCs w:val="18"/>
                <w:lang w:bidi="ar"/>
              </w:rPr>
              <w:t>责令停止违法行为或者责令改正；拒不停止违法行为或者改正的，对个人处一千元以上</w:t>
            </w:r>
            <w:r>
              <w:rPr>
                <w:rFonts w:hint="eastAsia" w:ascii="仿宋_GB2312" w:hAnsi="宋体" w:eastAsia="仿宋_GB2312" w:cs="仿宋_GB2312"/>
                <w:kern w:val="0"/>
                <w:sz w:val="18"/>
                <w:szCs w:val="18"/>
                <w:lang w:val="en-US" w:eastAsia="zh-CN" w:bidi="ar"/>
              </w:rPr>
              <w:t>一万元</w:t>
            </w:r>
            <w:r>
              <w:rPr>
                <w:rFonts w:hint="eastAsia" w:ascii="仿宋_GB2312" w:hAnsi="宋体" w:eastAsia="仿宋_GB2312" w:cs="仿宋_GB2312"/>
                <w:kern w:val="0"/>
                <w:sz w:val="18"/>
                <w:szCs w:val="18"/>
                <w:lang w:bidi="ar"/>
              </w:rPr>
              <w:t>以下罚款，对单位处五千元以上一万元以下罚款。构成违反治安管理行为的，由公安机关依法处罚；构成犯罪的，依法追究刑事责任。</w:t>
            </w:r>
          </w:p>
        </w:tc>
        <w:tc>
          <w:tcPr>
            <w:tcW w:w="459" w:type="dxa"/>
            <w:tcBorders>
              <w:tl2br w:val="nil"/>
              <w:tr2bl w:val="nil"/>
            </w:tcBorders>
            <w:shd w:val="clear" w:color="auto" w:fill="auto"/>
            <w:noWrap/>
            <w:tcMar>
              <w:top w:w="15" w:type="dxa"/>
              <w:left w:w="15" w:type="dxa"/>
              <w:right w:w="15" w:type="dxa"/>
            </w:tcMar>
            <w:vAlign w:val="center"/>
          </w:tcPr>
          <w:p w14:paraId="26FAA79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0645D46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B60DD0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B8742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9D1B46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49754B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DB51B6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621708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4C71CB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660AC1C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6CE3996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AB1C1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E20E56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FF85B9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F697B1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389FBA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5CE5BA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7F218D7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F7C99D4">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2FC4F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D34B52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743534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D2B69D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8B6312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015BA9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0F2AEA6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违反《山东省电力设施和电能保护条例》第十四条相关规定，未引发输电线路故障、事故或电缆通道、输送管路设施损坏，整改期间未按要求及时停止违法行为或未按要求限期改正的，未造成其他损失的。</w:t>
            </w:r>
          </w:p>
        </w:tc>
        <w:tc>
          <w:tcPr>
            <w:tcW w:w="2655" w:type="dxa"/>
            <w:tcBorders>
              <w:tl2br w:val="nil"/>
              <w:tr2bl w:val="nil"/>
            </w:tcBorders>
            <w:shd w:val="clear" w:color="auto" w:fill="auto"/>
            <w:tcMar>
              <w:top w:w="15" w:type="dxa"/>
              <w:left w:w="15" w:type="dxa"/>
              <w:right w:w="15" w:type="dxa"/>
            </w:tcMar>
            <w:vAlign w:val="center"/>
          </w:tcPr>
          <w:p w14:paraId="2242F89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val="en-US" w:eastAsia="zh-CN" w:bidi="ar"/>
              </w:rPr>
              <w:t>对</w:t>
            </w:r>
            <w:r>
              <w:rPr>
                <w:rFonts w:hint="eastAsia" w:ascii="仿宋_GB2312" w:hAnsi="宋体" w:eastAsia="仿宋_GB2312" w:cs="仿宋_GB2312"/>
                <w:kern w:val="0"/>
                <w:sz w:val="18"/>
                <w:szCs w:val="18"/>
                <w:lang w:bidi="ar"/>
              </w:rPr>
              <w:t>个人处1000元以上3000元以下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r>
              <w:rPr>
                <w:rFonts w:hint="eastAsia" w:ascii="仿宋_GB2312" w:hAnsi="宋体" w:eastAsia="仿宋_GB2312" w:cs="仿宋_GB2312"/>
                <w:kern w:val="0"/>
                <w:sz w:val="18"/>
                <w:szCs w:val="18"/>
                <w:lang w:val="en-US" w:eastAsia="zh-CN" w:bidi="ar"/>
              </w:rPr>
              <w:t>对</w:t>
            </w:r>
            <w:r>
              <w:rPr>
                <w:rFonts w:hint="eastAsia" w:ascii="仿宋_GB2312" w:hAnsi="宋体" w:eastAsia="仿宋_GB2312" w:cs="仿宋_GB2312"/>
                <w:kern w:val="0"/>
                <w:sz w:val="18"/>
                <w:szCs w:val="18"/>
                <w:lang w:bidi="ar"/>
              </w:rPr>
              <w:t>单位处5000以上6000元以下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553639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bottom w:val="single" w:color="auto" w:sz="4" w:space="0"/>
              <w:tl2br w:val="nil"/>
              <w:tr2bl w:val="nil"/>
            </w:tcBorders>
            <w:shd w:val="clear" w:color="auto" w:fill="auto"/>
            <w:noWrap/>
            <w:tcMar>
              <w:top w:w="15" w:type="dxa"/>
              <w:left w:w="15" w:type="dxa"/>
              <w:right w:w="15" w:type="dxa"/>
            </w:tcMar>
            <w:vAlign w:val="center"/>
          </w:tcPr>
          <w:p w14:paraId="2E56C07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bottom w:val="single" w:color="auto" w:sz="4" w:space="0"/>
              <w:tl2br w:val="nil"/>
              <w:tr2bl w:val="nil"/>
            </w:tcBorders>
            <w:shd w:val="clear" w:color="auto" w:fill="auto"/>
            <w:tcMar>
              <w:top w:w="15" w:type="dxa"/>
              <w:left w:w="15" w:type="dxa"/>
              <w:right w:w="15" w:type="dxa"/>
            </w:tcMar>
            <w:vAlign w:val="center"/>
          </w:tcPr>
          <w:p w14:paraId="2A905D4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bottom w:val="single" w:color="auto" w:sz="4" w:space="0"/>
              <w:tl2br w:val="nil"/>
              <w:tr2bl w:val="nil"/>
            </w:tcBorders>
            <w:shd w:val="clear" w:color="auto" w:fill="auto"/>
            <w:tcMar>
              <w:top w:w="15" w:type="dxa"/>
              <w:left w:w="15" w:type="dxa"/>
              <w:right w:w="15" w:type="dxa"/>
            </w:tcMar>
            <w:vAlign w:val="center"/>
          </w:tcPr>
          <w:p w14:paraId="2F48DFB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bottom w:val="single" w:color="auto" w:sz="4" w:space="0"/>
              <w:tl2br w:val="nil"/>
              <w:tr2bl w:val="nil"/>
            </w:tcBorders>
            <w:shd w:val="clear" w:color="auto" w:fill="auto"/>
            <w:tcMar>
              <w:top w:w="15" w:type="dxa"/>
              <w:left w:w="15" w:type="dxa"/>
              <w:right w:w="15" w:type="dxa"/>
            </w:tcMar>
            <w:vAlign w:val="center"/>
          </w:tcPr>
          <w:p w14:paraId="2F707C4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bottom w:val="single" w:color="auto" w:sz="4" w:space="0"/>
              <w:tl2br w:val="nil"/>
              <w:tr2bl w:val="nil"/>
            </w:tcBorders>
            <w:shd w:val="clear" w:color="auto" w:fill="auto"/>
            <w:noWrap/>
            <w:tcMar>
              <w:top w:w="15" w:type="dxa"/>
              <w:left w:w="15" w:type="dxa"/>
              <w:right w:w="15" w:type="dxa"/>
            </w:tcMar>
            <w:vAlign w:val="center"/>
          </w:tcPr>
          <w:p w14:paraId="2BA162A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bottom w:val="single" w:color="auto" w:sz="4" w:space="0"/>
              <w:tl2br w:val="nil"/>
              <w:tr2bl w:val="nil"/>
            </w:tcBorders>
            <w:shd w:val="clear" w:color="auto" w:fill="auto"/>
            <w:tcMar>
              <w:top w:w="15" w:type="dxa"/>
              <w:left w:w="15" w:type="dxa"/>
              <w:right w:w="15" w:type="dxa"/>
            </w:tcMar>
            <w:vAlign w:val="center"/>
          </w:tcPr>
          <w:p w14:paraId="4371271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违反《山东省电力设施和电能保护条例》第十四条相关规定，未引发事故或电缆通道、输送管路设施损坏，整改期间未按要求及时停止违法行为或未按要求限期改正的，造成电力设施故障，且抢修恢复费用在1万元以内的。</w:t>
            </w:r>
          </w:p>
        </w:tc>
        <w:tc>
          <w:tcPr>
            <w:tcW w:w="2655" w:type="dxa"/>
            <w:tcBorders>
              <w:bottom w:val="single" w:color="auto" w:sz="4" w:space="0"/>
              <w:tl2br w:val="nil"/>
              <w:tr2bl w:val="nil"/>
            </w:tcBorders>
            <w:shd w:val="clear" w:color="auto" w:fill="auto"/>
            <w:tcMar>
              <w:top w:w="15" w:type="dxa"/>
              <w:left w:w="15" w:type="dxa"/>
              <w:right w:w="15" w:type="dxa"/>
            </w:tcMar>
            <w:vAlign w:val="center"/>
          </w:tcPr>
          <w:p w14:paraId="14482A0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val="en-US" w:eastAsia="zh-CN" w:bidi="ar"/>
              </w:rPr>
              <w:t>对个人处3000元以上6000元以下的罚款；对</w:t>
            </w:r>
            <w:r>
              <w:rPr>
                <w:rFonts w:hint="eastAsia" w:ascii="仿宋_GB2312" w:hAnsi="宋体" w:eastAsia="仿宋_GB2312" w:cs="仿宋_GB2312"/>
                <w:kern w:val="0"/>
                <w:sz w:val="18"/>
                <w:szCs w:val="18"/>
                <w:lang w:bidi="ar"/>
              </w:rPr>
              <w:t>单位处6000元以上8000元以下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6AE3DF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23" w:hRule="atLeast"/>
          <w:jc w:val="center"/>
        </w:trPr>
        <w:tc>
          <w:tcPr>
            <w:tcW w:w="418" w:type="dxa"/>
            <w:tcBorders>
              <w:top w:val="single" w:color="auto" w:sz="4" w:space="0"/>
              <w:tl2br w:val="nil"/>
              <w:tr2bl w:val="nil"/>
            </w:tcBorders>
            <w:shd w:val="clear" w:color="auto" w:fill="auto"/>
            <w:noWrap/>
            <w:tcMar>
              <w:top w:w="15" w:type="dxa"/>
              <w:left w:w="15" w:type="dxa"/>
              <w:right w:w="15" w:type="dxa"/>
            </w:tcMar>
            <w:vAlign w:val="center"/>
          </w:tcPr>
          <w:p w14:paraId="688CCC5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kern w:val="2"/>
                <w:sz w:val="18"/>
                <w:szCs w:val="18"/>
                <w:lang w:val="en-US" w:eastAsia="zh-CN" w:bidi="ar-SA"/>
              </w:rPr>
            </w:pPr>
            <w:del w:id="3102" w:author="LV" w:date="2026-07-14T17:16:01Z">
              <w:r>
                <w:rPr>
                  <w:rFonts w:hint="eastAsia" w:ascii="仿宋_GB2312" w:hAnsi="宋体" w:eastAsia="仿宋_GB2312" w:cs="仿宋_GB2312"/>
                  <w:kern w:val="0"/>
                  <w:sz w:val="18"/>
                  <w:szCs w:val="18"/>
                  <w:lang w:bidi="ar"/>
                </w:rPr>
                <w:delText>2</w:delText>
              </w:r>
            </w:del>
            <w:del w:id="3103" w:author="LV" w:date="2026-07-14T17:16:01Z">
              <w:r>
                <w:rPr>
                  <w:rFonts w:hint="eastAsia" w:ascii="仿宋_GB2312" w:hAnsi="宋体" w:eastAsia="仿宋_GB2312" w:cs="仿宋_GB2312"/>
                  <w:kern w:val="0"/>
                  <w:sz w:val="18"/>
                  <w:szCs w:val="18"/>
                  <w:lang w:val="en-US" w:eastAsia="zh-CN" w:bidi="ar"/>
                </w:rPr>
                <w:delText>20</w:delText>
              </w:r>
            </w:del>
          </w:p>
        </w:tc>
        <w:tc>
          <w:tcPr>
            <w:tcW w:w="1005" w:type="dxa"/>
            <w:tcBorders>
              <w:top w:val="single" w:color="auto" w:sz="4" w:space="0"/>
              <w:tl2br w:val="nil"/>
              <w:tr2bl w:val="nil"/>
            </w:tcBorders>
            <w:shd w:val="clear" w:color="auto" w:fill="auto"/>
            <w:tcMar>
              <w:top w:w="15" w:type="dxa"/>
              <w:left w:w="15" w:type="dxa"/>
              <w:right w:w="15" w:type="dxa"/>
            </w:tcMar>
            <w:vAlign w:val="center"/>
          </w:tcPr>
          <w:p w14:paraId="59AD078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对在电缆保护区、输送管路保护区内从事违法活动</w:t>
            </w:r>
          </w:p>
        </w:tc>
        <w:tc>
          <w:tcPr>
            <w:tcW w:w="3667" w:type="dxa"/>
            <w:tcBorders>
              <w:top w:val="single" w:color="auto" w:sz="4" w:space="0"/>
              <w:tl2br w:val="nil"/>
              <w:tr2bl w:val="nil"/>
            </w:tcBorders>
            <w:shd w:val="clear" w:color="auto" w:fill="auto"/>
            <w:tcMar>
              <w:top w:w="15" w:type="dxa"/>
              <w:left w:w="15" w:type="dxa"/>
              <w:right w:w="15" w:type="dxa"/>
            </w:tcMar>
            <w:vAlign w:val="center"/>
          </w:tcPr>
          <w:p w14:paraId="100F980C">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bidi="ar"/>
              </w:rPr>
              <w:t>《电力设施保护条例》第十五条</w:t>
            </w:r>
            <w:r>
              <w:rPr>
                <w:rFonts w:hint="eastAsia" w:ascii="仿宋_GB2312" w:hAnsi="宋体" w:eastAsia="仿宋_GB2312" w:cs="仿宋_GB2312"/>
                <w:spacing w:val="-5"/>
                <w:kern w:val="0"/>
                <w:sz w:val="18"/>
                <w:szCs w:val="18"/>
                <w:lang w:eastAsia="zh-CN" w:bidi="ar"/>
              </w:rPr>
              <w:t xml:space="preserve"> </w:t>
            </w:r>
            <w:r>
              <w:rPr>
                <w:rFonts w:hint="eastAsia" w:ascii="仿宋_GB2312" w:hAnsi="宋体" w:eastAsia="仿宋_GB2312" w:cs="仿宋_GB2312"/>
                <w:spacing w:val="-5"/>
                <w:kern w:val="0"/>
                <w:sz w:val="18"/>
                <w:szCs w:val="18"/>
                <w:lang w:bidi="ar"/>
              </w:rPr>
              <w:t>任何单位或个人在架空电力线路保护区内，必须遵守下列规定：</w:t>
            </w:r>
            <w:r>
              <w:rPr>
                <w:rFonts w:hint="eastAsia" w:ascii="仿宋_GB2312" w:hAnsi="宋体" w:eastAsia="仿宋_GB2312" w:cs="仿宋_GB2312"/>
                <w:spacing w:val="-5"/>
                <w:kern w:val="0"/>
                <w:sz w:val="18"/>
                <w:szCs w:val="18"/>
                <w:lang w:bidi="ar"/>
              </w:rPr>
              <w:br w:type="textWrapping"/>
            </w:r>
            <w:r>
              <w:rPr>
                <w:rFonts w:hint="eastAsia" w:ascii="仿宋_GB2312" w:hAnsi="宋体" w:eastAsia="仿宋_GB2312" w:cs="仿宋_GB2312"/>
                <w:spacing w:val="-5"/>
                <w:kern w:val="0"/>
                <w:sz w:val="18"/>
                <w:szCs w:val="18"/>
                <w:lang w:bidi="ar"/>
              </w:rPr>
              <w:t>(一)不得堆放谷物、草料、垃圾、矿渣、易燃物、易爆物及其他影响安全供电的物品；</w:t>
            </w:r>
            <w:r>
              <w:rPr>
                <w:rFonts w:hint="eastAsia" w:ascii="仿宋_GB2312" w:hAnsi="宋体" w:eastAsia="仿宋_GB2312" w:cs="仿宋_GB2312"/>
                <w:spacing w:val="-5"/>
                <w:kern w:val="0"/>
                <w:sz w:val="18"/>
                <w:szCs w:val="18"/>
                <w:lang w:bidi="ar"/>
              </w:rPr>
              <w:br w:type="textWrapping"/>
            </w:r>
            <w:r>
              <w:rPr>
                <w:rFonts w:hint="eastAsia" w:ascii="仿宋_GB2312" w:hAnsi="宋体" w:eastAsia="仿宋_GB2312" w:cs="仿宋_GB2312"/>
                <w:spacing w:val="-5"/>
                <w:kern w:val="0"/>
                <w:sz w:val="18"/>
                <w:szCs w:val="18"/>
                <w:lang w:bidi="ar"/>
              </w:rPr>
              <w:t>(二)不得烧窑、烧荒；</w:t>
            </w:r>
            <w:r>
              <w:rPr>
                <w:rFonts w:hint="eastAsia" w:ascii="仿宋_GB2312" w:hAnsi="宋体" w:eastAsia="仿宋_GB2312" w:cs="仿宋_GB2312"/>
                <w:spacing w:val="-5"/>
                <w:kern w:val="0"/>
                <w:sz w:val="18"/>
                <w:szCs w:val="18"/>
                <w:lang w:bidi="ar"/>
              </w:rPr>
              <w:br w:type="textWrapping"/>
            </w:r>
            <w:r>
              <w:rPr>
                <w:rFonts w:hint="eastAsia" w:ascii="仿宋_GB2312" w:hAnsi="宋体" w:eastAsia="仿宋_GB2312" w:cs="仿宋_GB2312"/>
                <w:spacing w:val="-5"/>
                <w:kern w:val="0"/>
                <w:sz w:val="18"/>
                <w:szCs w:val="18"/>
                <w:lang w:bidi="ar"/>
              </w:rPr>
              <w:t>(三)不得兴建建筑物、构筑物；</w:t>
            </w:r>
            <w:r>
              <w:rPr>
                <w:rFonts w:hint="eastAsia" w:ascii="仿宋_GB2312" w:hAnsi="宋体" w:eastAsia="仿宋_GB2312" w:cs="仿宋_GB2312"/>
                <w:spacing w:val="-5"/>
                <w:kern w:val="0"/>
                <w:sz w:val="18"/>
                <w:szCs w:val="18"/>
                <w:lang w:bidi="ar"/>
              </w:rPr>
              <w:br w:type="textWrapping"/>
            </w:r>
            <w:r>
              <w:rPr>
                <w:rFonts w:hint="eastAsia" w:ascii="仿宋_GB2312" w:hAnsi="宋体" w:eastAsia="仿宋_GB2312" w:cs="仿宋_GB2312"/>
                <w:spacing w:val="-5"/>
                <w:kern w:val="0"/>
                <w:sz w:val="18"/>
                <w:szCs w:val="18"/>
                <w:lang w:bidi="ar"/>
              </w:rPr>
              <w:t>(四)不得种植可能危及电力设施安全的植物。</w:t>
            </w:r>
            <w:r>
              <w:rPr>
                <w:rFonts w:hint="eastAsia" w:ascii="仿宋_GB2312" w:hAnsi="宋体" w:eastAsia="仿宋_GB2312" w:cs="仿宋_GB2312"/>
                <w:spacing w:val="-5"/>
                <w:kern w:val="0"/>
                <w:sz w:val="18"/>
                <w:szCs w:val="18"/>
                <w:lang w:bidi="ar"/>
              </w:rPr>
              <w:br w:type="textWrapping"/>
            </w:r>
            <w:r>
              <w:rPr>
                <w:rFonts w:hint="eastAsia" w:ascii="仿宋_GB2312" w:hAnsi="宋体" w:eastAsia="仿宋_GB2312" w:cs="仿宋_GB2312"/>
                <w:spacing w:val="-5"/>
                <w:kern w:val="0"/>
                <w:sz w:val="18"/>
                <w:szCs w:val="18"/>
                <w:lang w:bidi="ar"/>
              </w:rPr>
              <w:t>《山东省电力设施和电能保护条例》第十四条</w:t>
            </w:r>
            <w:r>
              <w:rPr>
                <w:rFonts w:hint="eastAsia" w:ascii="仿宋_GB2312" w:hAnsi="宋体" w:eastAsia="仿宋_GB2312" w:cs="仿宋_GB2312"/>
                <w:spacing w:val="-5"/>
                <w:kern w:val="0"/>
                <w:sz w:val="18"/>
                <w:szCs w:val="18"/>
                <w:lang w:eastAsia="zh-CN" w:bidi="ar"/>
              </w:rPr>
              <w:t xml:space="preserve"> </w:t>
            </w:r>
            <w:r>
              <w:rPr>
                <w:rFonts w:hint="eastAsia" w:ascii="仿宋_GB2312" w:hAnsi="宋体" w:eastAsia="仿宋_GB2312" w:cs="仿宋_GB2312"/>
                <w:spacing w:val="-5"/>
                <w:kern w:val="0"/>
                <w:sz w:val="18"/>
                <w:szCs w:val="18"/>
                <w:lang w:bidi="ar"/>
              </w:rPr>
              <w:t xml:space="preserve"> 任何单位和个人不得在电力线路保护区</w:t>
            </w:r>
            <w:r>
              <w:rPr>
                <w:rFonts w:hint="eastAsia" w:ascii="仿宋_GB2312" w:hAnsi="宋体" w:eastAsia="仿宋_GB2312" w:cs="仿宋_GB2312"/>
                <w:spacing w:val="-5"/>
                <w:kern w:val="0"/>
                <w:sz w:val="18"/>
                <w:szCs w:val="18"/>
                <w:lang w:val="en-US" w:eastAsia="zh-CN" w:bidi="ar"/>
              </w:rPr>
              <w:t>以及</w:t>
            </w:r>
            <w:r>
              <w:rPr>
                <w:rFonts w:hint="eastAsia" w:ascii="仿宋_GB2312" w:hAnsi="宋体" w:eastAsia="仿宋_GB2312" w:cs="仿宋_GB2312"/>
                <w:spacing w:val="-5"/>
                <w:kern w:val="0"/>
                <w:sz w:val="18"/>
                <w:szCs w:val="18"/>
                <w:lang w:bidi="ar"/>
              </w:rPr>
              <w:t>输送管路保护区内实施下列行为:</w:t>
            </w:r>
            <w:r>
              <w:rPr>
                <w:rFonts w:hint="eastAsia" w:ascii="仿宋_GB2312" w:hAnsi="宋体" w:eastAsia="仿宋_GB2312" w:cs="仿宋_GB2312"/>
                <w:spacing w:val="-5"/>
                <w:kern w:val="0"/>
                <w:sz w:val="18"/>
                <w:szCs w:val="18"/>
                <w:lang w:bidi="ar"/>
              </w:rPr>
              <w:br w:type="textWrapping"/>
            </w:r>
            <w:r>
              <w:rPr>
                <w:rFonts w:hint="eastAsia" w:ascii="仿宋_GB2312" w:hAnsi="宋体" w:eastAsia="仿宋_GB2312" w:cs="仿宋_GB2312"/>
                <w:spacing w:val="-5"/>
                <w:kern w:val="0"/>
                <w:sz w:val="18"/>
                <w:szCs w:val="18"/>
                <w:lang w:bidi="ar"/>
              </w:rPr>
              <w:t>（一）在架空电力线路保护区内烧窑、烧荒、焚烧秸秆，修建建筑物、构筑物，种植可能危及电力设施安全的植物，堆放谷物、草料、易燃易爆物品和垃圾、矿渣</w:t>
            </w:r>
            <w:r>
              <w:rPr>
                <w:rFonts w:hint="eastAsia" w:ascii="仿宋_GB2312" w:hAnsi="宋体" w:eastAsia="仿宋_GB2312" w:cs="仿宋_GB2312"/>
                <w:spacing w:val="-5"/>
                <w:kern w:val="0"/>
                <w:sz w:val="18"/>
                <w:szCs w:val="18"/>
                <w:lang w:val="en-US" w:eastAsia="zh-CN" w:bidi="ar"/>
              </w:rPr>
              <w:t>以</w:t>
            </w:r>
            <w:r>
              <w:rPr>
                <w:rFonts w:hint="eastAsia" w:ascii="仿宋_GB2312" w:hAnsi="宋体" w:eastAsia="仿宋_GB2312" w:cs="仿宋_GB2312"/>
                <w:spacing w:val="-5"/>
                <w:kern w:val="0"/>
                <w:sz w:val="18"/>
                <w:szCs w:val="18"/>
                <w:lang w:bidi="ar"/>
              </w:rPr>
              <w:t>及其他堆积物，垂钓、燃放烟花爆竹或者制作、存放、悬挂气球等易漂浮的物体；</w:t>
            </w:r>
            <w:r>
              <w:rPr>
                <w:rFonts w:hint="eastAsia" w:ascii="仿宋_GB2312" w:hAnsi="宋体" w:eastAsia="仿宋_GB2312" w:cs="仿宋_GB2312"/>
                <w:spacing w:val="-5"/>
                <w:kern w:val="0"/>
                <w:sz w:val="18"/>
                <w:szCs w:val="18"/>
                <w:lang w:bidi="ar"/>
              </w:rPr>
              <w:br w:type="textWrapping"/>
            </w:r>
            <w:r>
              <w:rPr>
                <w:rFonts w:hint="eastAsia" w:ascii="仿宋_GB2312" w:hAnsi="宋体" w:eastAsia="仿宋_GB2312" w:cs="仿宋_GB2312"/>
                <w:spacing w:val="-5"/>
                <w:kern w:val="0"/>
                <w:sz w:val="18"/>
                <w:szCs w:val="18"/>
                <w:lang w:bidi="ar"/>
              </w:rPr>
              <w:t>（二）在地下电缆保护区内堆放垃圾、矿渣、易燃易爆物品，倾倒酸、碱、盐</w:t>
            </w:r>
            <w:r>
              <w:rPr>
                <w:rFonts w:hint="eastAsia" w:ascii="仿宋_GB2312" w:hAnsi="宋体" w:eastAsia="仿宋_GB2312" w:cs="仿宋_GB2312"/>
                <w:spacing w:val="-5"/>
                <w:kern w:val="0"/>
                <w:sz w:val="18"/>
                <w:szCs w:val="18"/>
                <w:lang w:val="en-US" w:eastAsia="zh-CN" w:bidi="ar"/>
              </w:rPr>
              <w:t>以及</w:t>
            </w:r>
            <w:r>
              <w:rPr>
                <w:rFonts w:hint="eastAsia" w:ascii="仿宋_GB2312" w:hAnsi="宋体" w:eastAsia="仿宋_GB2312" w:cs="仿宋_GB2312"/>
                <w:spacing w:val="-5"/>
                <w:kern w:val="0"/>
                <w:sz w:val="18"/>
                <w:szCs w:val="18"/>
                <w:lang w:bidi="ar"/>
              </w:rPr>
              <w:t>其他有害化学物品，修建建筑物、构筑物或者种植树木；</w:t>
            </w:r>
            <w:r>
              <w:rPr>
                <w:rFonts w:hint="eastAsia" w:ascii="仿宋_GB2312" w:hAnsi="宋体" w:eastAsia="仿宋_GB2312" w:cs="仿宋_GB2312"/>
                <w:spacing w:val="-5"/>
                <w:kern w:val="0"/>
                <w:sz w:val="18"/>
                <w:szCs w:val="18"/>
                <w:lang w:bidi="ar"/>
              </w:rPr>
              <w:br w:type="textWrapping"/>
            </w:r>
            <w:r>
              <w:rPr>
                <w:rFonts w:hint="eastAsia" w:ascii="仿宋_GB2312" w:hAnsi="宋体" w:eastAsia="仿宋_GB2312" w:cs="仿宋_GB2312"/>
                <w:spacing w:val="-5"/>
                <w:kern w:val="0"/>
                <w:sz w:val="18"/>
                <w:szCs w:val="18"/>
                <w:lang w:bidi="ar"/>
              </w:rPr>
              <w:t>（三）在水底电缆保护区内挖砂、钻探、打桩、抛锚、拖锚、底拖捕捞、张网、养殖；</w:t>
            </w:r>
            <w:r>
              <w:rPr>
                <w:rFonts w:hint="eastAsia" w:ascii="仿宋_GB2312" w:hAnsi="宋体" w:eastAsia="仿宋_GB2312" w:cs="仿宋_GB2312"/>
                <w:spacing w:val="-5"/>
                <w:kern w:val="0"/>
                <w:sz w:val="18"/>
                <w:szCs w:val="18"/>
                <w:lang w:bidi="ar"/>
              </w:rPr>
              <w:br w:type="textWrapping"/>
            </w:r>
            <w:r>
              <w:rPr>
                <w:rFonts w:hint="eastAsia" w:ascii="仿宋_GB2312" w:hAnsi="宋体" w:eastAsia="仿宋_GB2312" w:cs="仿宋_GB2312"/>
                <w:spacing w:val="-5"/>
                <w:kern w:val="0"/>
                <w:sz w:val="18"/>
                <w:szCs w:val="18"/>
                <w:lang w:bidi="ar"/>
              </w:rPr>
              <w:t>（四）在输送管路保护区内采石、取土、钻探、挖掘，倾倒酸、碱、盐</w:t>
            </w:r>
            <w:r>
              <w:rPr>
                <w:rFonts w:hint="eastAsia" w:ascii="仿宋_GB2312" w:hAnsi="宋体" w:eastAsia="仿宋_GB2312" w:cs="仿宋_GB2312"/>
                <w:spacing w:val="-5"/>
                <w:kern w:val="0"/>
                <w:sz w:val="18"/>
                <w:szCs w:val="18"/>
                <w:lang w:val="en-US" w:eastAsia="zh-CN" w:bidi="ar"/>
              </w:rPr>
              <w:t>以及</w:t>
            </w:r>
            <w:r>
              <w:rPr>
                <w:rFonts w:hint="eastAsia" w:ascii="仿宋_GB2312" w:hAnsi="宋体" w:eastAsia="仿宋_GB2312" w:cs="仿宋_GB2312"/>
                <w:spacing w:val="-5"/>
                <w:kern w:val="0"/>
                <w:sz w:val="18"/>
                <w:szCs w:val="18"/>
                <w:lang w:bidi="ar"/>
              </w:rPr>
              <w:t>其他有害化学物品，堆放垃圾和矿渣，放置易燃易爆物品，修建建筑物、构筑物；在水底冲灰管道保护区抛锚、拖锚、捕捞。</w:t>
            </w:r>
          </w:p>
          <w:p w14:paraId="75A78F15">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hint="eastAsia" w:ascii="仿宋_GB2312" w:hAnsi="宋体" w:eastAsia="仿宋_GB2312" w:cs="仿宋_GB2312"/>
                <w:kern w:val="0"/>
                <w:sz w:val="18"/>
                <w:szCs w:val="18"/>
                <w:lang w:val="en-US" w:eastAsia="zh-CN" w:bidi="ar"/>
              </w:rPr>
            </w:pPr>
            <w:r>
              <w:rPr>
                <w:rFonts w:hint="eastAsia" w:ascii="仿宋_GB2312" w:hAnsi="宋体" w:eastAsia="仿宋_GB2312" w:cs="仿宋_GB2312"/>
                <w:spacing w:val="-5"/>
                <w:kern w:val="0"/>
                <w:sz w:val="18"/>
                <w:szCs w:val="18"/>
                <w:lang w:bidi="ar"/>
              </w:rPr>
              <w:t>在电力线路保护区以及邻近区域使用和运输彩钢瓦、铁皮、塑料薄膜、反光膜、防尘（晒）网等轻质材料的，应当采取必要的安全防护措施，防止因掉落、脱落、飘浮影响电力运行安全。</w:t>
            </w:r>
          </w:p>
        </w:tc>
        <w:tc>
          <w:tcPr>
            <w:tcW w:w="4082" w:type="dxa"/>
            <w:tcBorders>
              <w:top w:val="single" w:color="auto" w:sz="4" w:space="0"/>
              <w:tl2br w:val="nil"/>
              <w:tr2bl w:val="nil"/>
            </w:tcBorders>
            <w:shd w:val="clear" w:color="auto" w:fill="auto"/>
            <w:tcMar>
              <w:top w:w="15" w:type="dxa"/>
              <w:left w:w="15" w:type="dxa"/>
              <w:right w:w="15" w:type="dxa"/>
            </w:tcMar>
            <w:vAlign w:val="center"/>
          </w:tcPr>
          <w:p w14:paraId="1F844C6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《山东省电力设施和电能保护条例》第五十条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违反本条例第十二条、第十三条、第十四条第一款、第十五条规定的，由</w:t>
            </w:r>
            <w:r>
              <w:rPr>
                <w:rFonts w:hint="eastAsia" w:ascii="仿宋_GB2312" w:hAnsi="宋体" w:eastAsia="仿宋_GB2312" w:cs="仿宋_GB2312"/>
                <w:kern w:val="0"/>
                <w:sz w:val="18"/>
                <w:szCs w:val="18"/>
                <w:lang w:eastAsia="zh-CN" w:bidi="ar"/>
              </w:rPr>
              <w:t>电力管理部门</w:t>
            </w:r>
            <w:r>
              <w:rPr>
                <w:rFonts w:hint="eastAsia" w:ascii="仿宋_GB2312" w:hAnsi="宋体" w:eastAsia="仿宋_GB2312" w:cs="仿宋_GB2312"/>
                <w:kern w:val="0"/>
                <w:sz w:val="18"/>
                <w:szCs w:val="18"/>
                <w:lang w:bidi="ar"/>
              </w:rPr>
              <w:t>责令停止违法行为或者责令改正；拒不停止违法行为或者改正的，对个人处一千元以上</w:t>
            </w:r>
            <w:r>
              <w:rPr>
                <w:rFonts w:hint="eastAsia" w:ascii="仿宋_GB2312" w:hAnsi="宋体" w:eastAsia="仿宋_GB2312" w:cs="仿宋_GB2312"/>
                <w:kern w:val="0"/>
                <w:sz w:val="18"/>
                <w:szCs w:val="18"/>
                <w:lang w:val="en-US" w:eastAsia="zh-CN" w:bidi="ar"/>
              </w:rPr>
              <w:t>一万元</w:t>
            </w:r>
            <w:r>
              <w:rPr>
                <w:rFonts w:hint="eastAsia" w:ascii="仿宋_GB2312" w:hAnsi="宋体" w:eastAsia="仿宋_GB2312" w:cs="仿宋_GB2312"/>
                <w:kern w:val="0"/>
                <w:sz w:val="18"/>
                <w:szCs w:val="18"/>
                <w:lang w:bidi="ar"/>
              </w:rPr>
              <w:t>以下罚款，对单位处五千元以上一万元以下罚款。构成违反治安管理行为的，由公安机关依法处罚；构成犯罪的，依法追究刑事责任。</w:t>
            </w:r>
          </w:p>
        </w:tc>
        <w:tc>
          <w:tcPr>
            <w:tcW w:w="459" w:type="dxa"/>
            <w:tcBorders>
              <w:top w:val="single" w:color="auto" w:sz="4" w:space="0"/>
              <w:tl2br w:val="nil"/>
              <w:tr2bl w:val="nil"/>
            </w:tcBorders>
            <w:shd w:val="clear" w:color="auto" w:fill="auto"/>
            <w:noWrap/>
            <w:tcMar>
              <w:top w:w="15" w:type="dxa"/>
              <w:left w:w="15" w:type="dxa"/>
              <w:right w:w="15" w:type="dxa"/>
            </w:tcMar>
            <w:vAlign w:val="center"/>
          </w:tcPr>
          <w:p w14:paraId="52DB11A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op w:val="single" w:color="auto" w:sz="4" w:space="0"/>
              <w:tl2br w:val="nil"/>
              <w:tr2bl w:val="nil"/>
            </w:tcBorders>
            <w:shd w:val="clear" w:color="auto" w:fill="auto"/>
            <w:tcMar>
              <w:top w:w="15" w:type="dxa"/>
              <w:left w:w="15" w:type="dxa"/>
              <w:right w:w="15" w:type="dxa"/>
            </w:tcMar>
            <w:vAlign w:val="center"/>
          </w:tcPr>
          <w:p w14:paraId="6AA3D80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违反《山东省电力设施和电能保护条例》第十四条相关规定，未引发事故或电缆通道、输送管路设施损坏，整改期间未按要求及时停止违法行为或未按要求限期改正的，造成电力设施故障的，且抢修恢复费用在1万元以上的。</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违反《山东省电力设施和电能保护条例》第十四条相关规定，引发事故或电缆通道、输送管路设施损坏的；或拒不停止违法行为或拒不改正的。</w:t>
            </w:r>
          </w:p>
        </w:tc>
        <w:tc>
          <w:tcPr>
            <w:tcW w:w="2655" w:type="dxa"/>
            <w:tcBorders>
              <w:top w:val="single" w:color="auto" w:sz="4" w:space="0"/>
              <w:tl2br w:val="nil"/>
              <w:tr2bl w:val="nil"/>
            </w:tcBorders>
            <w:shd w:val="clear" w:color="auto" w:fill="auto"/>
            <w:tcMar>
              <w:top w:w="15" w:type="dxa"/>
              <w:left w:w="15" w:type="dxa"/>
              <w:right w:w="15" w:type="dxa"/>
            </w:tcMar>
            <w:vAlign w:val="center"/>
          </w:tcPr>
          <w:p w14:paraId="7D22B31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val="en-US" w:eastAsia="zh-CN" w:bidi="ar"/>
              </w:rPr>
              <w:t>对个人6000元以上10000元以下的的罚款；对</w:t>
            </w:r>
            <w:r>
              <w:rPr>
                <w:rFonts w:hint="eastAsia" w:ascii="仿宋_GB2312" w:hAnsi="宋体" w:eastAsia="仿宋_GB2312" w:cs="仿宋_GB2312"/>
                <w:kern w:val="0"/>
                <w:sz w:val="18"/>
                <w:szCs w:val="18"/>
                <w:lang w:bidi="ar"/>
              </w:rPr>
              <w:t>单位处8000元以上1万元以下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20279C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61E6DB2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2</w:t>
            </w:r>
            <w:r>
              <w:rPr>
                <w:rFonts w:hint="eastAsia" w:ascii="仿宋_GB2312" w:hAnsi="宋体" w:eastAsia="仿宋_GB2312" w:cs="仿宋_GB2312"/>
                <w:kern w:val="0"/>
                <w:sz w:val="18"/>
                <w:szCs w:val="18"/>
                <w:lang w:val="en-US" w:eastAsia="zh-CN" w:bidi="ar"/>
              </w:rPr>
              <w:t>2</w:t>
            </w:r>
            <w:del w:id="3104" w:author="LV" w:date="2026-07-14T17:16:07Z">
              <w:r>
                <w:rPr>
                  <w:rFonts w:hint="default" w:ascii="仿宋_GB2312" w:hAnsi="宋体" w:eastAsia="仿宋_GB2312" w:cs="仿宋_GB2312"/>
                  <w:kern w:val="0"/>
                  <w:sz w:val="18"/>
                  <w:szCs w:val="18"/>
                  <w:lang w:val="en-US" w:eastAsia="zh-CN" w:bidi="ar"/>
                </w:rPr>
                <w:delText>1</w:delText>
              </w:r>
            </w:del>
            <w:ins w:id="3105" w:author="LV" w:date="2026-07-14T17:16:07Z">
              <w:r>
                <w:rPr>
                  <w:rFonts w:hint="eastAsia" w:ascii="仿宋_GB2312" w:hAnsi="宋体" w:eastAsia="仿宋_GB2312" w:cs="仿宋_GB2312"/>
                  <w:kern w:val="0"/>
                  <w:sz w:val="18"/>
                  <w:szCs w:val="18"/>
                  <w:lang w:val="en-US" w:eastAsia="zh-CN" w:bidi="ar"/>
                </w:rPr>
                <w:t>8</w:t>
              </w:r>
            </w:ins>
          </w:p>
        </w:tc>
        <w:tc>
          <w:tcPr>
            <w:tcW w:w="1005" w:type="dxa"/>
            <w:vMerge w:val="restart"/>
            <w:tcBorders>
              <w:tl2br w:val="nil"/>
              <w:tr2bl w:val="nil"/>
            </w:tcBorders>
            <w:shd w:val="clear" w:color="auto" w:fill="auto"/>
            <w:tcMar>
              <w:top w:w="15" w:type="dxa"/>
              <w:left w:w="15" w:type="dxa"/>
              <w:right w:w="15" w:type="dxa"/>
            </w:tcMar>
            <w:vAlign w:val="center"/>
          </w:tcPr>
          <w:p w14:paraId="56A3C97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在距三十五千伏及以下架空电力线路杆塔、拉线基础、接地极外缘五米的区域内和距三十五千伏以上架空电力线路杆塔、拉线基础、接地极外缘十米的区域内取土、打桩、钻探、挖掘或者倾倒酸、碱、盐及其他有害化学物品</w:t>
            </w:r>
          </w:p>
        </w:tc>
        <w:tc>
          <w:tcPr>
            <w:tcW w:w="3667" w:type="dxa"/>
            <w:vMerge w:val="restart"/>
            <w:tcBorders>
              <w:tl2br w:val="nil"/>
              <w:tr2bl w:val="nil"/>
            </w:tcBorders>
            <w:shd w:val="clear" w:color="auto" w:fill="auto"/>
            <w:tcMar>
              <w:top w:w="15" w:type="dxa"/>
              <w:left w:w="15" w:type="dxa"/>
              <w:right w:w="15" w:type="dxa"/>
            </w:tcMar>
            <w:vAlign w:val="center"/>
          </w:tcPr>
          <w:p w14:paraId="0D86020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《电力设施保护条例》第十六条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任何单位或个人在电力电缆线路保护区内，必须遵守下列规定：</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(一)不得在地下电缆保护区内堆放垃圾、矿渣、易燃物、易爆物，倾倒酸、碱、盐及其他有害化学物品，兴建建筑物、构筑物或种植树木、竹子；</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(二)不得在海底电缆保护区内抛锚、拖锚；</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(三)不得在江河电缆保护区内抛锚、拖锚、炸鱼、挖沙。</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《山东省电力设施和电能保护条例》第十五条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 xml:space="preserve"> 禁止在距三十五千伏及以下架空电力线路杆塔、拉线基础、接地极外缘五米的区域内和距三十五千伏以上架空电力线路杆塔、拉线基础、接地极外缘十米的区域内取土、打桩、钻探、挖掘或者倾倒酸、碱、盐及其他有害化学物品。</w:t>
            </w:r>
          </w:p>
        </w:tc>
        <w:tc>
          <w:tcPr>
            <w:tcW w:w="4082" w:type="dxa"/>
            <w:vMerge w:val="restart"/>
            <w:tcBorders>
              <w:tl2br w:val="nil"/>
              <w:tr2bl w:val="nil"/>
            </w:tcBorders>
            <w:shd w:val="clear" w:color="auto" w:fill="auto"/>
            <w:tcMar>
              <w:top w:w="15" w:type="dxa"/>
              <w:left w:w="15" w:type="dxa"/>
              <w:right w:w="15" w:type="dxa"/>
            </w:tcMar>
            <w:vAlign w:val="center"/>
          </w:tcPr>
          <w:p w14:paraId="5AA7AC2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《山东省电力设施和电能保护条例》第五十条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违反本条例第十二条、第十三条、第十四条第一款、第十五条规定的，由</w:t>
            </w:r>
            <w:r>
              <w:rPr>
                <w:rFonts w:hint="eastAsia" w:ascii="仿宋_GB2312" w:hAnsi="宋体" w:eastAsia="仿宋_GB2312" w:cs="仿宋_GB2312"/>
                <w:kern w:val="0"/>
                <w:sz w:val="18"/>
                <w:szCs w:val="18"/>
                <w:lang w:eastAsia="zh-CN" w:bidi="ar"/>
              </w:rPr>
              <w:t>电力管理部门</w:t>
            </w:r>
            <w:r>
              <w:rPr>
                <w:rFonts w:hint="eastAsia" w:ascii="仿宋_GB2312" w:hAnsi="宋体" w:eastAsia="仿宋_GB2312" w:cs="仿宋_GB2312"/>
                <w:kern w:val="0"/>
                <w:sz w:val="18"/>
                <w:szCs w:val="18"/>
                <w:lang w:bidi="ar"/>
              </w:rPr>
              <w:t>责令停止违法行为或者责令改正；拒不停止违法行为或者改正的，对个人处一千元以上一万元以下罚款，对单位处五千元以上一万元以下罚款。构成违反治安管理行为的，由公安机关依法处罚；构成犯罪的，依法追究刑事责任。</w:t>
            </w:r>
          </w:p>
        </w:tc>
        <w:tc>
          <w:tcPr>
            <w:tcW w:w="459" w:type="dxa"/>
            <w:tcBorders>
              <w:tl2br w:val="nil"/>
              <w:tr2bl w:val="nil"/>
            </w:tcBorders>
            <w:shd w:val="clear" w:color="auto" w:fill="auto"/>
            <w:noWrap/>
            <w:tcMar>
              <w:top w:w="15" w:type="dxa"/>
              <w:left w:w="15" w:type="dxa"/>
              <w:right w:w="15" w:type="dxa"/>
            </w:tcMar>
            <w:vAlign w:val="center"/>
          </w:tcPr>
          <w:p w14:paraId="562C7982">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766EEDE5">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723D68D9">
            <w:pPr>
              <w:keepNext w:val="0"/>
              <w:keepLines w:val="0"/>
              <w:pageBreakBefore w:val="0"/>
              <w:widowControl w:val="0"/>
              <w:kinsoku/>
              <w:wordWrap/>
              <w:overflowPunct w:val="0"/>
              <w:topLinePunct w:val="0"/>
              <w:autoSpaceDE/>
              <w:autoSpaceDN/>
              <w:bidi w:val="0"/>
              <w:adjustRightInd/>
              <w:snapToGrid/>
              <w:spacing w:line="26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B9A77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274509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173057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1C101E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629FFA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6C47110">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textAlignment w:val="center"/>
              <w:rPr>
                <w:rFonts w:ascii="仿宋_GB2312" w:hAnsi="宋体" w:eastAsia="仿宋_GB2312" w:cs="仿宋_GB2312"/>
                <w:sz w:val="18"/>
                <w:szCs w:val="18"/>
              </w:rPr>
            </w:pPr>
            <w:r>
              <w:rPr>
                <w:rFonts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2CDEAEB0">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FBA071A">
            <w:pPr>
              <w:keepNext w:val="0"/>
              <w:keepLines w:val="0"/>
              <w:pageBreakBefore w:val="0"/>
              <w:widowControl w:val="0"/>
              <w:kinsoku/>
              <w:wordWrap/>
              <w:overflowPunct w:val="0"/>
              <w:topLinePunct w:val="0"/>
              <w:autoSpaceDE/>
              <w:autoSpaceDN/>
              <w:bidi w:val="0"/>
              <w:adjustRightInd/>
              <w:snapToGrid/>
              <w:spacing w:line="26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AA13C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DEF47C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18D81C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13D6FE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1F3DB8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18F97ED">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67F911CA">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D329EA9">
            <w:pPr>
              <w:keepNext w:val="0"/>
              <w:keepLines w:val="0"/>
              <w:pageBreakBefore w:val="0"/>
              <w:widowControl w:val="0"/>
              <w:kinsoku/>
              <w:wordWrap/>
              <w:overflowPunct w:val="0"/>
              <w:topLinePunct w:val="0"/>
              <w:autoSpaceDE/>
              <w:autoSpaceDN/>
              <w:bidi w:val="0"/>
              <w:adjustRightInd/>
              <w:snapToGrid/>
              <w:spacing w:line="26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15F71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2B2984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63FE95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B7AC35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53CBB6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870D2D7">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1C8EA561">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违反《山东省电力设施和电能保护条例》第十四条相关规定，未引发输电线路故障、事故或电力设施损坏，整改期间未按要求及时停止违法行为或未按要求限期改正的，未造成任何损失的。</w:t>
            </w:r>
          </w:p>
        </w:tc>
        <w:tc>
          <w:tcPr>
            <w:tcW w:w="2655" w:type="dxa"/>
            <w:tcBorders>
              <w:tl2br w:val="nil"/>
              <w:tr2bl w:val="nil"/>
            </w:tcBorders>
            <w:shd w:val="clear" w:color="auto" w:fill="auto"/>
            <w:tcMar>
              <w:top w:w="15" w:type="dxa"/>
              <w:left w:w="15" w:type="dxa"/>
              <w:right w:w="15" w:type="dxa"/>
            </w:tcMar>
            <w:vAlign w:val="center"/>
          </w:tcPr>
          <w:p w14:paraId="47A99C04">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val="en-US" w:eastAsia="zh-CN" w:bidi="ar"/>
              </w:rPr>
              <w:t>对</w:t>
            </w:r>
            <w:r>
              <w:rPr>
                <w:rFonts w:hint="eastAsia" w:ascii="仿宋_GB2312" w:hAnsi="宋体" w:eastAsia="仿宋_GB2312" w:cs="仿宋_GB2312"/>
                <w:kern w:val="0"/>
                <w:sz w:val="18"/>
                <w:szCs w:val="18"/>
                <w:lang w:bidi="ar"/>
              </w:rPr>
              <w:t>个人处1000元以上3000元以下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r>
              <w:rPr>
                <w:rFonts w:hint="eastAsia" w:ascii="仿宋_GB2312" w:hAnsi="宋体" w:eastAsia="仿宋_GB2312" w:cs="仿宋_GB2312"/>
                <w:kern w:val="0"/>
                <w:sz w:val="18"/>
                <w:szCs w:val="18"/>
                <w:lang w:val="en-US" w:eastAsia="zh-CN" w:bidi="ar"/>
              </w:rPr>
              <w:t>对</w:t>
            </w:r>
            <w:r>
              <w:rPr>
                <w:rFonts w:hint="eastAsia" w:ascii="仿宋_GB2312" w:hAnsi="宋体" w:eastAsia="仿宋_GB2312" w:cs="仿宋_GB2312"/>
                <w:kern w:val="0"/>
                <w:sz w:val="18"/>
                <w:szCs w:val="18"/>
                <w:lang w:bidi="ar"/>
              </w:rPr>
              <w:t>单位处5000元以上6000元以下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501E34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11" w:hRule="atLeast"/>
          <w:jc w:val="center"/>
        </w:trPr>
        <w:tc>
          <w:tcPr>
            <w:tcW w:w="418" w:type="dxa"/>
            <w:vMerge w:val="continue"/>
            <w:tcBorders>
              <w:bottom w:val="single" w:color="auto" w:sz="4" w:space="0"/>
              <w:tl2br w:val="nil"/>
              <w:tr2bl w:val="nil"/>
            </w:tcBorders>
            <w:shd w:val="clear" w:color="auto" w:fill="auto"/>
            <w:noWrap/>
            <w:tcMar>
              <w:top w:w="15" w:type="dxa"/>
              <w:left w:w="15" w:type="dxa"/>
              <w:right w:w="15" w:type="dxa"/>
            </w:tcMar>
            <w:vAlign w:val="center"/>
          </w:tcPr>
          <w:p w14:paraId="6D37CBC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bottom w:val="single" w:color="auto" w:sz="4" w:space="0"/>
              <w:tl2br w:val="nil"/>
              <w:tr2bl w:val="nil"/>
            </w:tcBorders>
            <w:shd w:val="clear" w:color="auto" w:fill="auto"/>
            <w:tcMar>
              <w:top w:w="15" w:type="dxa"/>
              <w:left w:w="15" w:type="dxa"/>
              <w:right w:w="15" w:type="dxa"/>
            </w:tcMar>
            <w:vAlign w:val="center"/>
          </w:tcPr>
          <w:p w14:paraId="770FDCA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bottom w:val="single" w:color="auto" w:sz="4" w:space="0"/>
              <w:tl2br w:val="nil"/>
              <w:tr2bl w:val="nil"/>
            </w:tcBorders>
            <w:shd w:val="clear" w:color="auto" w:fill="auto"/>
            <w:tcMar>
              <w:top w:w="15" w:type="dxa"/>
              <w:left w:w="15" w:type="dxa"/>
              <w:right w:w="15" w:type="dxa"/>
            </w:tcMar>
            <w:vAlign w:val="center"/>
          </w:tcPr>
          <w:p w14:paraId="7ED5E96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bottom w:val="single" w:color="auto" w:sz="4" w:space="0"/>
              <w:tl2br w:val="nil"/>
              <w:tr2bl w:val="nil"/>
            </w:tcBorders>
            <w:shd w:val="clear" w:color="auto" w:fill="auto"/>
            <w:tcMar>
              <w:top w:w="15" w:type="dxa"/>
              <w:left w:w="15" w:type="dxa"/>
              <w:right w:w="15" w:type="dxa"/>
            </w:tcMar>
            <w:vAlign w:val="center"/>
          </w:tcPr>
          <w:p w14:paraId="6C1308D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bottom w:val="single" w:color="auto" w:sz="4" w:space="0"/>
              <w:tl2br w:val="nil"/>
              <w:tr2bl w:val="nil"/>
            </w:tcBorders>
            <w:shd w:val="clear" w:color="auto" w:fill="auto"/>
            <w:noWrap/>
            <w:tcMar>
              <w:top w:w="15" w:type="dxa"/>
              <w:left w:w="15" w:type="dxa"/>
              <w:right w:w="15" w:type="dxa"/>
            </w:tcMar>
            <w:vAlign w:val="center"/>
          </w:tcPr>
          <w:p w14:paraId="19231B2F">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bottom w:val="single" w:color="auto" w:sz="4" w:space="0"/>
              <w:tl2br w:val="nil"/>
              <w:tr2bl w:val="nil"/>
            </w:tcBorders>
            <w:shd w:val="clear" w:color="auto" w:fill="auto"/>
            <w:tcMar>
              <w:top w:w="15" w:type="dxa"/>
              <w:left w:w="15" w:type="dxa"/>
              <w:right w:w="15" w:type="dxa"/>
            </w:tcMar>
            <w:vAlign w:val="center"/>
          </w:tcPr>
          <w:p w14:paraId="37161CB3">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spacing w:val="-9"/>
                <w:kern w:val="0"/>
                <w:sz w:val="18"/>
                <w:szCs w:val="18"/>
                <w:lang w:bidi="ar"/>
              </w:rPr>
              <w:t>违反《山东省电力设施和电能保护条例》第十五条相关规定，未引发输电线路故障、事故，整改期间未按要求及时停止违法行为或未按要求限期改正的，造成输电线路基础、接地极损坏，且抢修恢复费用在1万元以内的。</w:t>
            </w:r>
            <w:r>
              <w:rPr>
                <w:rFonts w:hint="eastAsia" w:ascii="仿宋_GB2312" w:hAnsi="宋体" w:eastAsia="仿宋_GB2312" w:cs="仿宋_GB2312"/>
                <w:spacing w:val="-9"/>
                <w:kern w:val="0"/>
                <w:sz w:val="18"/>
                <w:szCs w:val="18"/>
                <w:lang w:bidi="ar"/>
              </w:rPr>
              <w:br w:type="textWrapping"/>
            </w:r>
            <w:r>
              <w:rPr>
                <w:rFonts w:hint="eastAsia" w:ascii="仿宋_GB2312" w:hAnsi="宋体" w:eastAsia="仿宋_GB2312" w:cs="仿宋_GB2312"/>
                <w:spacing w:val="-9"/>
                <w:kern w:val="0"/>
                <w:sz w:val="18"/>
                <w:szCs w:val="18"/>
                <w:lang w:bidi="ar"/>
              </w:rPr>
              <w:t>违反《山东省电力设施和电能保护条例》第十五条相关规定，引发输电线路故障，且抢修恢复费用在1万元以内的。</w:t>
            </w:r>
          </w:p>
        </w:tc>
        <w:tc>
          <w:tcPr>
            <w:tcW w:w="2655" w:type="dxa"/>
            <w:tcBorders>
              <w:bottom w:val="single" w:color="auto" w:sz="4" w:space="0"/>
              <w:tl2br w:val="nil"/>
              <w:tr2bl w:val="nil"/>
            </w:tcBorders>
            <w:shd w:val="clear" w:color="auto" w:fill="auto"/>
            <w:tcMar>
              <w:top w:w="15" w:type="dxa"/>
              <w:left w:w="15" w:type="dxa"/>
              <w:right w:w="15" w:type="dxa"/>
            </w:tcMar>
            <w:vAlign w:val="center"/>
          </w:tcPr>
          <w:p w14:paraId="5F189386">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val="en-US" w:eastAsia="zh-CN" w:bidi="ar"/>
              </w:rPr>
              <w:t>对个人处3000元以上6000元以下的罚款；对</w:t>
            </w:r>
            <w:r>
              <w:rPr>
                <w:rFonts w:hint="eastAsia" w:ascii="仿宋_GB2312" w:hAnsi="宋体" w:eastAsia="仿宋_GB2312" w:cs="仿宋_GB2312"/>
                <w:kern w:val="0"/>
                <w:sz w:val="18"/>
                <w:szCs w:val="18"/>
                <w:lang w:bidi="ar"/>
              </w:rPr>
              <w:t>单位处6000元以上8000元以下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51943F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9" w:hRule="atLeast"/>
          <w:jc w:val="center"/>
        </w:trPr>
        <w:tc>
          <w:tcPr>
            <w:tcW w:w="418" w:type="dxa"/>
            <w:tcBorders>
              <w:top w:val="single" w:color="auto" w:sz="4" w:space="0"/>
              <w:tl2br w:val="nil"/>
              <w:tr2bl w:val="nil"/>
            </w:tcBorders>
            <w:shd w:val="clear" w:color="auto" w:fill="auto"/>
            <w:noWrap/>
            <w:tcMar>
              <w:top w:w="15" w:type="dxa"/>
              <w:left w:w="15" w:type="dxa"/>
              <w:right w:w="15" w:type="dxa"/>
            </w:tcMar>
            <w:vAlign w:val="center"/>
          </w:tcPr>
          <w:p w14:paraId="1040D51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kern w:val="2"/>
                <w:sz w:val="18"/>
                <w:szCs w:val="18"/>
                <w:lang w:val="en-US" w:eastAsia="zh-CN" w:bidi="ar-SA"/>
              </w:rPr>
            </w:pPr>
            <w:del w:id="3106" w:author="LV" w:date="2026-07-14T17:16:18Z">
              <w:r>
                <w:rPr>
                  <w:rFonts w:hint="eastAsia" w:ascii="仿宋_GB2312" w:hAnsi="宋体" w:eastAsia="仿宋_GB2312" w:cs="仿宋_GB2312"/>
                  <w:kern w:val="0"/>
                  <w:sz w:val="18"/>
                  <w:szCs w:val="18"/>
                  <w:lang w:bidi="ar"/>
                </w:rPr>
                <w:delText>2</w:delText>
              </w:r>
            </w:del>
            <w:del w:id="3107" w:author="LV" w:date="2026-07-14T17:16:18Z">
              <w:r>
                <w:rPr>
                  <w:rFonts w:hint="eastAsia" w:ascii="仿宋_GB2312" w:hAnsi="宋体" w:eastAsia="仿宋_GB2312" w:cs="仿宋_GB2312"/>
                  <w:kern w:val="0"/>
                  <w:sz w:val="18"/>
                  <w:szCs w:val="18"/>
                  <w:lang w:val="en-US" w:eastAsia="zh-CN" w:bidi="ar"/>
                </w:rPr>
                <w:delText>21</w:delText>
              </w:r>
            </w:del>
          </w:p>
        </w:tc>
        <w:tc>
          <w:tcPr>
            <w:tcW w:w="1005" w:type="dxa"/>
            <w:tcBorders>
              <w:top w:val="single" w:color="auto" w:sz="4" w:space="0"/>
              <w:tl2br w:val="nil"/>
              <w:tr2bl w:val="nil"/>
            </w:tcBorders>
            <w:shd w:val="clear" w:color="auto" w:fill="auto"/>
            <w:tcMar>
              <w:top w:w="15" w:type="dxa"/>
              <w:left w:w="15" w:type="dxa"/>
              <w:right w:w="15" w:type="dxa"/>
            </w:tcMar>
            <w:vAlign w:val="center"/>
          </w:tcPr>
          <w:p w14:paraId="6037C6B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在距三十五千伏及以下架空电力线路杆塔、拉线基础、接地极外缘五米的区域内和距三十五千伏以上架空电力线路杆塔、拉线基础、接地极外缘十米的区域内取土、打桩、钻探、挖掘或者倾倒酸、碱、盐及其他有害化学物品</w:t>
            </w:r>
          </w:p>
        </w:tc>
        <w:tc>
          <w:tcPr>
            <w:tcW w:w="3667" w:type="dxa"/>
            <w:tcBorders>
              <w:top w:val="single" w:color="auto" w:sz="4" w:space="0"/>
              <w:tl2br w:val="nil"/>
              <w:tr2bl w:val="nil"/>
            </w:tcBorders>
            <w:shd w:val="clear" w:color="auto" w:fill="auto"/>
            <w:tcMar>
              <w:top w:w="15" w:type="dxa"/>
              <w:left w:w="15" w:type="dxa"/>
              <w:right w:w="15" w:type="dxa"/>
            </w:tcMar>
            <w:vAlign w:val="center"/>
          </w:tcPr>
          <w:p w14:paraId="50F5508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《电力设施保护条例》第十六条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任何单位或个人在电力电缆线路保护区内，必须遵守下列规定：</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(一)不得在地下电缆保护区内堆放垃圾、矿渣、易燃物、易爆物，倾倒酸、碱、盐及其他有害化学物品，兴建建筑物、构筑物或种植树木、竹子；</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(二)不得在海底电缆保护区内抛锚、拖锚；</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(三)不得在江河电缆保护区内抛锚、拖锚、炸鱼、挖沙。</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《山东省电力设施和电能保护条例》第十五条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 xml:space="preserve"> 禁止在距三十五千伏及以下架空电力线路杆塔、拉线基础、接地极外缘五米的区域内和距三十五千伏以上架空电力线路杆塔、拉线基础、接地极外缘十米的区域内取土、打桩、钻探、挖掘或者倾倒酸、碱、盐及其他有害化学物品。</w:t>
            </w:r>
          </w:p>
        </w:tc>
        <w:tc>
          <w:tcPr>
            <w:tcW w:w="4082" w:type="dxa"/>
            <w:tcBorders>
              <w:top w:val="single" w:color="auto" w:sz="4" w:space="0"/>
              <w:tl2br w:val="nil"/>
              <w:tr2bl w:val="nil"/>
            </w:tcBorders>
            <w:shd w:val="clear" w:color="auto" w:fill="auto"/>
            <w:tcMar>
              <w:top w:w="15" w:type="dxa"/>
              <w:left w:w="15" w:type="dxa"/>
              <w:right w:w="15" w:type="dxa"/>
            </w:tcMar>
            <w:vAlign w:val="center"/>
          </w:tcPr>
          <w:p w14:paraId="4917B16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《山东省电力设施和电能保护条例》第五十条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违反本条例第十二条、第十三条、第十四条第一款、第十五条规定的，由</w:t>
            </w:r>
            <w:r>
              <w:rPr>
                <w:rFonts w:hint="eastAsia" w:ascii="仿宋_GB2312" w:hAnsi="宋体" w:eastAsia="仿宋_GB2312" w:cs="仿宋_GB2312"/>
                <w:kern w:val="0"/>
                <w:sz w:val="18"/>
                <w:szCs w:val="18"/>
                <w:lang w:eastAsia="zh-CN" w:bidi="ar"/>
              </w:rPr>
              <w:t>电力管理部门</w:t>
            </w:r>
            <w:r>
              <w:rPr>
                <w:rFonts w:hint="eastAsia" w:ascii="仿宋_GB2312" w:hAnsi="宋体" w:eastAsia="仿宋_GB2312" w:cs="仿宋_GB2312"/>
                <w:kern w:val="0"/>
                <w:sz w:val="18"/>
                <w:szCs w:val="18"/>
                <w:lang w:bidi="ar"/>
              </w:rPr>
              <w:t>责令停止违法行为或者责令改正；拒不停止违法行为或者改正的，对个人处一千元以上一万元以下罚款，对单位处五千元以上一万元以下罚款。构成违反治安管理行为的，由公安机关依法处罚；构成犯罪的，依法追究刑事责任。</w:t>
            </w:r>
          </w:p>
        </w:tc>
        <w:tc>
          <w:tcPr>
            <w:tcW w:w="459" w:type="dxa"/>
            <w:tcBorders>
              <w:top w:val="single" w:color="auto" w:sz="4" w:space="0"/>
              <w:tl2br w:val="nil"/>
              <w:tr2bl w:val="nil"/>
            </w:tcBorders>
            <w:shd w:val="clear" w:color="auto" w:fill="auto"/>
            <w:noWrap/>
            <w:tcMar>
              <w:top w:w="15" w:type="dxa"/>
              <w:left w:w="15" w:type="dxa"/>
              <w:right w:w="15" w:type="dxa"/>
            </w:tcMar>
            <w:vAlign w:val="center"/>
          </w:tcPr>
          <w:p w14:paraId="1FEE7E4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op w:val="single" w:color="auto" w:sz="4" w:space="0"/>
              <w:tl2br w:val="nil"/>
              <w:tr2bl w:val="nil"/>
            </w:tcBorders>
            <w:shd w:val="clear" w:color="auto" w:fill="auto"/>
            <w:tcMar>
              <w:top w:w="15" w:type="dxa"/>
              <w:left w:w="15" w:type="dxa"/>
              <w:right w:w="15" w:type="dxa"/>
            </w:tcMar>
            <w:vAlign w:val="center"/>
          </w:tcPr>
          <w:p w14:paraId="6C4D640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违反《山东省电力设施和电能保护条例》第十五条相关规定，未引发输电线路故障、事故，整改期间未按要求及时停止违法行为或未按要求限期改正的，造成输电线</w:t>
            </w:r>
            <w:r>
              <w:rPr>
                <w:rFonts w:hint="eastAsia" w:ascii="仿宋_GB2312" w:hAnsi="宋体" w:eastAsia="仿宋_GB2312" w:cs="仿宋_GB2312"/>
                <w:spacing w:val="-6"/>
                <w:kern w:val="0"/>
                <w:sz w:val="18"/>
                <w:szCs w:val="18"/>
                <w:lang w:bidi="ar"/>
              </w:rPr>
              <w:t>路基础、接地极损坏，且抢修恢复费用在1万元以上的。</w:t>
            </w:r>
            <w:r>
              <w:rPr>
                <w:rFonts w:hint="eastAsia" w:ascii="仿宋_GB2312" w:hAnsi="宋体" w:eastAsia="仿宋_GB2312" w:cs="仿宋_GB2312"/>
                <w:spacing w:val="-6"/>
                <w:kern w:val="0"/>
                <w:sz w:val="18"/>
                <w:szCs w:val="18"/>
                <w:lang w:bidi="ar"/>
              </w:rPr>
              <w:br w:type="textWrapping"/>
            </w:r>
            <w:r>
              <w:rPr>
                <w:rFonts w:hint="eastAsia" w:ascii="仿宋_GB2312" w:hAnsi="宋体" w:eastAsia="仿宋_GB2312" w:cs="仿宋_GB2312"/>
                <w:spacing w:val="-6"/>
                <w:kern w:val="0"/>
                <w:sz w:val="18"/>
                <w:szCs w:val="18"/>
                <w:lang w:bidi="ar"/>
              </w:rPr>
              <w:t>违反《山东省电力设施和电能保护条例》第十五条相关规定，引发输电线路因基础损坏而倒塔断线的。</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违反《山东省电力设施和电能保护条例》第十五条相关规定，引发输电线路故障，且抢修恢复费用在1万元以上的。</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违反《山东省电力设施和电能保护条例》第十五条相关规定，拒不停止违法行为或改正的。</w:t>
            </w:r>
          </w:p>
        </w:tc>
        <w:tc>
          <w:tcPr>
            <w:tcW w:w="2655" w:type="dxa"/>
            <w:tcBorders>
              <w:top w:val="single" w:color="auto" w:sz="4" w:space="0"/>
              <w:tl2br w:val="nil"/>
              <w:tr2bl w:val="nil"/>
            </w:tcBorders>
            <w:shd w:val="clear" w:color="auto" w:fill="auto"/>
            <w:tcMar>
              <w:top w:w="15" w:type="dxa"/>
              <w:left w:w="15" w:type="dxa"/>
              <w:right w:w="15" w:type="dxa"/>
            </w:tcMar>
            <w:vAlign w:val="center"/>
          </w:tcPr>
          <w:p w14:paraId="64C6CA3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val="en-US" w:eastAsia="zh-CN" w:bidi="ar"/>
              </w:rPr>
              <w:t>对个人处6000元以上10000元以下的的罚款；对</w:t>
            </w:r>
            <w:r>
              <w:rPr>
                <w:rFonts w:hint="eastAsia" w:ascii="仿宋_GB2312" w:hAnsi="宋体" w:eastAsia="仿宋_GB2312" w:cs="仿宋_GB2312"/>
                <w:kern w:val="0"/>
                <w:sz w:val="18"/>
                <w:szCs w:val="18"/>
                <w:lang w:bidi="ar"/>
              </w:rPr>
              <w:t>单位处8000元以上1万元以下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6383D9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36D42EA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highlight w:val="none"/>
                <w:lang w:val="en-US" w:eastAsia="zh-CN"/>
              </w:rPr>
            </w:pPr>
            <w:r>
              <w:rPr>
                <w:rFonts w:hint="eastAsia" w:ascii="仿宋_GB2312" w:hAnsi="宋体" w:eastAsia="仿宋_GB2312" w:cs="仿宋_GB2312"/>
                <w:kern w:val="0"/>
                <w:sz w:val="18"/>
                <w:szCs w:val="18"/>
                <w:highlight w:val="none"/>
                <w:lang w:val="en-US" w:eastAsia="zh-CN" w:bidi="ar"/>
              </w:rPr>
              <w:t>22</w:t>
            </w:r>
            <w:del w:id="3108" w:author="LV" w:date="2026-07-14T17:16:24Z">
              <w:r>
                <w:rPr>
                  <w:rFonts w:hint="default" w:ascii="仿宋_GB2312" w:hAnsi="宋体" w:eastAsia="仿宋_GB2312" w:cs="仿宋_GB2312"/>
                  <w:kern w:val="0"/>
                  <w:sz w:val="18"/>
                  <w:szCs w:val="18"/>
                  <w:highlight w:val="none"/>
                  <w:lang w:val="en-US" w:eastAsia="zh-CN" w:bidi="ar"/>
                </w:rPr>
                <w:delText>2</w:delText>
              </w:r>
            </w:del>
            <w:ins w:id="3109" w:author="LV" w:date="2026-07-14T17:16:24Z">
              <w:r>
                <w:rPr>
                  <w:rFonts w:hint="eastAsia" w:ascii="仿宋_GB2312" w:hAnsi="宋体" w:eastAsia="仿宋_GB2312" w:cs="仿宋_GB2312"/>
                  <w:kern w:val="0"/>
                  <w:sz w:val="18"/>
                  <w:szCs w:val="18"/>
                  <w:highlight w:val="none"/>
                  <w:lang w:val="en-US" w:eastAsia="zh-CN" w:bidi="ar"/>
                </w:rPr>
                <w:t>9</w:t>
              </w:r>
            </w:ins>
          </w:p>
        </w:tc>
        <w:tc>
          <w:tcPr>
            <w:tcW w:w="1005" w:type="dxa"/>
            <w:vMerge w:val="restart"/>
            <w:tcBorders>
              <w:tl2br w:val="nil"/>
              <w:tr2bl w:val="nil"/>
            </w:tcBorders>
            <w:shd w:val="clear" w:color="auto" w:fill="auto"/>
            <w:tcMar>
              <w:top w:w="15" w:type="dxa"/>
              <w:left w:w="15" w:type="dxa"/>
              <w:right w:w="15" w:type="dxa"/>
            </w:tcMar>
            <w:vAlign w:val="center"/>
          </w:tcPr>
          <w:p w14:paraId="73B1688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对不安装使用经检定合格的用电计量装置，或者毁损、改装、擅自移动用电计量装置及相关装置，逾期不改正的</w:t>
            </w:r>
          </w:p>
        </w:tc>
        <w:tc>
          <w:tcPr>
            <w:tcW w:w="3667" w:type="dxa"/>
            <w:vMerge w:val="restart"/>
            <w:tcBorders>
              <w:tl2br w:val="nil"/>
              <w:tr2bl w:val="nil"/>
            </w:tcBorders>
            <w:shd w:val="clear" w:color="auto" w:fill="auto"/>
            <w:tcMar>
              <w:top w:w="15" w:type="dxa"/>
              <w:left w:w="15" w:type="dxa"/>
              <w:right w:w="15" w:type="dxa"/>
            </w:tcMar>
            <w:vAlign w:val="center"/>
          </w:tcPr>
          <w:p w14:paraId="004E4F7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highlight w:val="none"/>
                <w:lang w:bidi="ar"/>
              </w:rPr>
            </w:pPr>
            <w:r>
              <w:rPr>
                <w:rFonts w:hint="eastAsia" w:ascii="仿宋_GB2312" w:hAnsi="宋体" w:eastAsia="仿宋_GB2312" w:cs="仿宋_GB2312"/>
                <w:kern w:val="0"/>
                <w:sz w:val="18"/>
                <w:szCs w:val="18"/>
                <w:highlight w:val="none"/>
                <w:lang w:bidi="ar"/>
              </w:rPr>
              <w:t>《电力供应和使用条例》第三十条</w:t>
            </w:r>
            <w:r>
              <w:rPr>
                <w:rFonts w:hint="eastAsia" w:ascii="仿宋_GB2312" w:hAnsi="宋体" w:eastAsia="仿宋_GB2312" w:cs="仿宋_GB2312"/>
                <w:kern w:val="0"/>
                <w:sz w:val="18"/>
                <w:szCs w:val="18"/>
                <w:highlight w:val="none"/>
                <w:lang w:eastAsia="zh-CN" w:bidi="ar"/>
              </w:rPr>
              <w:t xml:space="preserve"> </w:t>
            </w:r>
            <w:r>
              <w:rPr>
                <w:rFonts w:hint="eastAsia" w:ascii="仿宋_GB2312" w:hAnsi="宋体" w:eastAsia="仿宋_GB2312" w:cs="仿宋_GB2312"/>
                <w:kern w:val="0"/>
                <w:sz w:val="18"/>
                <w:szCs w:val="18"/>
                <w:highlight w:val="none"/>
                <w:lang w:bidi="ar"/>
              </w:rPr>
              <w:t>用户不得有下列危害供电、用电安全，扰乱正常供电、用电秩序的行为:擅自迁移、更动或者擅自操作供电企业的用电计量装置、电力负荷控制装置、供电设施以及约定由供电企业调度的用户受电设备;</w:t>
            </w:r>
            <w:r>
              <w:rPr>
                <w:rFonts w:hint="eastAsia" w:ascii="仿宋_GB2312" w:hAnsi="宋体" w:eastAsia="仿宋_GB2312" w:cs="仿宋_GB2312"/>
                <w:kern w:val="0"/>
                <w:sz w:val="18"/>
                <w:szCs w:val="18"/>
                <w:highlight w:val="none"/>
                <w:lang w:bidi="ar"/>
              </w:rPr>
              <w:br w:type="textWrapping"/>
            </w:r>
            <w:r>
              <w:rPr>
                <w:rFonts w:hint="eastAsia" w:ascii="仿宋_GB2312" w:hAnsi="宋体" w:eastAsia="仿宋_GB2312" w:cs="仿宋_GB2312"/>
                <w:kern w:val="0"/>
                <w:sz w:val="18"/>
                <w:szCs w:val="18"/>
                <w:highlight w:val="none"/>
                <w:lang w:bidi="ar"/>
              </w:rPr>
              <w:t>《山东省电力设施和电能保护条例》第三十二条用电计量装置应当经法定或者授权的计量检定机构检定合格。用户发现用电计量装置及相关装置发生故障、损坏或者丢失，应当及时通知供电企业，由供电企业按规定予以处理。</w:t>
            </w:r>
          </w:p>
          <w:p w14:paraId="5687344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任何单位和个人不得擅自迁移、更动供电企业用电计量装置及相关装置。</w:t>
            </w:r>
          </w:p>
        </w:tc>
        <w:tc>
          <w:tcPr>
            <w:tcW w:w="4082" w:type="dxa"/>
            <w:vMerge w:val="restart"/>
            <w:tcBorders>
              <w:tl2br w:val="nil"/>
              <w:tr2bl w:val="nil"/>
            </w:tcBorders>
            <w:shd w:val="clear" w:color="auto" w:fill="auto"/>
            <w:tcMar>
              <w:top w:w="15" w:type="dxa"/>
              <w:left w:w="15" w:type="dxa"/>
              <w:right w:w="15" w:type="dxa"/>
            </w:tcMar>
            <w:vAlign w:val="center"/>
          </w:tcPr>
          <w:p w14:paraId="7FEE024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《山东省电力设施和电能保护条例》第五十三条</w:t>
            </w:r>
            <w:r>
              <w:rPr>
                <w:rFonts w:hint="eastAsia" w:ascii="仿宋_GB2312" w:hAnsi="宋体" w:eastAsia="仿宋_GB2312" w:cs="仿宋_GB2312"/>
                <w:kern w:val="0"/>
                <w:sz w:val="18"/>
                <w:szCs w:val="18"/>
                <w:highlight w:val="none"/>
                <w:lang w:eastAsia="zh-CN" w:bidi="ar"/>
              </w:rPr>
              <w:t xml:space="preserve"> </w:t>
            </w:r>
            <w:r>
              <w:rPr>
                <w:rFonts w:hint="eastAsia" w:ascii="仿宋_GB2312" w:hAnsi="宋体" w:eastAsia="仿宋_GB2312" w:cs="仿宋_GB2312"/>
                <w:kern w:val="0"/>
                <w:sz w:val="18"/>
                <w:szCs w:val="18"/>
                <w:highlight w:val="none"/>
                <w:lang w:bidi="ar"/>
              </w:rPr>
              <w:t>违反本条例第三十二条规定，不安装使用经检定合格的用电计量装置，或者毁损、改装、擅自移动用电计量装置及相关装置的，由</w:t>
            </w:r>
            <w:r>
              <w:rPr>
                <w:rFonts w:hint="eastAsia" w:ascii="仿宋_GB2312" w:hAnsi="宋体" w:eastAsia="仿宋_GB2312" w:cs="仿宋_GB2312"/>
                <w:kern w:val="0"/>
                <w:sz w:val="18"/>
                <w:szCs w:val="18"/>
                <w:highlight w:val="none"/>
                <w:lang w:eastAsia="zh-CN" w:bidi="ar"/>
              </w:rPr>
              <w:t>电力管理部门</w:t>
            </w:r>
            <w:r>
              <w:rPr>
                <w:rFonts w:hint="eastAsia" w:ascii="仿宋_GB2312" w:hAnsi="宋体" w:eastAsia="仿宋_GB2312" w:cs="仿宋_GB2312"/>
                <w:kern w:val="0"/>
                <w:sz w:val="18"/>
                <w:szCs w:val="18"/>
                <w:highlight w:val="none"/>
                <w:lang w:bidi="ar"/>
              </w:rPr>
              <w:t>责令限期改正并赔偿损失；逾期不改正的，处一万元以下罚款。</w:t>
            </w:r>
          </w:p>
        </w:tc>
        <w:tc>
          <w:tcPr>
            <w:tcW w:w="459" w:type="dxa"/>
            <w:tcBorders>
              <w:tl2br w:val="nil"/>
              <w:tr2bl w:val="nil"/>
            </w:tcBorders>
            <w:shd w:val="clear" w:color="auto" w:fill="auto"/>
            <w:noWrap/>
            <w:tcMar>
              <w:top w:w="15" w:type="dxa"/>
              <w:left w:w="15" w:type="dxa"/>
              <w:right w:w="15" w:type="dxa"/>
            </w:tcMar>
            <w:vAlign w:val="center"/>
          </w:tcPr>
          <w:p w14:paraId="17FACBB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不予处罚</w:t>
            </w:r>
          </w:p>
        </w:tc>
        <w:tc>
          <w:tcPr>
            <w:tcW w:w="1829" w:type="dxa"/>
            <w:tcBorders>
              <w:tl2br w:val="nil"/>
              <w:tr2bl w:val="nil"/>
            </w:tcBorders>
            <w:shd w:val="clear" w:color="auto" w:fill="auto"/>
            <w:tcMar>
              <w:top w:w="15" w:type="dxa"/>
              <w:left w:w="15" w:type="dxa"/>
              <w:right w:w="15" w:type="dxa"/>
            </w:tcMar>
            <w:vAlign w:val="center"/>
          </w:tcPr>
          <w:p w14:paraId="668BEBE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1B8CEB2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无</w:t>
            </w:r>
          </w:p>
        </w:tc>
      </w:tr>
      <w:tr w14:paraId="270CFF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5D3B2B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highlight w:val="none"/>
              </w:rPr>
            </w:pPr>
          </w:p>
        </w:tc>
        <w:tc>
          <w:tcPr>
            <w:tcW w:w="1005" w:type="dxa"/>
            <w:vMerge w:val="continue"/>
            <w:tcBorders>
              <w:tl2br w:val="nil"/>
              <w:tr2bl w:val="nil"/>
            </w:tcBorders>
            <w:shd w:val="clear" w:color="auto" w:fill="auto"/>
            <w:tcMar>
              <w:top w:w="15" w:type="dxa"/>
              <w:left w:w="15" w:type="dxa"/>
              <w:right w:w="15" w:type="dxa"/>
            </w:tcMar>
            <w:vAlign w:val="center"/>
          </w:tcPr>
          <w:p w14:paraId="70F5A59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3667" w:type="dxa"/>
            <w:vMerge w:val="continue"/>
            <w:tcBorders>
              <w:tl2br w:val="nil"/>
              <w:tr2bl w:val="nil"/>
            </w:tcBorders>
            <w:shd w:val="clear" w:color="auto" w:fill="auto"/>
            <w:tcMar>
              <w:top w:w="15" w:type="dxa"/>
              <w:left w:w="15" w:type="dxa"/>
              <w:right w:w="15" w:type="dxa"/>
            </w:tcMar>
            <w:vAlign w:val="center"/>
          </w:tcPr>
          <w:p w14:paraId="5EFB8B5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082" w:type="dxa"/>
            <w:vMerge w:val="continue"/>
            <w:tcBorders>
              <w:tl2br w:val="nil"/>
              <w:tr2bl w:val="nil"/>
            </w:tcBorders>
            <w:shd w:val="clear" w:color="auto" w:fill="auto"/>
            <w:tcMar>
              <w:top w:w="15" w:type="dxa"/>
              <w:left w:w="15" w:type="dxa"/>
              <w:right w:w="15" w:type="dxa"/>
            </w:tcMar>
            <w:vAlign w:val="center"/>
          </w:tcPr>
          <w:p w14:paraId="0C792ED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59" w:type="dxa"/>
            <w:tcBorders>
              <w:tl2br w:val="nil"/>
              <w:tr2bl w:val="nil"/>
            </w:tcBorders>
            <w:shd w:val="clear" w:color="auto" w:fill="auto"/>
            <w:noWrap/>
            <w:tcMar>
              <w:top w:w="15" w:type="dxa"/>
              <w:left w:w="15" w:type="dxa"/>
              <w:right w:w="15" w:type="dxa"/>
            </w:tcMar>
            <w:vAlign w:val="center"/>
          </w:tcPr>
          <w:p w14:paraId="4A94188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ascii="仿宋_GB2312" w:hAnsi="宋体" w:eastAsia="仿宋_GB2312" w:cs="仿宋_GB2312"/>
                <w:kern w:val="0"/>
                <w:sz w:val="18"/>
                <w:szCs w:val="18"/>
                <w:highlight w:val="none"/>
                <w:lang w:bidi="ar"/>
              </w:rPr>
              <w:t>免予处罚</w:t>
            </w:r>
          </w:p>
        </w:tc>
        <w:tc>
          <w:tcPr>
            <w:tcW w:w="1829" w:type="dxa"/>
            <w:tcBorders>
              <w:tl2br w:val="nil"/>
              <w:tr2bl w:val="nil"/>
            </w:tcBorders>
            <w:shd w:val="clear" w:color="auto" w:fill="auto"/>
            <w:tcMar>
              <w:top w:w="15" w:type="dxa"/>
              <w:left w:w="15" w:type="dxa"/>
              <w:right w:w="15" w:type="dxa"/>
            </w:tcMar>
            <w:vAlign w:val="center"/>
          </w:tcPr>
          <w:p w14:paraId="698F6D4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4A9D93F">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无</w:t>
            </w:r>
          </w:p>
        </w:tc>
      </w:tr>
      <w:tr w14:paraId="209EEA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F1F9B0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highlight w:val="none"/>
              </w:rPr>
            </w:pPr>
          </w:p>
        </w:tc>
        <w:tc>
          <w:tcPr>
            <w:tcW w:w="1005" w:type="dxa"/>
            <w:vMerge w:val="continue"/>
            <w:tcBorders>
              <w:tl2br w:val="nil"/>
              <w:tr2bl w:val="nil"/>
            </w:tcBorders>
            <w:shd w:val="clear" w:color="auto" w:fill="auto"/>
            <w:tcMar>
              <w:top w:w="15" w:type="dxa"/>
              <w:left w:w="15" w:type="dxa"/>
              <w:right w:w="15" w:type="dxa"/>
            </w:tcMar>
            <w:vAlign w:val="center"/>
          </w:tcPr>
          <w:p w14:paraId="1550141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3667" w:type="dxa"/>
            <w:vMerge w:val="continue"/>
            <w:tcBorders>
              <w:tl2br w:val="nil"/>
              <w:tr2bl w:val="nil"/>
            </w:tcBorders>
            <w:shd w:val="clear" w:color="auto" w:fill="auto"/>
            <w:tcMar>
              <w:top w:w="15" w:type="dxa"/>
              <w:left w:w="15" w:type="dxa"/>
              <w:right w:w="15" w:type="dxa"/>
            </w:tcMar>
            <w:vAlign w:val="center"/>
          </w:tcPr>
          <w:p w14:paraId="7A237A8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082" w:type="dxa"/>
            <w:vMerge w:val="continue"/>
            <w:tcBorders>
              <w:tl2br w:val="nil"/>
              <w:tr2bl w:val="nil"/>
            </w:tcBorders>
            <w:shd w:val="clear" w:color="auto" w:fill="auto"/>
            <w:tcMar>
              <w:top w:w="15" w:type="dxa"/>
              <w:left w:w="15" w:type="dxa"/>
              <w:right w:w="15" w:type="dxa"/>
            </w:tcMar>
            <w:vAlign w:val="center"/>
          </w:tcPr>
          <w:p w14:paraId="6989093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59" w:type="dxa"/>
            <w:tcBorders>
              <w:tl2br w:val="nil"/>
              <w:tr2bl w:val="nil"/>
            </w:tcBorders>
            <w:shd w:val="clear" w:color="auto" w:fill="auto"/>
            <w:noWrap/>
            <w:tcMar>
              <w:top w:w="15" w:type="dxa"/>
              <w:left w:w="15" w:type="dxa"/>
              <w:right w:w="15" w:type="dxa"/>
            </w:tcMar>
            <w:vAlign w:val="center"/>
          </w:tcPr>
          <w:p w14:paraId="05608CC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减轻处罚</w:t>
            </w:r>
          </w:p>
        </w:tc>
        <w:tc>
          <w:tcPr>
            <w:tcW w:w="1829" w:type="dxa"/>
            <w:tcBorders>
              <w:tl2br w:val="nil"/>
              <w:tr2bl w:val="nil"/>
            </w:tcBorders>
            <w:shd w:val="clear" w:color="auto" w:fill="auto"/>
            <w:tcMar>
              <w:top w:w="15" w:type="dxa"/>
              <w:left w:w="15" w:type="dxa"/>
              <w:right w:w="15" w:type="dxa"/>
            </w:tcMar>
            <w:vAlign w:val="center"/>
          </w:tcPr>
          <w:p w14:paraId="06C8229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1279170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无</w:t>
            </w:r>
          </w:p>
        </w:tc>
      </w:tr>
      <w:tr w14:paraId="4267DC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C9D46F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highlight w:val="none"/>
              </w:rPr>
            </w:pPr>
          </w:p>
        </w:tc>
        <w:tc>
          <w:tcPr>
            <w:tcW w:w="1005" w:type="dxa"/>
            <w:vMerge w:val="continue"/>
            <w:tcBorders>
              <w:tl2br w:val="nil"/>
              <w:tr2bl w:val="nil"/>
            </w:tcBorders>
            <w:shd w:val="clear" w:color="auto" w:fill="auto"/>
            <w:tcMar>
              <w:top w:w="15" w:type="dxa"/>
              <w:left w:w="15" w:type="dxa"/>
              <w:right w:w="15" w:type="dxa"/>
            </w:tcMar>
            <w:vAlign w:val="center"/>
          </w:tcPr>
          <w:p w14:paraId="57E5ECA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3667" w:type="dxa"/>
            <w:vMerge w:val="continue"/>
            <w:tcBorders>
              <w:tl2br w:val="nil"/>
              <w:tr2bl w:val="nil"/>
            </w:tcBorders>
            <w:shd w:val="clear" w:color="auto" w:fill="auto"/>
            <w:tcMar>
              <w:top w:w="15" w:type="dxa"/>
              <w:left w:w="15" w:type="dxa"/>
              <w:right w:w="15" w:type="dxa"/>
            </w:tcMar>
            <w:vAlign w:val="center"/>
          </w:tcPr>
          <w:p w14:paraId="3369B2F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082" w:type="dxa"/>
            <w:vMerge w:val="continue"/>
            <w:tcBorders>
              <w:tl2br w:val="nil"/>
              <w:tr2bl w:val="nil"/>
            </w:tcBorders>
            <w:shd w:val="clear" w:color="auto" w:fill="auto"/>
            <w:tcMar>
              <w:top w:w="15" w:type="dxa"/>
              <w:left w:w="15" w:type="dxa"/>
              <w:right w:w="15" w:type="dxa"/>
            </w:tcMar>
            <w:vAlign w:val="center"/>
          </w:tcPr>
          <w:p w14:paraId="541F43F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59" w:type="dxa"/>
            <w:tcBorders>
              <w:tl2br w:val="nil"/>
              <w:tr2bl w:val="nil"/>
            </w:tcBorders>
            <w:shd w:val="clear" w:color="auto" w:fill="auto"/>
            <w:noWrap/>
            <w:tcMar>
              <w:top w:w="15" w:type="dxa"/>
              <w:left w:w="15" w:type="dxa"/>
              <w:right w:w="15" w:type="dxa"/>
            </w:tcMar>
            <w:vAlign w:val="center"/>
          </w:tcPr>
          <w:p w14:paraId="7FFE61B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从轻处罚</w:t>
            </w:r>
          </w:p>
        </w:tc>
        <w:tc>
          <w:tcPr>
            <w:tcW w:w="1829" w:type="dxa"/>
            <w:tcBorders>
              <w:tl2br w:val="nil"/>
              <w:tr2bl w:val="nil"/>
            </w:tcBorders>
            <w:shd w:val="clear" w:color="auto" w:fill="auto"/>
            <w:tcMar>
              <w:top w:w="15" w:type="dxa"/>
              <w:left w:w="15" w:type="dxa"/>
              <w:right w:w="15" w:type="dxa"/>
            </w:tcMar>
            <w:vAlign w:val="center"/>
          </w:tcPr>
          <w:p w14:paraId="4DDD811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sz w:val="18"/>
                <w:szCs w:val="18"/>
                <w:highlight w:val="none"/>
              </w:rPr>
              <w:t>经责令限期改正，逾期未改正且超过改正期限15日以下。</w:t>
            </w:r>
          </w:p>
        </w:tc>
        <w:tc>
          <w:tcPr>
            <w:tcW w:w="2655" w:type="dxa"/>
            <w:tcBorders>
              <w:tl2br w:val="nil"/>
              <w:tr2bl w:val="nil"/>
            </w:tcBorders>
            <w:shd w:val="clear" w:color="auto" w:fill="auto"/>
            <w:tcMar>
              <w:top w:w="15" w:type="dxa"/>
              <w:left w:w="15" w:type="dxa"/>
              <w:right w:w="15" w:type="dxa"/>
            </w:tcMar>
            <w:vAlign w:val="center"/>
          </w:tcPr>
          <w:p w14:paraId="3D006AA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sz w:val="18"/>
                <w:szCs w:val="18"/>
                <w:highlight w:val="none"/>
              </w:rPr>
              <w:t>处3000元以下的</w:t>
            </w:r>
            <w:r>
              <w:rPr>
                <w:rFonts w:hint="eastAsia" w:ascii="仿宋_GB2312" w:hAnsi="宋体" w:eastAsia="仿宋_GB2312" w:cs="仿宋_GB2312"/>
                <w:sz w:val="18"/>
                <w:szCs w:val="18"/>
                <w:highlight w:val="none"/>
                <w:lang w:eastAsia="zh-CN"/>
              </w:rPr>
              <w:t>罚款</w:t>
            </w:r>
            <w:r>
              <w:rPr>
                <w:rFonts w:hint="eastAsia" w:ascii="仿宋_GB2312" w:hAnsi="宋体" w:eastAsia="仿宋_GB2312" w:cs="仿宋_GB2312"/>
                <w:sz w:val="18"/>
                <w:szCs w:val="18"/>
                <w:highlight w:val="none"/>
              </w:rPr>
              <w:t>。</w:t>
            </w:r>
          </w:p>
        </w:tc>
      </w:tr>
      <w:tr w14:paraId="0F09AB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10DA1D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highlight w:val="none"/>
              </w:rPr>
            </w:pPr>
          </w:p>
        </w:tc>
        <w:tc>
          <w:tcPr>
            <w:tcW w:w="1005" w:type="dxa"/>
            <w:vMerge w:val="continue"/>
            <w:tcBorders>
              <w:tl2br w:val="nil"/>
              <w:tr2bl w:val="nil"/>
            </w:tcBorders>
            <w:shd w:val="clear" w:color="auto" w:fill="auto"/>
            <w:tcMar>
              <w:top w:w="15" w:type="dxa"/>
              <w:left w:w="15" w:type="dxa"/>
              <w:right w:w="15" w:type="dxa"/>
            </w:tcMar>
            <w:vAlign w:val="center"/>
          </w:tcPr>
          <w:p w14:paraId="6ECB3AC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3667" w:type="dxa"/>
            <w:vMerge w:val="continue"/>
            <w:tcBorders>
              <w:tl2br w:val="nil"/>
              <w:tr2bl w:val="nil"/>
            </w:tcBorders>
            <w:shd w:val="clear" w:color="auto" w:fill="auto"/>
            <w:tcMar>
              <w:top w:w="15" w:type="dxa"/>
              <w:left w:w="15" w:type="dxa"/>
              <w:right w:w="15" w:type="dxa"/>
            </w:tcMar>
            <w:vAlign w:val="center"/>
          </w:tcPr>
          <w:p w14:paraId="7DE4685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082" w:type="dxa"/>
            <w:vMerge w:val="continue"/>
            <w:tcBorders>
              <w:tl2br w:val="nil"/>
              <w:tr2bl w:val="nil"/>
            </w:tcBorders>
            <w:shd w:val="clear" w:color="auto" w:fill="auto"/>
            <w:tcMar>
              <w:top w:w="15" w:type="dxa"/>
              <w:left w:w="15" w:type="dxa"/>
              <w:right w:w="15" w:type="dxa"/>
            </w:tcMar>
            <w:vAlign w:val="center"/>
          </w:tcPr>
          <w:p w14:paraId="790CA7C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59" w:type="dxa"/>
            <w:tcBorders>
              <w:tl2br w:val="nil"/>
              <w:tr2bl w:val="nil"/>
            </w:tcBorders>
            <w:shd w:val="clear" w:color="auto" w:fill="auto"/>
            <w:noWrap/>
            <w:tcMar>
              <w:top w:w="15" w:type="dxa"/>
              <w:left w:w="15" w:type="dxa"/>
              <w:right w:w="15" w:type="dxa"/>
            </w:tcMar>
            <w:vAlign w:val="center"/>
          </w:tcPr>
          <w:p w14:paraId="394509F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一般处罚</w:t>
            </w:r>
          </w:p>
        </w:tc>
        <w:tc>
          <w:tcPr>
            <w:tcW w:w="1829" w:type="dxa"/>
            <w:tcBorders>
              <w:tl2br w:val="nil"/>
              <w:tr2bl w:val="nil"/>
            </w:tcBorders>
            <w:shd w:val="clear" w:color="auto" w:fill="auto"/>
            <w:tcMar>
              <w:top w:w="15" w:type="dxa"/>
              <w:left w:w="15" w:type="dxa"/>
              <w:right w:w="15" w:type="dxa"/>
            </w:tcMar>
            <w:vAlign w:val="center"/>
          </w:tcPr>
          <w:p w14:paraId="66C21E1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sz w:val="18"/>
                <w:szCs w:val="18"/>
                <w:highlight w:val="none"/>
              </w:rPr>
              <w:t>经责令限期改正，逾期未改正且超过改正期限15日以上30日以下。</w:t>
            </w:r>
          </w:p>
        </w:tc>
        <w:tc>
          <w:tcPr>
            <w:tcW w:w="2655" w:type="dxa"/>
            <w:tcBorders>
              <w:tl2br w:val="nil"/>
              <w:tr2bl w:val="nil"/>
            </w:tcBorders>
            <w:shd w:val="clear" w:color="auto" w:fill="auto"/>
            <w:tcMar>
              <w:top w:w="15" w:type="dxa"/>
              <w:left w:w="15" w:type="dxa"/>
              <w:right w:w="15" w:type="dxa"/>
            </w:tcMar>
            <w:vAlign w:val="center"/>
          </w:tcPr>
          <w:p w14:paraId="34FFF7D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sz w:val="18"/>
                <w:szCs w:val="18"/>
                <w:highlight w:val="none"/>
              </w:rPr>
              <w:t>处3000元以上7000元以下</w:t>
            </w:r>
            <w:r>
              <w:rPr>
                <w:rFonts w:hint="eastAsia" w:ascii="仿宋_GB2312" w:hAnsi="宋体" w:eastAsia="仿宋_GB2312" w:cs="仿宋_GB2312"/>
                <w:sz w:val="18"/>
                <w:szCs w:val="18"/>
                <w:highlight w:val="none"/>
                <w:lang w:eastAsia="zh-CN"/>
              </w:rPr>
              <w:t>的罚款</w:t>
            </w:r>
            <w:r>
              <w:rPr>
                <w:rFonts w:hint="eastAsia" w:ascii="仿宋_GB2312" w:hAnsi="宋体" w:eastAsia="仿宋_GB2312" w:cs="仿宋_GB2312"/>
                <w:sz w:val="18"/>
                <w:szCs w:val="18"/>
                <w:highlight w:val="none"/>
              </w:rPr>
              <w:t>。</w:t>
            </w:r>
          </w:p>
        </w:tc>
      </w:tr>
      <w:tr w14:paraId="54ED71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59DA56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highlight w:val="none"/>
              </w:rPr>
            </w:pPr>
          </w:p>
        </w:tc>
        <w:tc>
          <w:tcPr>
            <w:tcW w:w="1005" w:type="dxa"/>
            <w:vMerge w:val="continue"/>
            <w:tcBorders>
              <w:tl2br w:val="nil"/>
              <w:tr2bl w:val="nil"/>
            </w:tcBorders>
            <w:shd w:val="clear" w:color="auto" w:fill="auto"/>
            <w:tcMar>
              <w:top w:w="15" w:type="dxa"/>
              <w:left w:w="15" w:type="dxa"/>
              <w:right w:w="15" w:type="dxa"/>
            </w:tcMar>
            <w:vAlign w:val="center"/>
          </w:tcPr>
          <w:p w14:paraId="2E93494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3667" w:type="dxa"/>
            <w:vMerge w:val="continue"/>
            <w:tcBorders>
              <w:tl2br w:val="nil"/>
              <w:tr2bl w:val="nil"/>
            </w:tcBorders>
            <w:shd w:val="clear" w:color="auto" w:fill="auto"/>
            <w:tcMar>
              <w:top w:w="15" w:type="dxa"/>
              <w:left w:w="15" w:type="dxa"/>
              <w:right w:w="15" w:type="dxa"/>
            </w:tcMar>
            <w:vAlign w:val="center"/>
          </w:tcPr>
          <w:p w14:paraId="234F9D5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082" w:type="dxa"/>
            <w:vMerge w:val="continue"/>
            <w:tcBorders>
              <w:tl2br w:val="nil"/>
              <w:tr2bl w:val="nil"/>
            </w:tcBorders>
            <w:shd w:val="clear" w:color="auto" w:fill="auto"/>
            <w:tcMar>
              <w:top w:w="15" w:type="dxa"/>
              <w:left w:w="15" w:type="dxa"/>
              <w:right w:w="15" w:type="dxa"/>
            </w:tcMar>
            <w:vAlign w:val="center"/>
          </w:tcPr>
          <w:p w14:paraId="20E27C7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59" w:type="dxa"/>
            <w:tcBorders>
              <w:tl2br w:val="nil"/>
              <w:tr2bl w:val="nil"/>
            </w:tcBorders>
            <w:shd w:val="clear" w:color="auto" w:fill="auto"/>
            <w:noWrap/>
            <w:tcMar>
              <w:top w:w="15" w:type="dxa"/>
              <w:left w:w="15" w:type="dxa"/>
              <w:right w:w="15" w:type="dxa"/>
            </w:tcMar>
            <w:vAlign w:val="center"/>
          </w:tcPr>
          <w:p w14:paraId="6AABB77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从重处罚</w:t>
            </w:r>
          </w:p>
        </w:tc>
        <w:tc>
          <w:tcPr>
            <w:tcW w:w="1829" w:type="dxa"/>
            <w:tcBorders>
              <w:tl2br w:val="nil"/>
              <w:tr2bl w:val="nil"/>
            </w:tcBorders>
            <w:shd w:val="clear" w:color="auto" w:fill="auto"/>
            <w:tcMar>
              <w:top w:w="15" w:type="dxa"/>
              <w:left w:w="15" w:type="dxa"/>
              <w:right w:w="15" w:type="dxa"/>
            </w:tcMar>
            <w:vAlign w:val="center"/>
          </w:tcPr>
          <w:p w14:paraId="637CD4D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sz w:val="18"/>
                <w:szCs w:val="18"/>
                <w:highlight w:val="none"/>
              </w:rPr>
              <w:t>经责令限期改正，逾期未改正且超过改正期限30日以上。</w:t>
            </w:r>
          </w:p>
        </w:tc>
        <w:tc>
          <w:tcPr>
            <w:tcW w:w="2655" w:type="dxa"/>
            <w:tcBorders>
              <w:tl2br w:val="nil"/>
              <w:tr2bl w:val="nil"/>
            </w:tcBorders>
            <w:shd w:val="clear" w:color="auto" w:fill="auto"/>
            <w:tcMar>
              <w:top w:w="15" w:type="dxa"/>
              <w:left w:w="15" w:type="dxa"/>
              <w:right w:w="15" w:type="dxa"/>
            </w:tcMar>
            <w:vAlign w:val="center"/>
          </w:tcPr>
          <w:p w14:paraId="1199671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处7000元以上1万元以下的罚款。</w:t>
            </w:r>
          </w:p>
        </w:tc>
      </w:tr>
    </w:tbl>
    <w:p w14:paraId="2B603238">
      <w:pPr>
        <w:rPr>
          <w:rFonts w:ascii="方正小标宋简体" w:hAnsi="方正小标宋简体" w:eastAsia="方正小标宋简体" w:cs="方正小标宋简体"/>
          <w:kern w:val="0"/>
          <w:sz w:val="18"/>
          <w:szCs w:val="18"/>
        </w:rPr>
      </w:pPr>
      <w:r>
        <w:rPr>
          <w:rFonts w:hint="eastAsia" w:ascii="方正小标宋简体" w:hAnsi="方正小标宋简体" w:eastAsia="方正小标宋简体" w:cs="方正小标宋简体"/>
          <w:kern w:val="0"/>
          <w:sz w:val="18"/>
          <w:szCs w:val="18"/>
        </w:rPr>
        <w:br w:type="page"/>
      </w:r>
    </w:p>
    <w:tbl>
      <w:tblPr>
        <w:tblStyle w:val="13"/>
        <w:tblW w:w="1415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9"/>
        <w:gridCol w:w="1006"/>
        <w:gridCol w:w="3813"/>
        <w:gridCol w:w="4081"/>
        <w:gridCol w:w="472"/>
        <w:gridCol w:w="1800"/>
        <w:gridCol w:w="2557"/>
        <w:tblGridChange w:id="3110">
          <w:tblGrid>
            <w:gridCol w:w="45"/>
            <w:gridCol w:w="384"/>
            <w:gridCol w:w="45"/>
            <w:gridCol w:w="961"/>
            <w:gridCol w:w="45"/>
            <w:gridCol w:w="3768"/>
            <w:gridCol w:w="45"/>
            <w:gridCol w:w="4036"/>
            <w:gridCol w:w="45"/>
            <w:gridCol w:w="427"/>
            <w:gridCol w:w="45"/>
            <w:gridCol w:w="1755"/>
            <w:gridCol w:w="45"/>
            <w:gridCol w:w="2512"/>
            <w:gridCol w:w="45"/>
          </w:tblGrid>
        </w:tblGridChange>
      </w:tblGrid>
      <w:tr w14:paraId="4A5D10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blHeader/>
          <w:jc w:val="center"/>
        </w:trPr>
        <w:tc>
          <w:tcPr>
            <w:tcW w:w="429" w:type="dxa"/>
            <w:vMerge w:val="restart"/>
            <w:tcBorders>
              <w:tl2br w:val="nil"/>
              <w:tr2bl w:val="nil"/>
            </w:tcBorders>
            <w:shd w:val="clear" w:color="auto" w:fill="auto"/>
            <w:noWrap/>
            <w:tcMar>
              <w:top w:w="15" w:type="dxa"/>
              <w:left w:w="15" w:type="dxa"/>
              <w:right w:w="15" w:type="dxa"/>
            </w:tcMar>
            <w:vAlign w:val="center"/>
          </w:tcPr>
          <w:p w14:paraId="69C56FE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方正黑体_GBK" w:hAnsi="方正黑体_GBK" w:eastAsia="方正黑体_GBK" w:cs="方正黑体_GBK"/>
                <w:sz w:val="18"/>
                <w:szCs w:val="18"/>
              </w:rPr>
            </w:pPr>
            <w:r>
              <w:rPr>
                <w:rFonts w:hint="eastAsia" w:ascii="方正黑体_GBK" w:hAnsi="方正黑体_GBK" w:eastAsia="方正黑体_GBK" w:cs="方正黑体_GBK"/>
                <w:kern w:val="0"/>
                <w:sz w:val="18"/>
                <w:szCs w:val="18"/>
                <w:lang w:bidi="ar"/>
              </w:rPr>
              <w:t>序号</w:t>
            </w:r>
          </w:p>
        </w:tc>
        <w:tc>
          <w:tcPr>
            <w:tcW w:w="1006" w:type="dxa"/>
            <w:vMerge w:val="restart"/>
            <w:tcBorders>
              <w:tl2br w:val="nil"/>
              <w:tr2bl w:val="nil"/>
            </w:tcBorders>
            <w:shd w:val="clear" w:color="auto" w:fill="auto"/>
            <w:tcMar>
              <w:top w:w="15" w:type="dxa"/>
              <w:left w:w="15" w:type="dxa"/>
              <w:right w:w="15" w:type="dxa"/>
            </w:tcMar>
            <w:vAlign w:val="center"/>
          </w:tcPr>
          <w:p w14:paraId="36AA5C4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方正黑体_GBK" w:hAnsi="方正黑体_GBK" w:eastAsia="方正黑体_GBK" w:cs="方正黑体_GBK"/>
                <w:sz w:val="18"/>
                <w:szCs w:val="18"/>
              </w:rPr>
            </w:pPr>
            <w:r>
              <w:rPr>
                <w:rFonts w:hint="eastAsia" w:ascii="方正黑体_GBK" w:hAnsi="方正黑体_GBK" w:eastAsia="方正黑体_GBK" w:cs="方正黑体_GBK"/>
                <w:kern w:val="0"/>
                <w:sz w:val="18"/>
                <w:szCs w:val="18"/>
                <w:lang w:bidi="ar"/>
              </w:rPr>
              <w:t>违法行为</w:t>
            </w:r>
          </w:p>
        </w:tc>
        <w:tc>
          <w:tcPr>
            <w:tcW w:w="7894" w:type="dxa"/>
            <w:gridSpan w:val="2"/>
            <w:tcBorders>
              <w:tl2br w:val="nil"/>
              <w:tr2bl w:val="nil"/>
            </w:tcBorders>
            <w:shd w:val="clear" w:color="auto" w:fill="auto"/>
            <w:tcMar>
              <w:top w:w="15" w:type="dxa"/>
              <w:left w:w="15" w:type="dxa"/>
              <w:right w:w="15" w:type="dxa"/>
            </w:tcMar>
            <w:vAlign w:val="center"/>
          </w:tcPr>
          <w:p w14:paraId="497692E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方正黑体_GBK" w:hAnsi="方正黑体_GBK" w:eastAsia="方正黑体_GBK" w:cs="方正黑体_GBK"/>
                <w:kern w:val="0"/>
                <w:sz w:val="18"/>
                <w:szCs w:val="18"/>
                <w:lang w:bidi="ar"/>
              </w:rPr>
              <w:t>法定依据</w:t>
            </w:r>
          </w:p>
        </w:tc>
        <w:tc>
          <w:tcPr>
            <w:tcW w:w="472" w:type="dxa"/>
            <w:vMerge w:val="restart"/>
            <w:tcBorders>
              <w:tl2br w:val="nil"/>
              <w:tr2bl w:val="nil"/>
            </w:tcBorders>
            <w:shd w:val="clear" w:color="auto" w:fill="auto"/>
            <w:noWrap/>
            <w:tcMar>
              <w:top w:w="15" w:type="dxa"/>
              <w:left w:w="15" w:type="dxa"/>
              <w:right w:w="15" w:type="dxa"/>
            </w:tcMar>
            <w:vAlign w:val="center"/>
          </w:tcPr>
          <w:p w14:paraId="11398BDD">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方正黑体_GBK" w:hAnsi="方正黑体_GBK" w:eastAsia="方正黑体_GBK" w:cs="方正黑体_GBK"/>
                <w:kern w:val="0"/>
                <w:sz w:val="18"/>
                <w:szCs w:val="18"/>
                <w:lang w:bidi="ar"/>
              </w:rPr>
              <w:t>裁量阶次</w:t>
            </w:r>
          </w:p>
        </w:tc>
        <w:tc>
          <w:tcPr>
            <w:tcW w:w="1800" w:type="dxa"/>
            <w:vMerge w:val="restart"/>
            <w:tcBorders>
              <w:tl2br w:val="nil"/>
              <w:tr2bl w:val="nil"/>
            </w:tcBorders>
            <w:shd w:val="clear" w:color="auto" w:fill="auto"/>
            <w:tcMar>
              <w:top w:w="15" w:type="dxa"/>
              <w:left w:w="15" w:type="dxa"/>
              <w:right w:w="15" w:type="dxa"/>
            </w:tcMar>
            <w:vAlign w:val="center"/>
          </w:tcPr>
          <w:p w14:paraId="597120D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方正黑体_GBK" w:hAnsi="方正黑体_GBK" w:eastAsia="方正黑体_GBK" w:cs="方正黑体_GBK"/>
                <w:kern w:val="0"/>
                <w:sz w:val="18"/>
                <w:szCs w:val="18"/>
                <w:lang w:bidi="ar"/>
              </w:rPr>
              <w:t>适用条件</w:t>
            </w:r>
          </w:p>
        </w:tc>
        <w:tc>
          <w:tcPr>
            <w:tcW w:w="2557" w:type="dxa"/>
            <w:vMerge w:val="restart"/>
            <w:tcBorders>
              <w:tl2br w:val="nil"/>
              <w:tr2bl w:val="nil"/>
            </w:tcBorders>
            <w:shd w:val="clear" w:color="auto" w:fill="auto"/>
            <w:tcMar>
              <w:top w:w="15" w:type="dxa"/>
              <w:left w:w="15" w:type="dxa"/>
              <w:right w:w="15" w:type="dxa"/>
            </w:tcMar>
            <w:vAlign w:val="center"/>
          </w:tcPr>
          <w:p w14:paraId="2A69E32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方正黑体_GBK" w:hAnsi="方正黑体_GBK" w:eastAsia="方正黑体_GBK" w:cs="方正黑体_GBK"/>
                <w:kern w:val="0"/>
                <w:sz w:val="18"/>
                <w:szCs w:val="18"/>
                <w:lang w:bidi="ar"/>
              </w:rPr>
              <w:t>处罚标准</w:t>
            </w:r>
          </w:p>
        </w:tc>
      </w:tr>
      <w:tr w14:paraId="644D97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blHeader/>
          <w:jc w:val="center"/>
        </w:trPr>
        <w:tc>
          <w:tcPr>
            <w:tcW w:w="429" w:type="dxa"/>
            <w:vMerge w:val="continue"/>
            <w:tcBorders>
              <w:tl2br w:val="nil"/>
              <w:tr2bl w:val="nil"/>
            </w:tcBorders>
            <w:shd w:val="clear" w:color="auto" w:fill="auto"/>
            <w:noWrap/>
            <w:tcMar>
              <w:top w:w="15" w:type="dxa"/>
              <w:left w:w="15" w:type="dxa"/>
              <w:right w:w="15" w:type="dxa"/>
            </w:tcMar>
            <w:vAlign w:val="center"/>
          </w:tcPr>
          <w:p w14:paraId="0B6A03D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5BA9CBA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tcBorders>
              <w:tl2br w:val="nil"/>
              <w:tr2bl w:val="nil"/>
            </w:tcBorders>
            <w:shd w:val="clear" w:color="auto" w:fill="auto"/>
            <w:tcMar>
              <w:top w:w="15" w:type="dxa"/>
              <w:left w:w="15" w:type="dxa"/>
              <w:right w:w="15" w:type="dxa"/>
            </w:tcMar>
            <w:vAlign w:val="center"/>
          </w:tcPr>
          <w:p w14:paraId="64E887D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方正黑体_GBK" w:hAnsi="方正黑体_GBK" w:eastAsia="方正黑体_GBK" w:cs="方正黑体_GBK"/>
                <w:kern w:val="0"/>
                <w:sz w:val="18"/>
                <w:szCs w:val="18"/>
                <w:lang w:bidi="ar"/>
              </w:rPr>
              <w:t>违法依据</w:t>
            </w:r>
          </w:p>
        </w:tc>
        <w:tc>
          <w:tcPr>
            <w:tcW w:w="4081" w:type="dxa"/>
            <w:tcBorders>
              <w:tl2br w:val="nil"/>
              <w:tr2bl w:val="nil"/>
            </w:tcBorders>
            <w:shd w:val="clear" w:color="auto" w:fill="auto"/>
            <w:tcMar>
              <w:top w:w="15" w:type="dxa"/>
              <w:left w:w="15" w:type="dxa"/>
              <w:right w:w="15" w:type="dxa"/>
            </w:tcMar>
            <w:vAlign w:val="center"/>
          </w:tcPr>
          <w:p w14:paraId="509CBFD4">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方正黑体_GBK" w:hAnsi="方正黑体_GBK" w:eastAsia="方正黑体_GBK" w:cs="方正黑体_GBK"/>
                <w:kern w:val="0"/>
                <w:sz w:val="18"/>
                <w:szCs w:val="18"/>
                <w:lang w:bidi="ar"/>
              </w:rPr>
              <w:t>处罚依据</w:t>
            </w:r>
          </w:p>
        </w:tc>
        <w:tc>
          <w:tcPr>
            <w:tcW w:w="472" w:type="dxa"/>
            <w:vMerge w:val="continue"/>
            <w:tcBorders>
              <w:tl2br w:val="nil"/>
              <w:tr2bl w:val="nil"/>
            </w:tcBorders>
            <w:shd w:val="clear" w:color="auto" w:fill="auto"/>
            <w:noWrap/>
            <w:tcMar>
              <w:top w:w="15" w:type="dxa"/>
              <w:left w:w="15" w:type="dxa"/>
              <w:right w:w="15" w:type="dxa"/>
            </w:tcMar>
            <w:vAlign w:val="center"/>
          </w:tcPr>
          <w:p w14:paraId="421E6FA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p>
        </w:tc>
        <w:tc>
          <w:tcPr>
            <w:tcW w:w="1800" w:type="dxa"/>
            <w:vMerge w:val="continue"/>
            <w:tcBorders>
              <w:tl2br w:val="nil"/>
              <w:tr2bl w:val="nil"/>
            </w:tcBorders>
            <w:shd w:val="clear" w:color="auto" w:fill="auto"/>
            <w:tcMar>
              <w:top w:w="15" w:type="dxa"/>
              <w:left w:w="15" w:type="dxa"/>
              <w:right w:w="15" w:type="dxa"/>
            </w:tcMar>
            <w:vAlign w:val="center"/>
          </w:tcPr>
          <w:p w14:paraId="4168BB9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p>
        </w:tc>
        <w:tc>
          <w:tcPr>
            <w:tcW w:w="2557" w:type="dxa"/>
            <w:vMerge w:val="continue"/>
            <w:tcBorders>
              <w:tl2br w:val="nil"/>
              <w:tr2bl w:val="nil"/>
            </w:tcBorders>
            <w:shd w:val="clear" w:color="auto" w:fill="auto"/>
            <w:tcMar>
              <w:top w:w="15" w:type="dxa"/>
              <w:left w:w="15" w:type="dxa"/>
              <w:right w:w="15" w:type="dxa"/>
            </w:tcMar>
            <w:vAlign w:val="center"/>
          </w:tcPr>
          <w:p w14:paraId="255467C4">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p>
        </w:tc>
      </w:tr>
      <w:tr w14:paraId="786115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restart"/>
            <w:tcBorders>
              <w:tl2br w:val="nil"/>
              <w:tr2bl w:val="nil"/>
            </w:tcBorders>
            <w:shd w:val="clear" w:color="auto" w:fill="auto"/>
            <w:noWrap/>
            <w:tcMar>
              <w:top w:w="15" w:type="dxa"/>
              <w:left w:w="15" w:type="dxa"/>
              <w:right w:w="15" w:type="dxa"/>
            </w:tcMar>
            <w:vAlign w:val="center"/>
          </w:tcPr>
          <w:p w14:paraId="529A6E7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bidi="ar"/>
              </w:rPr>
              <w:t>2</w:t>
            </w:r>
            <w:del w:id="3111" w:author="LV" w:date="2026-07-14T17:16:31Z">
              <w:r>
                <w:rPr>
                  <w:rFonts w:hint="default" w:ascii="仿宋_GB2312" w:hAnsi="宋体" w:eastAsia="仿宋_GB2312" w:cs="仿宋_GB2312"/>
                  <w:kern w:val="0"/>
                  <w:sz w:val="18"/>
                  <w:szCs w:val="18"/>
                  <w:lang w:val="en-US" w:bidi="ar"/>
                </w:rPr>
                <w:delText>2</w:delText>
              </w:r>
            </w:del>
            <w:del w:id="3112" w:author="LV" w:date="2026-07-14T17:16:31Z">
              <w:r>
                <w:rPr>
                  <w:rFonts w:hint="default" w:ascii="仿宋_GB2312" w:hAnsi="宋体" w:eastAsia="仿宋_GB2312" w:cs="仿宋_GB2312"/>
                  <w:kern w:val="0"/>
                  <w:sz w:val="18"/>
                  <w:szCs w:val="18"/>
                  <w:lang w:val="en-US" w:eastAsia="zh-CN" w:bidi="ar"/>
                </w:rPr>
                <w:delText>3</w:delText>
              </w:r>
            </w:del>
            <w:ins w:id="3113" w:author="LV" w:date="2026-07-14T17:16:31Z">
              <w:r>
                <w:rPr>
                  <w:rFonts w:hint="eastAsia" w:ascii="仿宋_GB2312" w:hAnsi="宋体" w:eastAsia="仿宋_GB2312" w:cs="仿宋_GB2312"/>
                  <w:kern w:val="0"/>
                  <w:sz w:val="18"/>
                  <w:szCs w:val="18"/>
                  <w:lang w:val="en-US" w:eastAsia="zh-CN" w:bidi="ar"/>
                </w:rPr>
                <w:t>30</w:t>
              </w:r>
            </w:ins>
          </w:p>
        </w:tc>
        <w:tc>
          <w:tcPr>
            <w:tcW w:w="1006" w:type="dxa"/>
            <w:vMerge w:val="restart"/>
            <w:tcBorders>
              <w:tl2br w:val="nil"/>
              <w:tr2bl w:val="nil"/>
            </w:tcBorders>
            <w:shd w:val="clear" w:color="auto" w:fill="auto"/>
            <w:tcMar>
              <w:top w:w="15" w:type="dxa"/>
              <w:left w:w="15" w:type="dxa"/>
              <w:right w:w="15" w:type="dxa"/>
            </w:tcMar>
            <w:vAlign w:val="center"/>
          </w:tcPr>
          <w:p w14:paraId="0E8F38D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窃电</w:t>
            </w:r>
          </w:p>
        </w:tc>
        <w:tc>
          <w:tcPr>
            <w:tcW w:w="3813" w:type="dxa"/>
            <w:vMerge w:val="restart"/>
            <w:tcBorders>
              <w:tl2br w:val="nil"/>
              <w:tr2bl w:val="nil"/>
            </w:tcBorders>
            <w:shd w:val="clear" w:color="auto" w:fill="auto"/>
            <w:tcMar>
              <w:top w:w="15" w:type="dxa"/>
              <w:left w:w="15" w:type="dxa"/>
              <w:right w:w="15" w:type="dxa"/>
            </w:tcMar>
            <w:vAlign w:val="center"/>
          </w:tcPr>
          <w:p w14:paraId="13E4525A">
            <w:pPr>
              <w:keepNext w:val="0"/>
              <w:keepLines w:val="0"/>
              <w:pageBreakBefore w:val="0"/>
              <w:widowControl w:val="0"/>
              <w:kinsoku/>
              <w:wordWrap/>
              <w:overflowPunct w:val="0"/>
              <w:topLinePunct w:val="0"/>
              <w:autoSpaceDE/>
              <w:autoSpaceDN/>
              <w:bidi w:val="0"/>
              <w:adjustRightInd/>
              <w:snapToGrid/>
              <w:spacing w:line="25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《电力供应和使用条例》第三十一条</w:t>
            </w:r>
            <w:r>
              <w:rPr>
                <w:rFonts w:hint="eastAsia" w:ascii="仿宋_GB2312" w:hAnsi="宋体" w:eastAsia="仿宋_GB2312" w:cs="仿宋_GB2312"/>
                <w:kern w:val="0"/>
                <w:sz w:val="18"/>
                <w:szCs w:val="18"/>
                <w:lang w:val="en-US" w:eastAsia="zh-CN" w:bidi="ar"/>
              </w:rPr>
              <w:t xml:space="preserve"> </w:t>
            </w:r>
            <w:r>
              <w:rPr>
                <w:rFonts w:hint="eastAsia" w:ascii="仿宋_GB2312" w:hAnsi="宋体" w:eastAsia="仿宋_GB2312" w:cs="仿宋_GB2312"/>
                <w:kern w:val="0"/>
                <w:sz w:val="18"/>
                <w:szCs w:val="18"/>
                <w:lang w:bidi="ar"/>
              </w:rPr>
              <w:t>禁止窃电行为。窃电行为包括:</w:t>
            </w:r>
          </w:p>
          <w:p w14:paraId="72465306">
            <w:pPr>
              <w:keepNext w:val="0"/>
              <w:keepLines w:val="0"/>
              <w:pageBreakBefore w:val="0"/>
              <w:widowControl w:val="0"/>
              <w:kinsoku/>
              <w:wordWrap/>
              <w:overflowPunct w:val="0"/>
              <w:topLinePunct w:val="0"/>
              <w:autoSpaceDE/>
              <w:autoSpaceDN/>
              <w:bidi w:val="0"/>
              <w:adjustRightInd/>
              <w:snapToGrid/>
              <w:spacing w:line="25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(一)在供电企业的供电设施上，擅自接线用电;</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(二)绕越供电企业的用电计量装置用电:</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(三)伪造或者开启法定的或者授权的计量检定机构加封的用电计量装置封印用电:</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(四)故意损坏供电企业用电计量装置;</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(五)故意使供电企业的用电计量装置计量不准或者失效;</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(六)采用其他方法窃电</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《山东省电力设施和电能保护条例》第三十三条 任何单位和个人不得以非法占有电能为目的，实施下列窃电行为:</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（一）擅自在供电企业的供电设施或者他人的电力设施上接线用电；</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（二）绕越法定的用电计量装置用电；</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（三）伪造或者开启计量检定机构加封的用电计量装置封印用电；</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（四）故意损坏供电企业用电计量装置；</w:t>
            </w:r>
          </w:p>
          <w:p w14:paraId="5DFF0BFB">
            <w:pPr>
              <w:keepNext w:val="0"/>
              <w:keepLines w:val="0"/>
              <w:pageBreakBefore w:val="0"/>
              <w:widowControl w:val="0"/>
              <w:kinsoku/>
              <w:wordWrap/>
              <w:overflowPunct w:val="0"/>
              <w:topLinePunct w:val="0"/>
              <w:autoSpaceDE/>
              <w:autoSpaceDN/>
              <w:bidi w:val="0"/>
              <w:adjustRightInd/>
              <w:snapToGrid/>
              <w:spacing w:line="25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（五）以改变接线等方式故意使用电计量装置计量不准或者失效用电；</w:t>
            </w:r>
          </w:p>
          <w:p w14:paraId="69ECC028">
            <w:pPr>
              <w:keepNext w:val="0"/>
              <w:keepLines w:val="0"/>
              <w:pageBreakBefore w:val="0"/>
              <w:widowControl w:val="0"/>
              <w:kinsoku/>
              <w:wordWrap/>
              <w:overflowPunct w:val="0"/>
              <w:topLinePunct w:val="0"/>
              <w:autoSpaceDE/>
              <w:autoSpaceDN/>
              <w:bidi w:val="0"/>
              <w:adjustRightInd/>
              <w:snapToGrid/>
              <w:spacing w:line="25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（六）擅自变更计量用电压互感器和电流互感器变比等计量设备参数，造成电费损失；</w:t>
            </w:r>
          </w:p>
          <w:p w14:paraId="69ACF813">
            <w:pPr>
              <w:keepNext w:val="0"/>
              <w:keepLines w:val="0"/>
              <w:pageBreakBefore w:val="0"/>
              <w:widowControl w:val="0"/>
              <w:kinsoku/>
              <w:wordWrap/>
              <w:overflowPunct w:val="0"/>
              <w:topLinePunct w:val="0"/>
              <w:autoSpaceDE/>
              <w:autoSpaceDN/>
              <w:bidi w:val="0"/>
              <w:adjustRightInd/>
              <w:snapToGrid/>
              <w:spacing w:line="25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（七）擅自改变用电类别用电；</w:t>
            </w:r>
          </w:p>
          <w:p w14:paraId="1E9147CD">
            <w:pPr>
              <w:keepNext w:val="0"/>
              <w:keepLines w:val="0"/>
              <w:pageBreakBefore w:val="0"/>
              <w:widowControl w:val="0"/>
              <w:kinsoku/>
              <w:wordWrap/>
              <w:overflowPunct w:val="0"/>
              <w:topLinePunct w:val="0"/>
              <w:autoSpaceDE/>
              <w:autoSpaceDN/>
              <w:bidi w:val="0"/>
              <w:adjustRightInd/>
              <w:snapToGrid/>
              <w:spacing w:line="25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（八）使用电费卡非法充值后用电；</w:t>
            </w:r>
          </w:p>
          <w:p w14:paraId="607DB63A">
            <w:pPr>
              <w:keepNext w:val="0"/>
              <w:keepLines w:val="0"/>
              <w:pageBreakBefore w:val="0"/>
              <w:widowControl w:val="0"/>
              <w:kinsoku/>
              <w:wordWrap/>
              <w:overflowPunct w:val="0"/>
              <w:topLinePunct w:val="0"/>
              <w:autoSpaceDE/>
              <w:autoSpaceDN/>
              <w:bidi w:val="0"/>
              <w:adjustRightInd/>
              <w:snapToGrid/>
              <w:spacing w:line="25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（九）擅自调整分时电能表时段或者时钟，使其少计费或者不计费；</w:t>
            </w:r>
          </w:p>
          <w:p w14:paraId="54133F0C">
            <w:pPr>
              <w:keepNext w:val="0"/>
              <w:keepLines w:val="0"/>
              <w:pageBreakBefore w:val="0"/>
              <w:widowControl w:val="0"/>
              <w:kinsoku/>
              <w:wordWrap/>
              <w:overflowPunct w:val="0"/>
              <w:topLinePunct w:val="0"/>
              <w:autoSpaceDE/>
              <w:autoSpaceDN/>
              <w:bidi w:val="0"/>
              <w:adjustRightInd/>
              <w:snapToGrid/>
              <w:spacing w:line="25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（十）私自变更变压器容量或者铭牌参数；</w:t>
            </w:r>
          </w:p>
          <w:p w14:paraId="479856EB">
            <w:pPr>
              <w:keepNext w:val="0"/>
              <w:keepLines w:val="0"/>
              <w:pageBreakBefore w:val="0"/>
              <w:widowControl w:val="0"/>
              <w:kinsoku/>
              <w:wordWrap/>
              <w:overflowPunct w:val="0"/>
              <w:topLinePunct w:val="0"/>
              <w:autoSpaceDE/>
              <w:autoSpaceDN/>
              <w:bidi w:val="0"/>
              <w:adjustRightInd/>
              <w:snapToGrid/>
              <w:spacing w:line="25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（十一）采用其他手段实施的窃电行为。</w:t>
            </w:r>
          </w:p>
          <w:p w14:paraId="6DAD740F">
            <w:pPr>
              <w:keepNext w:val="0"/>
              <w:keepLines w:val="0"/>
              <w:pageBreakBefore w:val="0"/>
              <w:widowControl w:val="0"/>
              <w:kinsoku/>
              <w:wordWrap/>
              <w:overflowPunct w:val="0"/>
              <w:topLinePunct w:val="0"/>
              <w:autoSpaceDE/>
              <w:autoSpaceDN/>
              <w:bidi w:val="0"/>
              <w:adjustRightInd/>
              <w:snapToGrid/>
              <w:spacing w:line="25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禁止教唆、胁迫、指使、协助他人窃电或者向他人传授窃电方法。</w:t>
            </w:r>
          </w:p>
          <w:p w14:paraId="7909475B">
            <w:pPr>
              <w:keepNext w:val="0"/>
              <w:keepLines w:val="0"/>
              <w:pageBreakBefore w:val="0"/>
              <w:widowControl w:val="0"/>
              <w:kinsoku/>
              <w:wordWrap/>
              <w:overflowPunct w:val="0"/>
              <w:topLinePunct w:val="0"/>
              <w:autoSpaceDE/>
              <w:autoSpaceDN/>
              <w:bidi w:val="0"/>
              <w:adjustRightInd/>
              <w:snapToGrid/>
              <w:spacing w:line="25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禁止生产、销售或者使用窃电装置。</w:t>
            </w:r>
          </w:p>
        </w:tc>
        <w:tc>
          <w:tcPr>
            <w:tcW w:w="4081" w:type="dxa"/>
            <w:vMerge w:val="restart"/>
            <w:tcBorders>
              <w:tl2br w:val="nil"/>
              <w:tr2bl w:val="nil"/>
            </w:tcBorders>
            <w:shd w:val="clear" w:color="auto" w:fill="auto"/>
            <w:tcMar>
              <w:top w:w="15" w:type="dxa"/>
              <w:left w:w="15" w:type="dxa"/>
              <w:right w:w="15" w:type="dxa"/>
            </w:tcMar>
            <w:vAlign w:val="center"/>
          </w:tcPr>
          <w:p w14:paraId="3B55000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《山东省电力设施和电能保护条例》第五十三条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违反本条例第三十三条第一款，实施窃电行为的，由</w:t>
            </w:r>
            <w:r>
              <w:rPr>
                <w:rFonts w:hint="eastAsia" w:ascii="仿宋_GB2312" w:hAnsi="宋体" w:eastAsia="仿宋_GB2312" w:cs="仿宋_GB2312"/>
                <w:kern w:val="0"/>
                <w:sz w:val="18"/>
                <w:szCs w:val="18"/>
                <w:lang w:eastAsia="zh-CN" w:bidi="ar"/>
              </w:rPr>
              <w:t>电力管理部门</w:t>
            </w:r>
            <w:r>
              <w:rPr>
                <w:rFonts w:hint="eastAsia" w:ascii="仿宋_GB2312" w:hAnsi="宋体" w:eastAsia="仿宋_GB2312" w:cs="仿宋_GB2312"/>
                <w:kern w:val="0"/>
                <w:sz w:val="18"/>
                <w:szCs w:val="18"/>
                <w:lang w:bidi="ar"/>
              </w:rPr>
              <w:t>责令停止违法行为，没收窃电装置，限期补交电费，并处应交电费五倍以下的罚款；因窃电造成电力设施损坏或者他人人身财产损害的，窃电者应当依法承担赔偿责任。构成违反治安管理行为的，由公安机关依法处罚；构成犯罪的，依法追究刑事责任。</w:t>
            </w:r>
          </w:p>
        </w:tc>
        <w:tc>
          <w:tcPr>
            <w:tcW w:w="472" w:type="dxa"/>
            <w:tcBorders>
              <w:tl2br w:val="nil"/>
              <w:tr2bl w:val="nil"/>
            </w:tcBorders>
            <w:shd w:val="clear" w:color="auto" w:fill="auto"/>
            <w:noWrap/>
            <w:tcMar>
              <w:top w:w="15" w:type="dxa"/>
              <w:left w:w="15" w:type="dxa"/>
              <w:right w:w="15" w:type="dxa"/>
            </w:tcMar>
            <w:vAlign w:val="center"/>
          </w:tcPr>
          <w:p w14:paraId="41002A7F">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不予处罚</w:t>
            </w:r>
          </w:p>
        </w:tc>
        <w:tc>
          <w:tcPr>
            <w:tcW w:w="1800" w:type="dxa"/>
            <w:tcBorders>
              <w:tl2br w:val="nil"/>
              <w:tr2bl w:val="nil"/>
            </w:tcBorders>
            <w:shd w:val="clear" w:color="auto" w:fill="auto"/>
            <w:tcMar>
              <w:top w:w="15" w:type="dxa"/>
              <w:left w:w="15" w:type="dxa"/>
              <w:right w:w="15" w:type="dxa"/>
            </w:tcMar>
            <w:vAlign w:val="center"/>
          </w:tcPr>
          <w:p w14:paraId="7B6EF2C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71E38E9D">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630F68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continue"/>
            <w:tcBorders>
              <w:tl2br w:val="nil"/>
              <w:tr2bl w:val="nil"/>
            </w:tcBorders>
            <w:shd w:val="clear" w:color="auto" w:fill="auto"/>
            <w:noWrap/>
            <w:tcMar>
              <w:top w:w="15" w:type="dxa"/>
              <w:left w:w="15" w:type="dxa"/>
              <w:right w:w="15" w:type="dxa"/>
            </w:tcMar>
            <w:vAlign w:val="center"/>
          </w:tcPr>
          <w:p w14:paraId="3FF3A9E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6E16B84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3B341F0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29C25A2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noWrap/>
            <w:tcMar>
              <w:top w:w="15" w:type="dxa"/>
              <w:left w:w="15" w:type="dxa"/>
              <w:right w:w="15" w:type="dxa"/>
            </w:tcMar>
            <w:vAlign w:val="center"/>
          </w:tcPr>
          <w:p w14:paraId="60451EC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ascii="仿宋_GB2312" w:hAnsi="宋体" w:eastAsia="仿宋_GB2312" w:cs="仿宋_GB2312"/>
                <w:kern w:val="0"/>
                <w:sz w:val="18"/>
                <w:szCs w:val="18"/>
                <w:lang w:bidi="ar"/>
              </w:rPr>
              <w:t>免予处罚</w:t>
            </w:r>
          </w:p>
        </w:tc>
        <w:tc>
          <w:tcPr>
            <w:tcW w:w="1800" w:type="dxa"/>
            <w:tcBorders>
              <w:tl2br w:val="nil"/>
              <w:tr2bl w:val="nil"/>
            </w:tcBorders>
            <w:shd w:val="clear" w:color="auto" w:fill="auto"/>
            <w:tcMar>
              <w:top w:w="15" w:type="dxa"/>
              <w:left w:w="15" w:type="dxa"/>
              <w:right w:w="15" w:type="dxa"/>
            </w:tcMar>
            <w:vAlign w:val="center"/>
          </w:tcPr>
          <w:p w14:paraId="77D858B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6316B81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48C7D4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continue"/>
            <w:tcBorders>
              <w:tl2br w:val="nil"/>
              <w:tr2bl w:val="nil"/>
            </w:tcBorders>
            <w:shd w:val="clear" w:color="auto" w:fill="auto"/>
            <w:noWrap/>
            <w:tcMar>
              <w:top w:w="15" w:type="dxa"/>
              <w:left w:w="15" w:type="dxa"/>
              <w:right w:w="15" w:type="dxa"/>
            </w:tcMar>
            <w:vAlign w:val="center"/>
          </w:tcPr>
          <w:p w14:paraId="7455AE1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6B0864B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7A364F7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0B40D6C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noWrap/>
            <w:tcMar>
              <w:top w:w="15" w:type="dxa"/>
              <w:left w:w="15" w:type="dxa"/>
              <w:right w:w="15" w:type="dxa"/>
            </w:tcMar>
            <w:vAlign w:val="center"/>
          </w:tcPr>
          <w:p w14:paraId="2083A11D">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减轻处罚</w:t>
            </w:r>
          </w:p>
        </w:tc>
        <w:tc>
          <w:tcPr>
            <w:tcW w:w="1800" w:type="dxa"/>
            <w:tcBorders>
              <w:tl2br w:val="nil"/>
              <w:tr2bl w:val="nil"/>
            </w:tcBorders>
            <w:shd w:val="clear" w:color="auto" w:fill="auto"/>
            <w:tcMar>
              <w:top w:w="15" w:type="dxa"/>
              <w:left w:w="15" w:type="dxa"/>
              <w:right w:w="15" w:type="dxa"/>
            </w:tcMar>
            <w:vAlign w:val="center"/>
          </w:tcPr>
          <w:p w14:paraId="6DE33DB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50520D1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1278AC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noWrap/>
            <w:tcMar>
              <w:top w:w="15" w:type="dxa"/>
              <w:left w:w="15" w:type="dxa"/>
              <w:right w:w="15" w:type="dxa"/>
            </w:tcMar>
            <w:vAlign w:val="center"/>
          </w:tcPr>
          <w:p w14:paraId="6C8E340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304D0A2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067E02F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130E787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noWrap/>
            <w:tcMar>
              <w:top w:w="15" w:type="dxa"/>
              <w:left w:w="15" w:type="dxa"/>
              <w:right w:w="15" w:type="dxa"/>
            </w:tcMar>
            <w:vAlign w:val="center"/>
          </w:tcPr>
          <w:p w14:paraId="7C0517E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从轻处罚</w:t>
            </w:r>
          </w:p>
        </w:tc>
        <w:tc>
          <w:tcPr>
            <w:tcW w:w="1800" w:type="dxa"/>
            <w:tcBorders>
              <w:tl2br w:val="nil"/>
              <w:tr2bl w:val="nil"/>
            </w:tcBorders>
            <w:shd w:val="clear" w:color="auto" w:fill="auto"/>
            <w:tcMar>
              <w:top w:w="15" w:type="dxa"/>
              <w:left w:w="15" w:type="dxa"/>
              <w:right w:w="15" w:type="dxa"/>
            </w:tcMar>
            <w:vAlign w:val="center"/>
          </w:tcPr>
          <w:p w14:paraId="43D9950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违反《山东省电力设施和电能保护条例》第五十四条相关规定，窃电应补交正常电费金额六万元以下的。</w:t>
            </w:r>
          </w:p>
        </w:tc>
        <w:tc>
          <w:tcPr>
            <w:tcW w:w="2557" w:type="dxa"/>
            <w:tcBorders>
              <w:tl2br w:val="nil"/>
              <w:tr2bl w:val="nil"/>
            </w:tcBorders>
            <w:shd w:val="clear" w:color="auto" w:fill="auto"/>
            <w:tcMar>
              <w:top w:w="15" w:type="dxa"/>
              <w:left w:w="15" w:type="dxa"/>
              <w:right w:w="15" w:type="dxa"/>
            </w:tcMar>
            <w:vAlign w:val="center"/>
          </w:tcPr>
          <w:p w14:paraId="5CEBE27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责令停止违法行为，没收窃电装置，限期补交电费，处1倍以上2倍以下电费罚款。</w:t>
            </w:r>
          </w:p>
        </w:tc>
      </w:tr>
      <w:tr w14:paraId="00BE2A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noWrap/>
            <w:tcMar>
              <w:top w:w="15" w:type="dxa"/>
              <w:left w:w="15" w:type="dxa"/>
              <w:right w:w="15" w:type="dxa"/>
            </w:tcMar>
            <w:vAlign w:val="center"/>
          </w:tcPr>
          <w:p w14:paraId="3BAEDE6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53585DE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1DEB4AB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31E995A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noWrap/>
            <w:tcMar>
              <w:top w:w="15" w:type="dxa"/>
              <w:left w:w="15" w:type="dxa"/>
              <w:right w:w="15" w:type="dxa"/>
            </w:tcMar>
            <w:vAlign w:val="center"/>
          </w:tcPr>
          <w:p w14:paraId="21D1C56D">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一般处罚</w:t>
            </w:r>
          </w:p>
        </w:tc>
        <w:tc>
          <w:tcPr>
            <w:tcW w:w="1800" w:type="dxa"/>
            <w:tcBorders>
              <w:tl2br w:val="nil"/>
              <w:tr2bl w:val="nil"/>
            </w:tcBorders>
            <w:shd w:val="clear" w:color="auto" w:fill="auto"/>
            <w:tcMar>
              <w:top w:w="15" w:type="dxa"/>
              <w:left w:w="15" w:type="dxa"/>
              <w:right w:w="15" w:type="dxa"/>
            </w:tcMar>
            <w:vAlign w:val="center"/>
          </w:tcPr>
          <w:p w14:paraId="0EF27A2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违反《山东省电力设施和电能保护条例》第五十四条相关规定，窃电应补交正常电费金额六万元至四十万元的。</w:t>
            </w:r>
          </w:p>
        </w:tc>
        <w:tc>
          <w:tcPr>
            <w:tcW w:w="2557" w:type="dxa"/>
            <w:tcBorders>
              <w:tl2br w:val="nil"/>
              <w:tr2bl w:val="nil"/>
            </w:tcBorders>
            <w:shd w:val="clear" w:color="auto" w:fill="auto"/>
            <w:tcMar>
              <w:top w:w="15" w:type="dxa"/>
              <w:left w:w="15" w:type="dxa"/>
              <w:right w:w="15" w:type="dxa"/>
            </w:tcMar>
            <w:vAlign w:val="center"/>
          </w:tcPr>
          <w:p w14:paraId="0EA52ED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责令停止违法行为，没收窃电装置，限期补交电费，处2倍以上4倍以下电费罚款。</w:t>
            </w:r>
          </w:p>
        </w:tc>
      </w:tr>
      <w:tr w14:paraId="647B1D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noWrap/>
            <w:tcMar>
              <w:top w:w="15" w:type="dxa"/>
              <w:left w:w="15" w:type="dxa"/>
              <w:right w:w="15" w:type="dxa"/>
            </w:tcMar>
            <w:vAlign w:val="center"/>
          </w:tcPr>
          <w:p w14:paraId="5D00FE1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76A365F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77A6FAE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2FD49CC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noWrap/>
            <w:tcMar>
              <w:top w:w="15" w:type="dxa"/>
              <w:left w:w="15" w:type="dxa"/>
              <w:right w:w="15" w:type="dxa"/>
            </w:tcMar>
            <w:vAlign w:val="center"/>
          </w:tcPr>
          <w:p w14:paraId="0C71A473">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从重处罚</w:t>
            </w:r>
          </w:p>
        </w:tc>
        <w:tc>
          <w:tcPr>
            <w:tcW w:w="1800" w:type="dxa"/>
            <w:tcBorders>
              <w:tl2br w:val="nil"/>
              <w:tr2bl w:val="nil"/>
            </w:tcBorders>
            <w:shd w:val="clear" w:color="auto" w:fill="auto"/>
            <w:tcMar>
              <w:top w:w="15" w:type="dxa"/>
              <w:left w:w="15" w:type="dxa"/>
              <w:right w:w="15" w:type="dxa"/>
            </w:tcMar>
            <w:vAlign w:val="center"/>
          </w:tcPr>
          <w:p w14:paraId="1009C3A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违反《山东省电力设施和电能保护条例》第五十四条相关规定，窃电应补交正常电费金额四十万元以上的。</w:t>
            </w:r>
          </w:p>
        </w:tc>
        <w:tc>
          <w:tcPr>
            <w:tcW w:w="2557" w:type="dxa"/>
            <w:tcBorders>
              <w:tl2br w:val="nil"/>
              <w:tr2bl w:val="nil"/>
            </w:tcBorders>
            <w:shd w:val="clear" w:color="auto" w:fill="auto"/>
            <w:tcMar>
              <w:top w:w="15" w:type="dxa"/>
              <w:left w:w="15" w:type="dxa"/>
              <w:right w:w="15" w:type="dxa"/>
            </w:tcMar>
            <w:vAlign w:val="center"/>
          </w:tcPr>
          <w:p w14:paraId="02CBB37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责令停止违法行为，没收窃电装置，限期补交电费，处4倍以上5倍以下电费罚款</w:t>
            </w:r>
          </w:p>
        </w:tc>
      </w:tr>
      <w:tr w14:paraId="030FC2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restart"/>
            <w:tcBorders>
              <w:tl2br w:val="nil"/>
              <w:tr2bl w:val="nil"/>
            </w:tcBorders>
            <w:shd w:val="clear" w:color="auto" w:fill="auto"/>
            <w:noWrap/>
            <w:tcMar>
              <w:top w:w="15" w:type="dxa"/>
              <w:left w:w="15" w:type="dxa"/>
              <w:right w:w="15" w:type="dxa"/>
            </w:tcMar>
            <w:vAlign w:val="center"/>
          </w:tcPr>
          <w:p w14:paraId="4C02354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bidi="ar"/>
              </w:rPr>
              <w:t>2</w:t>
            </w:r>
            <w:del w:id="3114" w:author="LV" w:date="2026-07-14T17:16:34Z">
              <w:r>
                <w:rPr>
                  <w:rFonts w:hint="default" w:ascii="仿宋_GB2312" w:hAnsi="宋体" w:eastAsia="仿宋_GB2312" w:cs="仿宋_GB2312"/>
                  <w:kern w:val="0"/>
                  <w:sz w:val="18"/>
                  <w:szCs w:val="18"/>
                  <w:lang w:val="en-US" w:bidi="ar"/>
                </w:rPr>
                <w:delText>2</w:delText>
              </w:r>
            </w:del>
            <w:del w:id="3115" w:author="LV" w:date="2026-07-14T17:16:34Z">
              <w:r>
                <w:rPr>
                  <w:rFonts w:hint="default" w:ascii="仿宋_GB2312" w:hAnsi="宋体" w:eastAsia="仿宋_GB2312" w:cs="仿宋_GB2312"/>
                  <w:kern w:val="0"/>
                  <w:sz w:val="18"/>
                  <w:szCs w:val="18"/>
                  <w:lang w:val="en-US" w:eastAsia="zh-CN" w:bidi="ar"/>
                </w:rPr>
                <w:delText>4</w:delText>
              </w:r>
            </w:del>
            <w:ins w:id="3116" w:author="LV" w:date="2026-07-14T17:16:34Z">
              <w:r>
                <w:rPr>
                  <w:rFonts w:hint="eastAsia" w:ascii="仿宋_GB2312" w:hAnsi="宋体" w:eastAsia="仿宋_GB2312" w:cs="仿宋_GB2312"/>
                  <w:kern w:val="0"/>
                  <w:sz w:val="18"/>
                  <w:szCs w:val="18"/>
                  <w:lang w:val="en-US" w:eastAsia="zh-CN" w:bidi="ar"/>
                </w:rPr>
                <w:t>3</w:t>
              </w:r>
            </w:ins>
            <w:ins w:id="3117" w:author="LV" w:date="2026-07-14T17:16:36Z">
              <w:r>
                <w:rPr>
                  <w:rFonts w:hint="eastAsia" w:ascii="仿宋_GB2312" w:hAnsi="宋体" w:eastAsia="仿宋_GB2312" w:cs="仿宋_GB2312"/>
                  <w:kern w:val="0"/>
                  <w:sz w:val="18"/>
                  <w:szCs w:val="18"/>
                  <w:lang w:val="en-US" w:eastAsia="zh-CN" w:bidi="ar"/>
                </w:rPr>
                <w:t>1</w:t>
              </w:r>
            </w:ins>
          </w:p>
        </w:tc>
        <w:tc>
          <w:tcPr>
            <w:tcW w:w="1006" w:type="dxa"/>
            <w:vMerge w:val="restart"/>
            <w:tcBorders>
              <w:tl2br w:val="nil"/>
              <w:tr2bl w:val="nil"/>
            </w:tcBorders>
            <w:shd w:val="clear" w:color="auto" w:fill="auto"/>
            <w:tcMar>
              <w:top w:w="15" w:type="dxa"/>
              <w:left w:w="15" w:type="dxa"/>
              <w:right w:w="15" w:type="dxa"/>
            </w:tcMar>
            <w:vAlign w:val="center"/>
          </w:tcPr>
          <w:p w14:paraId="4D83D4F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对供电企业实施损害用户合法权益的行为</w:t>
            </w:r>
          </w:p>
        </w:tc>
        <w:tc>
          <w:tcPr>
            <w:tcW w:w="3813" w:type="dxa"/>
            <w:vMerge w:val="restart"/>
            <w:tcBorders>
              <w:tl2br w:val="nil"/>
              <w:tr2bl w:val="nil"/>
            </w:tcBorders>
            <w:shd w:val="clear" w:color="auto" w:fill="auto"/>
            <w:tcMar>
              <w:top w:w="15" w:type="dxa"/>
              <w:left w:w="15" w:type="dxa"/>
              <w:right w:w="15" w:type="dxa"/>
            </w:tcMar>
            <w:vAlign w:val="center"/>
          </w:tcPr>
          <w:p w14:paraId="3D56950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《电力法》第二十六条</w:t>
            </w:r>
            <w:r>
              <w:rPr>
                <w:rFonts w:hint="eastAsia" w:ascii="仿宋_GB2312" w:hAnsi="宋体" w:eastAsia="仿宋_GB2312" w:cs="仿宋_GB2312"/>
                <w:kern w:val="0"/>
                <w:sz w:val="18"/>
                <w:szCs w:val="18"/>
                <w:lang w:val="en-US" w:eastAsia="zh-CN" w:bidi="ar"/>
              </w:rPr>
              <w:t xml:space="preserve"> </w:t>
            </w:r>
            <w:r>
              <w:rPr>
                <w:rFonts w:hint="eastAsia" w:ascii="仿宋_GB2312" w:hAnsi="宋体" w:eastAsia="仿宋_GB2312" w:cs="仿宋_GB2312"/>
                <w:kern w:val="0"/>
                <w:sz w:val="18"/>
                <w:szCs w:val="18"/>
                <w:lang w:bidi="ar"/>
              </w:rPr>
              <w:t>供电营业区内的供电营业机构，对本营业区内的用户有按照国家规定供电的义务；不得违反国家规定对其营业区内申请用电的单位和个人拒绝供电。</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申请新装用电、临时用电、增加用电容量、变更用电和终止用电，应当依照规定的程序办理手续。</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供电企业应当在其营业场所公告用电的程序、制度和收费标准，并提供用户须知资料。</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《山东省电力设施和电能保护条例》第四十一条 供电企业不得实施下列损害用户合法权益的行为:</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（一）无正当理由拒绝供电或者擅自中断、中止供电；</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（二）不执行国家规定的电价，擅自设立收费项目或者变更收费标准；</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（三）不按照规定序位限电；</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（四）擅自增设供电条件或者变相增加用户负担；</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（五）其他损害用户合法权益的行为。</w:t>
            </w:r>
          </w:p>
        </w:tc>
        <w:tc>
          <w:tcPr>
            <w:tcW w:w="4081" w:type="dxa"/>
            <w:vMerge w:val="restart"/>
            <w:tcBorders>
              <w:tl2br w:val="nil"/>
              <w:tr2bl w:val="nil"/>
            </w:tcBorders>
            <w:shd w:val="clear" w:color="auto" w:fill="auto"/>
            <w:tcMar>
              <w:top w:w="15" w:type="dxa"/>
              <w:left w:w="15" w:type="dxa"/>
              <w:right w:w="15" w:type="dxa"/>
            </w:tcMar>
            <w:vAlign w:val="center"/>
          </w:tcPr>
          <w:p w14:paraId="47CDFD8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《山东省电力设施和电能保护条例》第五十四条</w:t>
            </w:r>
            <w:r>
              <w:rPr>
                <w:rFonts w:hint="eastAsia" w:ascii="仿宋_GB2312" w:hAnsi="宋体" w:eastAsia="仿宋_GB2312" w:cs="仿宋_GB2312"/>
                <w:kern w:val="0"/>
                <w:sz w:val="18"/>
                <w:szCs w:val="18"/>
                <w:lang w:val="en-US" w:eastAsia="zh-CN" w:bidi="ar"/>
              </w:rPr>
              <w:t xml:space="preserve"> </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违反本条例第四十一条第一、三、四、五项规定的，由</w:t>
            </w:r>
            <w:r>
              <w:rPr>
                <w:rFonts w:hint="eastAsia" w:ascii="仿宋_GB2312" w:hAnsi="宋体" w:eastAsia="仿宋_GB2312" w:cs="仿宋_GB2312"/>
                <w:kern w:val="0"/>
                <w:sz w:val="18"/>
                <w:szCs w:val="18"/>
                <w:lang w:eastAsia="zh-CN" w:bidi="ar"/>
              </w:rPr>
              <w:t>电力管理部门</w:t>
            </w:r>
            <w:r>
              <w:rPr>
                <w:rFonts w:hint="eastAsia" w:ascii="仿宋_GB2312" w:hAnsi="宋体" w:eastAsia="仿宋_GB2312" w:cs="仿宋_GB2312"/>
                <w:kern w:val="0"/>
                <w:sz w:val="18"/>
                <w:szCs w:val="18"/>
                <w:lang w:bidi="ar"/>
              </w:rPr>
              <w:t>责令改正，并处一万元以上五万元以下罚款。给用户造成人身财产损害的，依法承担赔偿责任。</w:t>
            </w:r>
          </w:p>
          <w:p w14:paraId="494D043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违反本条例第四十一条第二项规定的，由价格主管部门给予警告，责令返还违法收取的费用，并处违法收取费用一倍以上五倍以下的罚款。</w:t>
            </w:r>
          </w:p>
        </w:tc>
        <w:tc>
          <w:tcPr>
            <w:tcW w:w="472" w:type="dxa"/>
            <w:tcBorders>
              <w:tl2br w:val="nil"/>
              <w:tr2bl w:val="nil"/>
            </w:tcBorders>
            <w:shd w:val="clear" w:color="auto" w:fill="auto"/>
            <w:noWrap/>
            <w:tcMar>
              <w:top w:w="15" w:type="dxa"/>
              <w:left w:w="15" w:type="dxa"/>
              <w:right w:w="15" w:type="dxa"/>
            </w:tcMar>
            <w:vAlign w:val="center"/>
          </w:tcPr>
          <w:p w14:paraId="0DD243B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不予处罚</w:t>
            </w:r>
          </w:p>
        </w:tc>
        <w:tc>
          <w:tcPr>
            <w:tcW w:w="1800" w:type="dxa"/>
            <w:tcBorders>
              <w:tl2br w:val="nil"/>
              <w:tr2bl w:val="nil"/>
            </w:tcBorders>
            <w:shd w:val="clear" w:color="auto" w:fill="auto"/>
            <w:tcMar>
              <w:top w:w="15" w:type="dxa"/>
              <w:left w:w="15" w:type="dxa"/>
              <w:right w:w="15" w:type="dxa"/>
            </w:tcMar>
            <w:vAlign w:val="center"/>
          </w:tcPr>
          <w:p w14:paraId="58EE5C1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6E81F03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330FF3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continue"/>
            <w:tcBorders>
              <w:tl2br w:val="nil"/>
              <w:tr2bl w:val="nil"/>
            </w:tcBorders>
            <w:shd w:val="clear" w:color="auto" w:fill="auto"/>
            <w:noWrap/>
            <w:tcMar>
              <w:top w:w="15" w:type="dxa"/>
              <w:left w:w="15" w:type="dxa"/>
              <w:right w:w="15" w:type="dxa"/>
            </w:tcMar>
            <w:vAlign w:val="center"/>
          </w:tcPr>
          <w:p w14:paraId="419A7A3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2A2282B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1C5BE13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6FE85DF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noWrap/>
            <w:tcMar>
              <w:top w:w="15" w:type="dxa"/>
              <w:left w:w="15" w:type="dxa"/>
              <w:right w:w="15" w:type="dxa"/>
            </w:tcMar>
            <w:vAlign w:val="center"/>
          </w:tcPr>
          <w:p w14:paraId="4997F77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ascii="仿宋_GB2312" w:hAnsi="宋体" w:eastAsia="仿宋_GB2312" w:cs="仿宋_GB2312"/>
                <w:kern w:val="0"/>
                <w:sz w:val="18"/>
                <w:szCs w:val="18"/>
                <w:lang w:bidi="ar"/>
              </w:rPr>
              <w:t>免予处罚</w:t>
            </w:r>
          </w:p>
        </w:tc>
        <w:tc>
          <w:tcPr>
            <w:tcW w:w="1800" w:type="dxa"/>
            <w:tcBorders>
              <w:tl2br w:val="nil"/>
              <w:tr2bl w:val="nil"/>
            </w:tcBorders>
            <w:shd w:val="clear" w:color="auto" w:fill="auto"/>
            <w:tcMar>
              <w:top w:w="15" w:type="dxa"/>
              <w:left w:w="15" w:type="dxa"/>
              <w:right w:w="15" w:type="dxa"/>
            </w:tcMar>
            <w:vAlign w:val="center"/>
          </w:tcPr>
          <w:p w14:paraId="34F595B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6CEDB20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7B895F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continue"/>
            <w:tcBorders>
              <w:tl2br w:val="nil"/>
              <w:tr2bl w:val="nil"/>
            </w:tcBorders>
            <w:shd w:val="clear" w:color="auto" w:fill="auto"/>
            <w:noWrap/>
            <w:tcMar>
              <w:top w:w="15" w:type="dxa"/>
              <w:left w:w="15" w:type="dxa"/>
              <w:right w:w="15" w:type="dxa"/>
            </w:tcMar>
            <w:vAlign w:val="center"/>
          </w:tcPr>
          <w:p w14:paraId="3D4E83C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50A918E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70E1678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42F481C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noWrap/>
            <w:tcMar>
              <w:top w:w="15" w:type="dxa"/>
              <w:left w:w="15" w:type="dxa"/>
              <w:right w:w="15" w:type="dxa"/>
            </w:tcMar>
            <w:vAlign w:val="center"/>
          </w:tcPr>
          <w:p w14:paraId="3A3DC68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减轻处罚</w:t>
            </w:r>
          </w:p>
        </w:tc>
        <w:tc>
          <w:tcPr>
            <w:tcW w:w="1800" w:type="dxa"/>
            <w:tcBorders>
              <w:tl2br w:val="nil"/>
              <w:tr2bl w:val="nil"/>
            </w:tcBorders>
            <w:shd w:val="clear" w:color="auto" w:fill="auto"/>
            <w:tcMar>
              <w:top w:w="15" w:type="dxa"/>
              <w:left w:w="15" w:type="dxa"/>
              <w:right w:w="15" w:type="dxa"/>
            </w:tcMar>
            <w:vAlign w:val="center"/>
          </w:tcPr>
          <w:p w14:paraId="28589E9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1E5CC30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79F195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noWrap/>
            <w:tcMar>
              <w:top w:w="15" w:type="dxa"/>
              <w:left w:w="15" w:type="dxa"/>
              <w:right w:w="15" w:type="dxa"/>
            </w:tcMar>
            <w:vAlign w:val="center"/>
          </w:tcPr>
          <w:p w14:paraId="29E4089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5799458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4CCA375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180B424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noWrap/>
            <w:tcMar>
              <w:top w:w="15" w:type="dxa"/>
              <w:left w:w="15" w:type="dxa"/>
              <w:right w:w="15" w:type="dxa"/>
            </w:tcMar>
            <w:vAlign w:val="center"/>
          </w:tcPr>
          <w:p w14:paraId="00632353">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从轻处罚</w:t>
            </w:r>
          </w:p>
        </w:tc>
        <w:tc>
          <w:tcPr>
            <w:tcW w:w="1800" w:type="dxa"/>
            <w:tcBorders>
              <w:tl2br w:val="nil"/>
              <w:tr2bl w:val="nil"/>
            </w:tcBorders>
            <w:shd w:val="clear" w:color="auto" w:fill="auto"/>
            <w:tcMar>
              <w:top w:w="15" w:type="dxa"/>
              <w:left w:w="15" w:type="dxa"/>
              <w:right w:w="15" w:type="dxa"/>
            </w:tcMar>
            <w:vAlign w:val="center"/>
          </w:tcPr>
          <w:p w14:paraId="4ADF8D0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任一损害用户合法权益的行为累计时间</w:t>
            </w:r>
            <w:r>
              <w:rPr>
                <w:rFonts w:hint="eastAsia" w:ascii="仿宋_GB2312" w:hAnsi="宋体" w:eastAsia="仿宋_GB2312" w:cs="仿宋_GB2312"/>
                <w:sz w:val="18"/>
                <w:szCs w:val="18"/>
              </w:rPr>
              <w:t>15日以下。</w:t>
            </w:r>
          </w:p>
        </w:tc>
        <w:tc>
          <w:tcPr>
            <w:tcW w:w="2557" w:type="dxa"/>
            <w:tcBorders>
              <w:tl2br w:val="nil"/>
              <w:tr2bl w:val="nil"/>
            </w:tcBorders>
            <w:shd w:val="clear" w:color="auto" w:fill="auto"/>
            <w:tcMar>
              <w:top w:w="15" w:type="dxa"/>
              <w:left w:w="15" w:type="dxa"/>
              <w:right w:w="15" w:type="dxa"/>
            </w:tcMar>
            <w:vAlign w:val="center"/>
          </w:tcPr>
          <w:p w14:paraId="55BAD53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处1万元以上2万元以下罚款。</w:t>
            </w:r>
          </w:p>
        </w:tc>
      </w:tr>
      <w:tr w14:paraId="04B1A0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noWrap/>
            <w:tcMar>
              <w:top w:w="15" w:type="dxa"/>
              <w:left w:w="15" w:type="dxa"/>
              <w:right w:w="15" w:type="dxa"/>
            </w:tcMar>
            <w:vAlign w:val="center"/>
          </w:tcPr>
          <w:p w14:paraId="58E7322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30BC0A3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09016D9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548FE02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noWrap/>
            <w:tcMar>
              <w:top w:w="15" w:type="dxa"/>
              <w:left w:w="15" w:type="dxa"/>
              <w:right w:w="15" w:type="dxa"/>
            </w:tcMar>
            <w:vAlign w:val="center"/>
          </w:tcPr>
          <w:p w14:paraId="18F36F5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一般处罚</w:t>
            </w:r>
          </w:p>
        </w:tc>
        <w:tc>
          <w:tcPr>
            <w:tcW w:w="1800" w:type="dxa"/>
            <w:tcBorders>
              <w:tl2br w:val="nil"/>
              <w:tr2bl w:val="nil"/>
            </w:tcBorders>
            <w:shd w:val="clear" w:color="auto" w:fill="auto"/>
            <w:tcMar>
              <w:top w:w="15" w:type="dxa"/>
              <w:left w:w="15" w:type="dxa"/>
              <w:right w:w="15" w:type="dxa"/>
            </w:tcMar>
            <w:vAlign w:val="center"/>
          </w:tcPr>
          <w:p w14:paraId="21CA728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任一损害用户合法权益的行为累计时间</w:t>
            </w:r>
            <w:r>
              <w:rPr>
                <w:rFonts w:hint="eastAsia" w:ascii="仿宋_GB2312" w:hAnsi="宋体" w:eastAsia="仿宋_GB2312" w:cs="仿宋_GB2312"/>
                <w:sz w:val="18"/>
                <w:szCs w:val="18"/>
              </w:rPr>
              <w:t>15日以上30日以下。</w:t>
            </w:r>
          </w:p>
        </w:tc>
        <w:tc>
          <w:tcPr>
            <w:tcW w:w="2557" w:type="dxa"/>
            <w:tcBorders>
              <w:tl2br w:val="nil"/>
              <w:tr2bl w:val="nil"/>
            </w:tcBorders>
            <w:shd w:val="clear" w:color="auto" w:fill="auto"/>
            <w:tcMar>
              <w:top w:w="15" w:type="dxa"/>
              <w:left w:w="15" w:type="dxa"/>
              <w:right w:w="15" w:type="dxa"/>
            </w:tcMar>
            <w:vAlign w:val="center"/>
          </w:tcPr>
          <w:p w14:paraId="159EB23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处2万元以上4万元以下罚款。</w:t>
            </w:r>
          </w:p>
        </w:tc>
      </w:tr>
      <w:tr w14:paraId="215AE9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noWrap/>
            <w:tcMar>
              <w:top w:w="15" w:type="dxa"/>
              <w:left w:w="15" w:type="dxa"/>
              <w:right w:w="15" w:type="dxa"/>
            </w:tcMar>
            <w:vAlign w:val="center"/>
          </w:tcPr>
          <w:p w14:paraId="49EDE2D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4571CFA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039E6BB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3C18877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noWrap/>
            <w:tcMar>
              <w:top w:w="15" w:type="dxa"/>
              <w:left w:w="15" w:type="dxa"/>
              <w:right w:w="15" w:type="dxa"/>
            </w:tcMar>
            <w:vAlign w:val="center"/>
          </w:tcPr>
          <w:p w14:paraId="3D4BD126">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从重处罚</w:t>
            </w:r>
          </w:p>
        </w:tc>
        <w:tc>
          <w:tcPr>
            <w:tcW w:w="1800" w:type="dxa"/>
            <w:tcBorders>
              <w:tl2br w:val="nil"/>
              <w:tr2bl w:val="nil"/>
            </w:tcBorders>
            <w:shd w:val="clear" w:color="auto" w:fill="auto"/>
            <w:tcMar>
              <w:top w:w="15" w:type="dxa"/>
              <w:left w:w="15" w:type="dxa"/>
              <w:right w:w="15" w:type="dxa"/>
            </w:tcMar>
            <w:vAlign w:val="center"/>
          </w:tcPr>
          <w:p w14:paraId="19A8DF6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任一损害用户合法权益的行为累计时间</w:t>
            </w:r>
            <w:r>
              <w:rPr>
                <w:rFonts w:hint="eastAsia" w:ascii="仿宋_GB2312" w:hAnsi="宋体" w:eastAsia="仿宋_GB2312" w:cs="仿宋_GB2312"/>
                <w:sz w:val="18"/>
                <w:szCs w:val="18"/>
              </w:rPr>
              <w:t>30日以上。</w:t>
            </w:r>
          </w:p>
        </w:tc>
        <w:tc>
          <w:tcPr>
            <w:tcW w:w="2557" w:type="dxa"/>
            <w:tcBorders>
              <w:tl2br w:val="nil"/>
              <w:tr2bl w:val="nil"/>
            </w:tcBorders>
            <w:shd w:val="clear" w:color="auto" w:fill="auto"/>
            <w:tcMar>
              <w:top w:w="15" w:type="dxa"/>
              <w:left w:w="15" w:type="dxa"/>
              <w:right w:w="15" w:type="dxa"/>
            </w:tcMar>
            <w:vAlign w:val="center"/>
          </w:tcPr>
          <w:p w14:paraId="22E1D23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处4万元以上5万元以下罚款。</w:t>
            </w:r>
          </w:p>
        </w:tc>
      </w:tr>
      <w:tr w14:paraId="0E2315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jc w:val="center"/>
        </w:trPr>
        <w:tc>
          <w:tcPr>
            <w:tcW w:w="429" w:type="dxa"/>
            <w:vMerge w:val="restart"/>
            <w:tcBorders>
              <w:tl2br w:val="nil"/>
              <w:tr2bl w:val="nil"/>
            </w:tcBorders>
            <w:shd w:val="clear" w:color="auto" w:fill="auto"/>
            <w:tcMar>
              <w:top w:w="15" w:type="dxa"/>
              <w:left w:w="15" w:type="dxa"/>
              <w:right w:w="15" w:type="dxa"/>
            </w:tcMar>
            <w:vAlign w:val="center"/>
          </w:tcPr>
          <w:p w14:paraId="01944A8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bidi="ar"/>
              </w:rPr>
              <w:t>2</w:t>
            </w:r>
            <w:del w:id="3118" w:author="LV" w:date="2026-07-14T17:16:43Z">
              <w:r>
                <w:rPr>
                  <w:rFonts w:hint="default" w:ascii="仿宋_GB2312" w:hAnsi="宋体" w:eastAsia="仿宋_GB2312" w:cs="仿宋_GB2312"/>
                  <w:kern w:val="0"/>
                  <w:sz w:val="18"/>
                  <w:szCs w:val="18"/>
                  <w:lang w:val="en-US" w:bidi="ar"/>
                </w:rPr>
                <w:delText>2</w:delText>
              </w:r>
            </w:del>
            <w:del w:id="3119" w:author="LV" w:date="2026-07-14T17:16:43Z">
              <w:r>
                <w:rPr>
                  <w:rFonts w:hint="default" w:ascii="仿宋_GB2312" w:hAnsi="宋体" w:eastAsia="仿宋_GB2312" w:cs="仿宋_GB2312"/>
                  <w:kern w:val="0"/>
                  <w:sz w:val="18"/>
                  <w:szCs w:val="18"/>
                  <w:lang w:val="en-US" w:eastAsia="zh-CN" w:bidi="ar"/>
                </w:rPr>
                <w:delText>5</w:delText>
              </w:r>
            </w:del>
            <w:ins w:id="3120" w:author="LV" w:date="2026-07-14T17:16:43Z">
              <w:r>
                <w:rPr>
                  <w:rFonts w:hint="eastAsia" w:ascii="仿宋_GB2312" w:hAnsi="宋体" w:eastAsia="仿宋_GB2312" w:cs="仿宋_GB2312"/>
                  <w:kern w:val="0"/>
                  <w:sz w:val="18"/>
                  <w:szCs w:val="18"/>
                  <w:lang w:val="en-US" w:eastAsia="zh-CN" w:bidi="ar"/>
                </w:rPr>
                <w:t>3</w:t>
              </w:r>
            </w:ins>
            <w:ins w:id="3121" w:author="LV" w:date="2026-07-14T17:16:44Z">
              <w:r>
                <w:rPr>
                  <w:rFonts w:hint="eastAsia" w:ascii="仿宋_GB2312" w:hAnsi="宋体" w:eastAsia="仿宋_GB2312" w:cs="仿宋_GB2312"/>
                  <w:kern w:val="0"/>
                  <w:sz w:val="18"/>
                  <w:szCs w:val="18"/>
                  <w:lang w:val="en-US" w:eastAsia="zh-CN" w:bidi="ar"/>
                </w:rPr>
                <w:t>2</w:t>
              </w:r>
            </w:ins>
          </w:p>
        </w:tc>
        <w:tc>
          <w:tcPr>
            <w:tcW w:w="1006" w:type="dxa"/>
            <w:vMerge w:val="restart"/>
            <w:tcBorders>
              <w:tl2br w:val="nil"/>
              <w:tr2bl w:val="nil"/>
            </w:tcBorders>
            <w:shd w:val="clear" w:color="auto" w:fill="auto"/>
            <w:tcMar>
              <w:top w:w="15" w:type="dxa"/>
              <w:left w:w="15" w:type="dxa"/>
              <w:right w:w="15" w:type="dxa"/>
            </w:tcMar>
            <w:vAlign w:val="center"/>
          </w:tcPr>
          <w:p w14:paraId="54F59EF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未达到国务院煤炭管理部门规定的煤炭资源回采率</w:t>
            </w:r>
          </w:p>
        </w:tc>
        <w:tc>
          <w:tcPr>
            <w:tcW w:w="3813" w:type="dxa"/>
            <w:vMerge w:val="restart"/>
            <w:tcBorders>
              <w:tl2br w:val="nil"/>
              <w:tr2bl w:val="nil"/>
            </w:tcBorders>
            <w:shd w:val="clear" w:color="auto" w:fill="auto"/>
            <w:tcMar>
              <w:top w:w="15" w:type="dxa"/>
              <w:left w:w="15" w:type="dxa"/>
              <w:right w:w="15" w:type="dxa"/>
            </w:tcMar>
            <w:vAlign w:val="center"/>
          </w:tcPr>
          <w:p w14:paraId="6E3C542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《煤炭法》第二十二条第一款</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开采煤炭资源必须符合煤炭开采规程，遵守合理的开采顺序，达到规定的煤炭资源回采率。</w:t>
            </w:r>
          </w:p>
        </w:tc>
        <w:tc>
          <w:tcPr>
            <w:tcW w:w="4081" w:type="dxa"/>
            <w:vMerge w:val="restart"/>
            <w:tcBorders>
              <w:tl2br w:val="nil"/>
              <w:tr2bl w:val="nil"/>
            </w:tcBorders>
            <w:shd w:val="clear" w:color="auto" w:fill="auto"/>
            <w:tcMar>
              <w:top w:w="15" w:type="dxa"/>
              <w:left w:w="15" w:type="dxa"/>
              <w:right w:w="15" w:type="dxa"/>
            </w:tcMar>
            <w:vAlign w:val="center"/>
          </w:tcPr>
          <w:p w14:paraId="3EBFD52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《煤炭法》第五十七条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违反本法第二十二条的规定，开采煤炭资源未达到国务院煤炭管理部门规定的煤炭资源回采率的，由煤炭管理部门责令限期改正；逾期仍达不到规定的回采率的，责令停止生产。</w:t>
            </w:r>
          </w:p>
        </w:tc>
        <w:tc>
          <w:tcPr>
            <w:tcW w:w="472" w:type="dxa"/>
            <w:tcBorders>
              <w:tl2br w:val="nil"/>
              <w:tr2bl w:val="nil"/>
            </w:tcBorders>
            <w:shd w:val="clear" w:color="auto" w:fill="auto"/>
            <w:noWrap/>
            <w:tcMar>
              <w:top w:w="15" w:type="dxa"/>
              <w:left w:w="15" w:type="dxa"/>
              <w:right w:w="15" w:type="dxa"/>
            </w:tcMar>
            <w:vAlign w:val="center"/>
          </w:tcPr>
          <w:p w14:paraId="5B039AF3">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不予处罚</w:t>
            </w:r>
          </w:p>
        </w:tc>
        <w:tc>
          <w:tcPr>
            <w:tcW w:w="1800" w:type="dxa"/>
            <w:tcBorders>
              <w:tl2br w:val="nil"/>
              <w:tr2bl w:val="nil"/>
            </w:tcBorders>
            <w:shd w:val="clear" w:color="auto" w:fill="auto"/>
            <w:tcMar>
              <w:top w:w="15" w:type="dxa"/>
              <w:left w:w="15" w:type="dxa"/>
              <w:right w:w="15" w:type="dxa"/>
            </w:tcMar>
            <w:vAlign w:val="center"/>
          </w:tcPr>
          <w:p w14:paraId="4A307E1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noWrap/>
            <w:tcMar>
              <w:top w:w="15" w:type="dxa"/>
              <w:left w:w="15" w:type="dxa"/>
              <w:right w:w="15" w:type="dxa"/>
            </w:tcMar>
            <w:vAlign w:val="center"/>
          </w:tcPr>
          <w:p w14:paraId="2E7EDBE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2216F2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62C698A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0F38FC5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4E40D5B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1F1D3BF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noWrap/>
            <w:tcMar>
              <w:top w:w="15" w:type="dxa"/>
              <w:left w:w="15" w:type="dxa"/>
              <w:right w:w="15" w:type="dxa"/>
            </w:tcMar>
            <w:vAlign w:val="center"/>
          </w:tcPr>
          <w:p w14:paraId="6387971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免予处罚</w:t>
            </w:r>
          </w:p>
        </w:tc>
        <w:tc>
          <w:tcPr>
            <w:tcW w:w="1800" w:type="dxa"/>
            <w:tcBorders>
              <w:tl2br w:val="nil"/>
              <w:tr2bl w:val="nil"/>
            </w:tcBorders>
            <w:shd w:val="clear" w:color="auto" w:fill="auto"/>
            <w:tcMar>
              <w:top w:w="15" w:type="dxa"/>
              <w:left w:w="15" w:type="dxa"/>
              <w:right w:w="15" w:type="dxa"/>
            </w:tcMar>
            <w:vAlign w:val="center"/>
          </w:tcPr>
          <w:p w14:paraId="4C5BF76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noWrap/>
            <w:tcMar>
              <w:top w:w="15" w:type="dxa"/>
              <w:left w:w="15" w:type="dxa"/>
              <w:right w:w="15" w:type="dxa"/>
            </w:tcMar>
            <w:vAlign w:val="center"/>
          </w:tcPr>
          <w:p w14:paraId="033B7EE4">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09CA75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3BD0C93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28862E2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76FADCE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449C794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bottom w:val="single" w:color="auto" w:sz="4" w:space="0"/>
              <w:tl2br w:val="nil"/>
              <w:tr2bl w:val="nil"/>
            </w:tcBorders>
            <w:shd w:val="clear" w:color="auto" w:fill="auto"/>
            <w:noWrap/>
            <w:tcMar>
              <w:top w:w="15" w:type="dxa"/>
              <w:left w:w="15" w:type="dxa"/>
              <w:right w:w="15" w:type="dxa"/>
            </w:tcMar>
            <w:vAlign w:val="center"/>
          </w:tcPr>
          <w:p w14:paraId="1521D77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减轻处罚</w:t>
            </w:r>
          </w:p>
        </w:tc>
        <w:tc>
          <w:tcPr>
            <w:tcW w:w="1800" w:type="dxa"/>
            <w:tcBorders>
              <w:bottom w:val="single" w:color="auto" w:sz="4" w:space="0"/>
              <w:tl2br w:val="nil"/>
              <w:tr2bl w:val="nil"/>
            </w:tcBorders>
            <w:shd w:val="clear" w:color="auto" w:fill="auto"/>
            <w:tcMar>
              <w:top w:w="15" w:type="dxa"/>
              <w:left w:w="15" w:type="dxa"/>
              <w:right w:w="15" w:type="dxa"/>
            </w:tcMar>
            <w:vAlign w:val="center"/>
          </w:tcPr>
          <w:p w14:paraId="2B1E155D">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pacing w:val="-6"/>
                <w:kern w:val="0"/>
                <w:sz w:val="18"/>
                <w:szCs w:val="18"/>
                <w:lang w:bidi="ar"/>
              </w:rPr>
            </w:pPr>
            <w:r>
              <w:rPr>
                <w:rFonts w:ascii="仿宋_GB2312" w:hAnsi="宋体" w:eastAsia="仿宋_GB2312" w:cs="仿宋_GB2312"/>
                <w:kern w:val="0"/>
                <w:sz w:val="18"/>
                <w:szCs w:val="18"/>
                <w:lang w:bidi="ar"/>
              </w:rPr>
              <w:t>无</w:t>
            </w:r>
          </w:p>
        </w:tc>
        <w:tc>
          <w:tcPr>
            <w:tcW w:w="2557" w:type="dxa"/>
            <w:tcBorders>
              <w:bottom w:val="single" w:color="auto" w:sz="4" w:space="0"/>
              <w:tl2br w:val="nil"/>
              <w:tr2bl w:val="nil"/>
            </w:tcBorders>
            <w:shd w:val="clear" w:color="auto" w:fill="auto"/>
            <w:tcMar>
              <w:top w:w="15" w:type="dxa"/>
              <w:left w:w="15" w:type="dxa"/>
              <w:right w:w="15" w:type="dxa"/>
            </w:tcMar>
            <w:vAlign w:val="center"/>
          </w:tcPr>
          <w:p w14:paraId="4932DD4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ascii="仿宋_GB2312" w:hAnsi="宋体" w:eastAsia="仿宋_GB2312" w:cs="仿宋_GB2312"/>
                <w:kern w:val="0"/>
                <w:sz w:val="18"/>
                <w:szCs w:val="18"/>
                <w:lang w:bidi="ar"/>
              </w:rPr>
              <w:t>无</w:t>
            </w:r>
          </w:p>
        </w:tc>
      </w:tr>
      <w:tr w14:paraId="4F825C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775AFB5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2B2E425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7B321CA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3298EA4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24662DF3">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从轻处罚</w:t>
            </w:r>
          </w:p>
        </w:tc>
        <w:tc>
          <w:tcPr>
            <w:tcW w:w="1800"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6BC055A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pacing w:val="-6"/>
                <w:kern w:val="0"/>
                <w:sz w:val="18"/>
                <w:szCs w:val="18"/>
                <w:lang w:bidi="ar"/>
              </w:rPr>
            </w:pPr>
            <w:r>
              <w:rPr>
                <w:rFonts w:hint="eastAsia" w:ascii="仿宋_GB2312" w:hAnsi="宋体" w:eastAsia="仿宋_GB2312" w:cs="仿宋_GB2312"/>
                <w:spacing w:val="-6"/>
                <w:kern w:val="0"/>
                <w:sz w:val="18"/>
                <w:szCs w:val="18"/>
                <w:lang w:bidi="ar"/>
              </w:rPr>
              <w:t>无</w:t>
            </w:r>
          </w:p>
        </w:tc>
        <w:tc>
          <w:tcPr>
            <w:tcW w:w="2557"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50D93E6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ascii="仿宋_GB2312" w:hAnsi="宋体" w:eastAsia="仿宋_GB2312" w:cs="仿宋_GB2312"/>
                <w:kern w:val="0"/>
                <w:sz w:val="18"/>
                <w:szCs w:val="18"/>
                <w:lang w:bidi="ar"/>
              </w:rPr>
              <w:t>无</w:t>
            </w:r>
          </w:p>
        </w:tc>
      </w:tr>
      <w:tr w14:paraId="34262D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19"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4B22014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0A8293B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345347E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4CFCB3E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39336D6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一般处罚</w:t>
            </w:r>
          </w:p>
        </w:tc>
        <w:tc>
          <w:tcPr>
            <w:tcW w:w="1800"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34B2E83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pacing w:val="-6"/>
                <w:kern w:val="0"/>
                <w:sz w:val="18"/>
                <w:szCs w:val="18"/>
                <w:lang w:bidi="ar"/>
              </w:rPr>
            </w:pPr>
            <w:r>
              <w:rPr>
                <w:rFonts w:hint="eastAsia" w:ascii="仿宋_GB2312" w:hAnsi="宋体" w:eastAsia="仿宋_GB2312" w:cs="仿宋_GB2312"/>
                <w:spacing w:val="-6"/>
                <w:kern w:val="0"/>
                <w:sz w:val="18"/>
                <w:szCs w:val="18"/>
                <w:lang w:bidi="ar"/>
              </w:rPr>
              <w:t>违反煤炭法第二十二条的规定，开采煤炭资源未达到国务院煤炭管理部门规定的煤炭资源回采率的，经煤炭管理部门责令限期改正，逾期仍达不到规定的回采率的。</w:t>
            </w:r>
          </w:p>
        </w:tc>
        <w:tc>
          <w:tcPr>
            <w:tcW w:w="2557"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6DFB532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责令停止生产。</w:t>
            </w:r>
          </w:p>
        </w:tc>
      </w:tr>
      <w:tr w14:paraId="63AC62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035FB86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3035D2A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5203369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02A1C37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op w:val="single" w:color="auto" w:sz="4" w:space="0"/>
              <w:tl2br w:val="nil"/>
              <w:tr2bl w:val="nil"/>
            </w:tcBorders>
            <w:shd w:val="clear" w:color="auto" w:fill="auto"/>
            <w:noWrap/>
            <w:tcMar>
              <w:top w:w="15" w:type="dxa"/>
              <w:left w:w="15" w:type="dxa"/>
              <w:right w:w="15" w:type="dxa"/>
            </w:tcMar>
            <w:vAlign w:val="center"/>
          </w:tcPr>
          <w:p w14:paraId="053B505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从重处罚</w:t>
            </w:r>
          </w:p>
        </w:tc>
        <w:tc>
          <w:tcPr>
            <w:tcW w:w="1800" w:type="dxa"/>
            <w:tcBorders>
              <w:top w:val="single" w:color="auto" w:sz="4" w:space="0"/>
              <w:tl2br w:val="nil"/>
              <w:tr2bl w:val="nil"/>
            </w:tcBorders>
            <w:shd w:val="clear" w:color="auto" w:fill="auto"/>
            <w:tcMar>
              <w:top w:w="15" w:type="dxa"/>
              <w:left w:w="15" w:type="dxa"/>
              <w:right w:w="15" w:type="dxa"/>
            </w:tcMar>
            <w:vAlign w:val="center"/>
          </w:tcPr>
          <w:p w14:paraId="2F3D1E7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pacing w:val="-6"/>
                <w:kern w:val="0"/>
                <w:sz w:val="18"/>
                <w:szCs w:val="18"/>
                <w:lang w:bidi="ar"/>
              </w:rPr>
            </w:pPr>
            <w:r>
              <w:rPr>
                <w:rFonts w:hint="eastAsia" w:ascii="仿宋_GB2312" w:hAnsi="宋体" w:eastAsia="仿宋_GB2312" w:cs="仿宋_GB2312"/>
                <w:spacing w:val="-6"/>
                <w:kern w:val="0"/>
                <w:sz w:val="18"/>
                <w:szCs w:val="18"/>
                <w:lang w:bidi="ar"/>
              </w:rPr>
              <w:t>无</w:t>
            </w:r>
          </w:p>
        </w:tc>
        <w:tc>
          <w:tcPr>
            <w:tcW w:w="2557" w:type="dxa"/>
            <w:tcBorders>
              <w:top w:val="single" w:color="auto" w:sz="4" w:space="0"/>
              <w:tl2br w:val="nil"/>
              <w:tr2bl w:val="nil"/>
            </w:tcBorders>
            <w:shd w:val="clear" w:color="auto" w:fill="auto"/>
            <w:tcMar>
              <w:top w:w="15" w:type="dxa"/>
              <w:left w:w="15" w:type="dxa"/>
              <w:right w:w="15" w:type="dxa"/>
            </w:tcMar>
            <w:vAlign w:val="center"/>
          </w:tcPr>
          <w:p w14:paraId="25FCC61D">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594ACF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429" w:type="dxa"/>
            <w:vMerge w:val="restart"/>
            <w:tcBorders>
              <w:tl2br w:val="nil"/>
              <w:tr2bl w:val="nil"/>
            </w:tcBorders>
            <w:shd w:val="clear" w:color="auto" w:fill="auto"/>
            <w:tcMar>
              <w:top w:w="15" w:type="dxa"/>
              <w:left w:w="15" w:type="dxa"/>
              <w:right w:w="15" w:type="dxa"/>
            </w:tcMar>
            <w:vAlign w:val="center"/>
          </w:tcPr>
          <w:p w14:paraId="33A1B25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bidi="ar"/>
              </w:rPr>
              <w:t>2</w:t>
            </w:r>
            <w:del w:id="3122" w:author="LV" w:date="2026-07-14T17:16:50Z">
              <w:r>
                <w:rPr>
                  <w:rFonts w:hint="default" w:ascii="仿宋_GB2312" w:hAnsi="宋体" w:eastAsia="仿宋_GB2312" w:cs="仿宋_GB2312"/>
                  <w:kern w:val="0"/>
                  <w:sz w:val="18"/>
                  <w:szCs w:val="18"/>
                  <w:lang w:val="en-US" w:bidi="ar"/>
                </w:rPr>
                <w:delText>2</w:delText>
              </w:r>
            </w:del>
            <w:del w:id="3123" w:author="LV" w:date="2026-07-14T17:16:50Z">
              <w:r>
                <w:rPr>
                  <w:rFonts w:hint="default" w:ascii="仿宋_GB2312" w:hAnsi="宋体" w:eastAsia="仿宋_GB2312" w:cs="仿宋_GB2312"/>
                  <w:kern w:val="0"/>
                  <w:sz w:val="18"/>
                  <w:szCs w:val="18"/>
                  <w:lang w:val="en-US" w:eastAsia="zh-CN" w:bidi="ar"/>
                </w:rPr>
                <w:delText>6</w:delText>
              </w:r>
            </w:del>
            <w:ins w:id="3124" w:author="LV" w:date="2026-07-14T17:16:50Z">
              <w:r>
                <w:rPr>
                  <w:rFonts w:hint="eastAsia" w:ascii="仿宋_GB2312" w:hAnsi="宋体" w:eastAsia="仿宋_GB2312" w:cs="仿宋_GB2312"/>
                  <w:kern w:val="0"/>
                  <w:sz w:val="18"/>
                  <w:szCs w:val="18"/>
                  <w:lang w:val="en-US" w:eastAsia="zh-CN" w:bidi="ar"/>
                </w:rPr>
                <w:t>33</w:t>
              </w:r>
            </w:ins>
          </w:p>
        </w:tc>
        <w:tc>
          <w:tcPr>
            <w:tcW w:w="1006" w:type="dxa"/>
            <w:vMerge w:val="restart"/>
            <w:tcBorders>
              <w:tl2br w:val="nil"/>
              <w:tr2bl w:val="nil"/>
            </w:tcBorders>
            <w:shd w:val="clear" w:color="auto" w:fill="auto"/>
            <w:tcMar>
              <w:top w:w="15" w:type="dxa"/>
              <w:left w:w="15" w:type="dxa"/>
              <w:right w:w="15" w:type="dxa"/>
            </w:tcMar>
            <w:vAlign w:val="center"/>
          </w:tcPr>
          <w:p w14:paraId="7A7C3BD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煤矿建设项目没有安全设施设计或者安全设施设计未报经有关部门审查同意的</w:t>
            </w:r>
          </w:p>
        </w:tc>
        <w:tc>
          <w:tcPr>
            <w:tcW w:w="3813" w:type="dxa"/>
            <w:vMerge w:val="restart"/>
            <w:tcBorders>
              <w:tl2br w:val="nil"/>
              <w:tr2bl w:val="nil"/>
            </w:tcBorders>
            <w:shd w:val="clear" w:color="auto" w:fill="auto"/>
            <w:tcMar>
              <w:top w:w="15" w:type="dxa"/>
              <w:left w:w="15" w:type="dxa"/>
              <w:right w:w="15" w:type="dxa"/>
            </w:tcMar>
            <w:vAlign w:val="center"/>
          </w:tcPr>
          <w:p w14:paraId="7FD13B5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《安全生产法》第三十三条第二款</w:t>
            </w:r>
            <w:r>
              <w:rPr>
                <w:rFonts w:hint="eastAsia" w:ascii="仿宋_GB2312" w:hAnsi="宋体" w:eastAsia="仿宋_GB2312" w:cs="仿宋_GB2312"/>
                <w:kern w:val="0"/>
                <w:sz w:val="18"/>
                <w:szCs w:val="18"/>
                <w:lang w:val="en-US" w:eastAsia="zh-CN" w:bidi="ar"/>
              </w:rPr>
              <w:t xml:space="preserve"> </w:t>
            </w:r>
            <w:r>
              <w:rPr>
                <w:rFonts w:hint="eastAsia" w:ascii="仿宋_GB2312" w:hAnsi="宋体" w:eastAsia="仿宋_GB2312" w:cs="仿宋_GB2312"/>
                <w:kern w:val="0"/>
                <w:sz w:val="18"/>
                <w:szCs w:val="18"/>
                <w:lang w:bidi="ar"/>
              </w:rPr>
              <w:t>矿山、金属冶炼建设项目和用于生产、储存、装卸危险物品的建设项目的安全设施设计应当按照国家有关规定报经有关部门审查，审查部门及其负责审查的人员对审查结果负责。</w:t>
            </w:r>
          </w:p>
          <w:p w14:paraId="0A0B0D2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《煤矿安全生产条例》第十四条新建、改建、扩建煤矿工程项目（以下统称煤矿建设项目）的建设单位应当委托具有建设工程设计企业资质的设计单位进行安全设施设计。</w:t>
            </w:r>
          </w:p>
          <w:p w14:paraId="74B5695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设施设计应当包括煤矿水、火、瓦斯、冲击地压、煤尘、顶板等主要灾害的防治措施，符合国家标准或者行业标准的要求，并报省、自治区、直辖市人民政府负有煤矿安全生产监督管理职责的部门审查。安全设施设计需要作重大变更的，应当报原审查部门重新审查，不得先施工后报批、边施工边修改。</w:t>
            </w:r>
          </w:p>
        </w:tc>
        <w:tc>
          <w:tcPr>
            <w:tcW w:w="4081" w:type="dxa"/>
            <w:vMerge w:val="restart"/>
            <w:tcBorders>
              <w:tl2br w:val="nil"/>
              <w:tr2bl w:val="nil"/>
            </w:tcBorders>
            <w:shd w:val="clear" w:color="auto" w:fill="auto"/>
            <w:tcMar>
              <w:top w:w="15" w:type="dxa"/>
              <w:left w:w="15" w:type="dxa"/>
              <w:right w:w="15" w:type="dxa"/>
            </w:tcMar>
            <w:vAlign w:val="center"/>
          </w:tcPr>
          <w:p w14:paraId="6787389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《安全生产法》第九十八条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 xml:space="preserve"> 生产经营单位有下列行为之一的，责令停止建设或者停产停业整顿，限期改正，并处十万元以上五十万元以下的罚款，对其直接负责的主管人员和其他直接责任人员处二万元以上五万以下的罚款；逾期未改正的，处五十万元以上一百万元以下的罚款，对其直接负责的主管人员和其他直接责任人员处五万元以上十万元以下的罚款；构成犯罪的，依照刑法有关规定追究刑事责任：（二）矿山、金属冶炼建设项目或者用于生产、储存、装卸危险物品的建设项目没有安全设施设计或者安全设施设计未按照规定报经有关部门审查同意的</w:t>
            </w:r>
          </w:p>
          <w:p w14:paraId="206FC7B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《煤矿安全生产条例》第七十一条  有下列情形之一的，依照《中华人民共和国安全生产法》有关规定予以处罚：（一）煤矿建设项目没有安全设施设计或者安全设施设计未按照规定报经有关部门审查同意的。</w:t>
            </w:r>
          </w:p>
        </w:tc>
        <w:tc>
          <w:tcPr>
            <w:tcW w:w="472" w:type="dxa"/>
            <w:tcBorders>
              <w:tl2br w:val="nil"/>
              <w:tr2bl w:val="nil"/>
            </w:tcBorders>
            <w:shd w:val="clear" w:color="auto" w:fill="auto"/>
            <w:noWrap/>
            <w:tcMar>
              <w:top w:w="15" w:type="dxa"/>
              <w:left w:w="15" w:type="dxa"/>
              <w:right w:w="15" w:type="dxa"/>
            </w:tcMar>
            <w:vAlign w:val="center"/>
          </w:tcPr>
          <w:p w14:paraId="2AD1CCCF">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不予处罚</w:t>
            </w:r>
          </w:p>
        </w:tc>
        <w:tc>
          <w:tcPr>
            <w:tcW w:w="1800" w:type="dxa"/>
            <w:tcBorders>
              <w:tl2br w:val="nil"/>
              <w:tr2bl w:val="nil"/>
            </w:tcBorders>
            <w:shd w:val="clear" w:color="auto" w:fill="auto"/>
            <w:tcMar>
              <w:top w:w="15" w:type="dxa"/>
              <w:left w:w="15" w:type="dxa"/>
              <w:right w:w="15" w:type="dxa"/>
            </w:tcMar>
            <w:vAlign w:val="center"/>
          </w:tcPr>
          <w:p w14:paraId="2DEA370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noWrap/>
            <w:tcMar>
              <w:top w:w="15" w:type="dxa"/>
              <w:left w:w="15" w:type="dxa"/>
              <w:right w:w="15" w:type="dxa"/>
            </w:tcMar>
            <w:vAlign w:val="center"/>
          </w:tcPr>
          <w:p w14:paraId="52D6E93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342F68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612F56D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1B3E8F2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7A56BF7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2844C1C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noWrap/>
            <w:tcMar>
              <w:top w:w="15" w:type="dxa"/>
              <w:left w:w="15" w:type="dxa"/>
              <w:right w:w="15" w:type="dxa"/>
            </w:tcMar>
            <w:vAlign w:val="center"/>
          </w:tcPr>
          <w:p w14:paraId="5D7AC6A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免予处罚</w:t>
            </w:r>
          </w:p>
        </w:tc>
        <w:tc>
          <w:tcPr>
            <w:tcW w:w="1800" w:type="dxa"/>
            <w:tcBorders>
              <w:tl2br w:val="nil"/>
              <w:tr2bl w:val="nil"/>
            </w:tcBorders>
            <w:shd w:val="clear" w:color="auto" w:fill="auto"/>
            <w:tcMar>
              <w:top w:w="15" w:type="dxa"/>
              <w:left w:w="15" w:type="dxa"/>
              <w:right w:w="15" w:type="dxa"/>
            </w:tcMar>
            <w:vAlign w:val="center"/>
          </w:tcPr>
          <w:p w14:paraId="43F6679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不适用</w:t>
            </w:r>
          </w:p>
        </w:tc>
        <w:tc>
          <w:tcPr>
            <w:tcW w:w="2557" w:type="dxa"/>
            <w:tcBorders>
              <w:tl2br w:val="nil"/>
              <w:tr2bl w:val="nil"/>
            </w:tcBorders>
            <w:shd w:val="clear" w:color="auto" w:fill="auto"/>
            <w:noWrap/>
            <w:tcMar>
              <w:top w:w="15" w:type="dxa"/>
              <w:left w:w="15" w:type="dxa"/>
              <w:right w:w="15" w:type="dxa"/>
            </w:tcMar>
            <w:vAlign w:val="center"/>
          </w:tcPr>
          <w:p w14:paraId="497D442F">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7CEFE7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2974145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53E0E67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70220C8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7386B37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noWrap/>
            <w:tcMar>
              <w:top w:w="15" w:type="dxa"/>
              <w:left w:w="15" w:type="dxa"/>
              <w:right w:w="15" w:type="dxa"/>
            </w:tcMar>
            <w:vAlign w:val="center"/>
          </w:tcPr>
          <w:p w14:paraId="0C17EC5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减轻处罚</w:t>
            </w:r>
          </w:p>
        </w:tc>
        <w:tc>
          <w:tcPr>
            <w:tcW w:w="1800" w:type="dxa"/>
            <w:tcBorders>
              <w:tl2br w:val="nil"/>
              <w:tr2bl w:val="nil"/>
            </w:tcBorders>
            <w:shd w:val="clear" w:color="auto" w:fill="auto"/>
            <w:tcMar>
              <w:top w:w="15" w:type="dxa"/>
              <w:left w:w="15" w:type="dxa"/>
              <w:right w:w="15" w:type="dxa"/>
            </w:tcMar>
            <w:vAlign w:val="center"/>
          </w:tcPr>
          <w:p w14:paraId="7563EB1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16F5821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292E74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45ED37E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381FABD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78DE153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3B75B8D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noWrap/>
            <w:tcMar>
              <w:top w:w="15" w:type="dxa"/>
              <w:left w:w="15" w:type="dxa"/>
              <w:right w:w="15" w:type="dxa"/>
            </w:tcMar>
            <w:vAlign w:val="center"/>
          </w:tcPr>
          <w:p w14:paraId="0E30E19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从轻处罚</w:t>
            </w:r>
          </w:p>
        </w:tc>
        <w:tc>
          <w:tcPr>
            <w:tcW w:w="1800" w:type="dxa"/>
            <w:tcBorders>
              <w:tl2br w:val="nil"/>
              <w:tr2bl w:val="nil"/>
            </w:tcBorders>
            <w:shd w:val="clear" w:color="auto" w:fill="auto"/>
            <w:tcMar>
              <w:top w:w="15" w:type="dxa"/>
              <w:left w:w="15" w:type="dxa"/>
              <w:right w:w="15" w:type="dxa"/>
            </w:tcMar>
            <w:vAlign w:val="center"/>
          </w:tcPr>
          <w:p w14:paraId="1C04625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煤矿建设项目没有安全设施设计或者安全设施设计未按照规定报经有关部门审查同意，投资额在1000万元以下的。</w:t>
            </w:r>
          </w:p>
        </w:tc>
        <w:tc>
          <w:tcPr>
            <w:tcW w:w="2557" w:type="dxa"/>
            <w:tcBorders>
              <w:tl2br w:val="nil"/>
              <w:tr2bl w:val="nil"/>
            </w:tcBorders>
            <w:shd w:val="clear" w:color="auto" w:fill="auto"/>
            <w:tcMar>
              <w:top w:w="15" w:type="dxa"/>
              <w:left w:w="15" w:type="dxa"/>
              <w:right w:w="15" w:type="dxa"/>
            </w:tcMar>
            <w:vAlign w:val="center"/>
          </w:tcPr>
          <w:p w14:paraId="568B3BC8">
            <w:pPr>
              <w:keepNext w:val="0"/>
              <w:keepLines w:val="0"/>
              <w:pageBreakBefore w:val="0"/>
              <w:widowControl w:val="0"/>
              <w:kinsoku/>
              <w:wordWrap/>
              <w:overflowPunct w:val="0"/>
              <w:topLinePunct w:val="0"/>
              <w:autoSpaceDE/>
              <w:autoSpaceDN/>
              <w:bidi w:val="0"/>
              <w:adjustRightInd/>
              <w:snapToGrid/>
              <w:spacing w:line="23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责令停止建设或者停产停业整顿，限期改正，并处10万元以上22万元以下罚款，对其直接负责的主管人员和其他直接责任人员处2万元以上3万元以下罚款；逾期未改正的，处50万元以上70万元以下罚款，对其直接负责的主管人员和其他直接责任人员处5万元以上7万元以下罚款。</w:t>
            </w:r>
          </w:p>
        </w:tc>
      </w:tr>
      <w:tr w14:paraId="764321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1EB1A55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1C1AB28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66F07CE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2129323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noWrap/>
            <w:tcMar>
              <w:top w:w="15" w:type="dxa"/>
              <w:left w:w="15" w:type="dxa"/>
              <w:right w:w="15" w:type="dxa"/>
            </w:tcMar>
            <w:vAlign w:val="center"/>
          </w:tcPr>
          <w:p w14:paraId="5148F0E4">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一般处罚</w:t>
            </w:r>
          </w:p>
        </w:tc>
        <w:tc>
          <w:tcPr>
            <w:tcW w:w="1800" w:type="dxa"/>
            <w:tcBorders>
              <w:tl2br w:val="nil"/>
              <w:tr2bl w:val="nil"/>
            </w:tcBorders>
            <w:shd w:val="clear" w:color="auto" w:fill="auto"/>
            <w:tcMar>
              <w:top w:w="15" w:type="dxa"/>
              <w:left w:w="15" w:type="dxa"/>
              <w:right w:w="15" w:type="dxa"/>
            </w:tcMar>
            <w:vAlign w:val="center"/>
          </w:tcPr>
          <w:p w14:paraId="38BF171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煤矿建设项目没有安全设施设计或者安全设施设计未按照规定报经有关部门审查同意，投资额在1000万元以上，3000万元以下的。</w:t>
            </w:r>
          </w:p>
        </w:tc>
        <w:tc>
          <w:tcPr>
            <w:tcW w:w="2557" w:type="dxa"/>
            <w:tcBorders>
              <w:tl2br w:val="nil"/>
              <w:tr2bl w:val="nil"/>
            </w:tcBorders>
            <w:shd w:val="clear" w:color="auto" w:fill="auto"/>
            <w:tcMar>
              <w:top w:w="15" w:type="dxa"/>
              <w:left w:w="15" w:type="dxa"/>
              <w:right w:w="15" w:type="dxa"/>
            </w:tcMar>
            <w:vAlign w:val="center"/>
          </w:tcPr>
          <w:p w14:paraId="39B6A927">
            <w:pPr>
              <w:keepNext w:val="0"/>
              <w:keepLines w:val="0"/>
              <w:pageBreakBefore w:val="0"/>
              <w:widowControl w:val="0"/>
              <w:kinsoku/>
              <w:wordWrap/>
              <w:overflowPunct w:val="0"/>
              <w:topLinePunct w:val="0"/>
              <w:autoSpaceDE/>
              <w:autoSpaceDN/>
              <w:bidi w:val="0"/>
              <w:adjustRightInd/>
              <w:snapToGrid/>
              <w:spacing w:line="23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责令停止建设或者停产停业整顿，限期改正，并处22万元以上38万元以下罚款，对其直接负责的主管人员和其他直接责任人员处3万元以上4万元以下罚款；逾期未改正的，处70万元以上90万元以下罚款，对其直接负责的主管人员和其他直接责任人员处7万元以上9万元以下罚款。</w:t>
            </w:r>
          </w:p>
        </w:tc>
      </w:tr>
      <w:tr w14:paraId="13C8E7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6AD0709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48424C6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087AAF7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08FAAB0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noWrap/>
            <w:tcMar>
              <w:top w:w="15" w:type="dxa"/>
              <w:left w:w="15" w:type="dxa"/>
              <w:right w:w="15" w:type="dxa"/>
            </w:tcMar>
            <w:vAlign w:val="center"/>
          </w:tcPr>
          <w:p w14:paraId="2883C4CE">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从重处罚</w:t>
            </w:r>
          </w:p>
        </w:tc>
        <w:tc>
          <w:tcPr>
            <w:tcW w:w="1800" w:type="dxa"/>
            <w:tcBorders>
              <w:tl2br w:val="nil"/>
              <w:tr2bl w:val="nil"/>
            </w:tcBorders>
            <w:shd w:val="clear" w:color="auto" w:fill="auto"/>
            <w:tcMar>
              <w:top w:w="15" w:type="dxa"/>
              <w:left w:w="15" w:type="dxa"/>
              <w:right w:w="15" w:type="dxa"/>
            </w:tcMar>
            <w:vAlign w:val="center"/>
          </w:tcPr>
          <w:p w14:paraId="19D6360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煤矿建设项目没有安全设施设计或者安全设施设计未按照规定报经有关部门审查同意，投资额在3000万元以上的。</w:t>
            </w:r>
          </w:p>
        </w:tc>
        <w:tc>
          <w:tcPr>
            <w:tcW w:w="2557" w:type="dxa"/>
            <w:tcBorders>
              <w:tl2br w:val="nil"/>
              <w:tr2bl w:val="nil"/>
            </w:tcBorders>
            <w:shd w:val="clear" w:color="auto" w:fill="auto"/>
            <w:tcMar>
              <w:top w:w="15" w:type="dxa"/>
              <w:left w:w="15" w:type="dxa"/>
              <w:right w:w="15" w:type="dxa"/>
            </w:tcMar>
            <w:vAlign w:val="center"/>
          </w:tcPr>
          <w:p w14:paraId="523CB4C6">
            <w:pPr>
              <w:keepNext w:val="0"/>
              <w:keepLines w:val="0"/>
              <w:pageBreakBefore w:val="0"/>
              <w:widowControl w:val="0"/>
              <w:kinsoku/>
              <w:wordWrap/>
              <w:overflowPunct w:val="0"/>
              <w:topLinePunct w:val="0"/>
              <w:autoSpaceDE/>
              <w:autoSpaceDN/>
              <w:bidi w:val="0"/>
              <w:adjustRightInd/>
              <w:snapToGrid/>
              <w:spacing w:line="23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责令停止建设或者停产停业整顿，限期改正，并处38万元以上50万元以下罚款，对其直接负责的主管人员和其他直接责任人员处4万元以上5万元以下罚款；逾期未改正的，处90万元以上100万元以下罚款，对其直接负责的主管人员和其他直接责任人员处9万元以上10万元以下罚款。</w:t>
            </w:r>
          </w:p>
        </w:tc>
      </w:tr>
      <w:tr w14:paraId="113F61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429" w:type="dxa"/>
            <w:vMerge w:val="restart"/>
            <w:tcBorders>
              <w:tl2br w:val="nil"/>
              <w:tr2bl w:val="nil"/>
            </w:tcBorders>
            <w:shd w:val="clear" w:color="auto" w:fill="auto"/>
            <w:tcMar>
              <w:top w:w="15" w:type="dxa"/>
              <w:left w:w="15" w:type="dxa"/>
              <w:right w:w="15" w:type="dxa"/>
            </w:tcMar>
            <w:vAlign w:val="center"/>
          </w:tcPr>
          <w:p w14:paraId="5452EF6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bidi="ar"/>
              </w:rPr>
              <w:t>2</w:t>
            </w:r>
            <w:del w:id="3125" w:author="LV" w:date="2026-07-14T17:16:53Z">
              <w:r>
                <w:rPr>
                  <w:rFonts w:hint="default" w:ascii="仿宋_GB2312" w:hAnsi="宋体" w:eastAsia="仿宋_GB2312" w:cs="仿宋_GB2312"/>
                  <w:kern w:val="0"/>
                  <w:sz w:val="18"/>
                  <w:szCs w:val="18"/>
                  <w:lang w:val="en-US" w:bidi="ar"/>
                </w:rPr>
                <w:delText>2</w:delText>
              </w:r>
            </w:del>
            <w:del w:id="3126" w:author="LV" w:date="2026-07-14T17:16:53Z">
              <w:r>
                <w:rPr>
                  <w:rFonts w:hint="default" w:ascii="仿宋_GB2312" w:hAnsi="宋体" w:eastAsia="仿宋_GB2312" w:cs="仿宋_GB2312"/>
                  <w:kern w:val="0"/>
                  <w:sz w:val="18"/>
                  <w:szCs w:val="18"/>
                  <w:lang w:val="en-US" w:eastAsia="zh-CN" w:bidi="ar"/>
                </w:rPr>
                <w:delText>7</w:delText>
              </w:r>
            </w:del>
            <w:ins w:id="3127" w:author="LV" w:date="2026-07-14T17:16:53Z">
              <w:r>
                <w:rPr>
                  <w:rFonts w:hint="eastAsia" w:ascii="仿宋_GB2312" w:hAnsi="宋体" w:eastAsia="仿宋_GB2312" w:cs="仿宋_GB2312"/>
                  <w:kern w:val="0"/>
                  <w:sz w:val="18"/>
                  <w:szCs w:val="18"/>
                  <w:lang w:val="en-US" w:eastAsia="zh-CN" w:bidi="ar"/>
                </w:rPr>
                <w:t>3</w:t>
              </w:r>
            </w:ins>
            <w:ins w:id="3128" w:author="LV" w:date="2026-07-14T17:16:54Z">
              <w:r>
                <w:rPr>
                  <w:rFonts w:hint="eastAsia" w:ascii="仿宋_GB2312" w:hAnsi="宋体" w:eastAsia="仿宋_GB2312" w:cs="仿宋_GB2312"/>
                  <w:kern w:val="0"/>
                  <w:sz w:val="18"/>
                  <w:szCs w:val="18"/>
                  <w:lang w:val="en-US" w:eastAsia="zh-CN" w:bidi="ar"/>
                </w:rPr>
                <w:t>4</w:t>
              </w:r>
            </w:ins>
          </w:p>
        </w:tc>
        <w:tc>
          <w:tcPr>
            <w:tcW w:w="1006" w:type="dxa"/>
            <w:vMerge w:val="restart"/>
            <w:tcBorders>
              <w:tl2br w:val="nil"/>
              <w:tr2bl w:val="nil"/>
            </w:tcBorders>
            <w:shd w:val="clear" w:color="auto" w:fill="auto"/>
            <w:tcMar>
              <w:top w:w="15" w:type="dxa"/>
              <w:left w:w="15" w:type="dxa"/>
              <w:right w:w="15" w:type="dxa"/>
            </w:tcMar>
            <w:vAlign w:val="center"/>
          </w:tcPr>
          <w:p w14:paraId="631B5C0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煤矿建设项目未按照批准的安全设施设计施工的</w:t>
            </w:r>
          </w:p>
        </w:tc>
        <w:tc>
          <w:tcPr>
            <w:tcW w:w="3813" w:type="dxa"/>
            <w:vMerge w:val="restart"/>
            <w:tcBorders>
              <w:tl2br w:val="nil"/>
              <w:tr2bl w:val="nil"/>
            </w:tcBorders>
            <w:shd w:val="clear" w:color="auto" w:fill="auto"/>
            <w:tcMar>
              <w:top w:w="15" w:type="dxa"/>
              <w:left w:w="15" w:type="dxa"/>
              <w:right w:w="15" w:type="dxa"/>
            </w:tcMar>
            <w:vAlign w:val="center"/>
          </w:tcPr>
          <w:p w14:paraId="51CF07E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《安全生产法》第三十四条　矿山、金属冶炼建设项目和用于生产、储存、装卸危险物品的建设项目的施工单位必须按照批准的安全设施设计施工，并对安全设施的工程质量负责。矿山、金属冶炼建设项目和用于生产、储存、装卸危险物品的建设项目竣工投入生产或者使用前，应当由建设单位负责组织对安全设施进行验收；验收合格后，方可投入生产和使用。负有安全生产监督管理职责的部门应当加强对建设单位验收活动和验收结果的监督核查。</w:t>
            </w:r>
          </w:p>
          <w:p w14:paraId="3025867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《煤矿安全生产条例》第十五条第二款 施工单位应当按照批准的安全设施设计施工，不得擅自变更设计内容。</w:t>
            </w:r>
          </w:p>
        </w:tc>
        <w:tc>
          <w:tcPr>
            <w:tcW w:w="4081" w:type="dxa"/>
            <w:vMerge w:val="restart"/>
            <w:tcBorders>
              <w:tl2br w:val="nil"/>
              <w:tr2bl w:val="nil"/>
            </w:tcBorders>
            <w:shd w:val="clear" w:color="auto" w:fill="auto"/>
            <w:tcMar>
              <w:top w:w="15" w:type="dxa"/>
              <w:left w:w="15" w:type="dxa"/>
              <w:right w:w="15" w:type="dxa"/>
            </w:tcMar>
            <w:vAlign w:val="center"/>
          </w:tcPr>
          <w:p w14:paraId="24D2A04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《安全生产法》第九十八条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 xml:space="preserve"> 生产经营单位有下列行为之一的，责令停止建设或者停产停业整顿，限期改正，并处十万元以上五十万元以下的罚款，对其直接负责的主管人员和其他直接责任人员处二万元以上五万以下的罚款；逾期未改正的，处五十万元以上一百万元以下的罚款，对其直接负责的主管人员和其他直接责任人员处五万元以上十万元以下的罚款；构成犯罪的，依照刑法有关规定追究刑事责任：（三）矿山、金属冶炼建设项目或者用于生产、储存、装卸危险物品的建设项目的施工单位未按照批准的安全设施设计施工的</w:t>
            </w:r>
          </w:p>
          <w:p w14:paraId="6D17484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《煤矿安全生产条例》第七十一条  有下列情形之一的，依照《中华人民共和国安全生产法》有关规定予以处罚：（二）煤矿建设项目的施工单位未按照批准的安全设施设计施工的。</w:t>
            </w:r>
          </w:p>
        </w:tc>
        <w:tc>
          <w:tcPr>
            <w:tcW w:w="472" w:type="dxa"/>
            <w:tcBorders>
              <w:tl2br w:val="nil"/>
              <w:tr2bl w:val="nil"/>
            </w:tcBorders>
            <w:shd w:val="clear" w:color="auto" w:fill="auto"/>
            <w:noWrap/>
            <w:tcMar>
              <w:top w:w="15" w:type="dxa"/>
              <w:left w:w="15" w:type="dxa"/>
              <w:right w:w="15" w:type="dxa"/>
            </w:tcMar>
            <w:vAlign w:val="center"/>
          </w:tcPr>
          <w:p w14:paraId="6B6B0F9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不予处罚</w:t>
            </w:r>
          </w:p>
        </w:tc>
        <w:tc>
          <w:tcPr>
            <w:tcW w:w="1800" w:type="dxa"/>
            <w:tcBorders>
              <w:tl2br w:val="nil"/>
              <w:tr2bl w:val="nil"/>
            </w:tcBorders>
            <w:shd w:val="clear" w:color="auto" w:fill="auto"/>
            <w:tcMar>
              <w:top w:w="15" w:type="dxa"/>
              <w:left w:w="15" w:type="dxa"/>
              <w:right w:w="15" w:type="dxa"/>
            </w:tcMar>
            <w:vAlign w:val="center"/>
          </w:tcPr>
          <w:p w14:paraId="7B26EF4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noWrap/>
            <w:tcMar>
              <w:top w:w="15" w:type="dxa"/>
              <w:left w:w="15" w:type="dxa"/>
              <w:right w:w="15" w:type="dxa"/>
            </w:tcMar>
            <w:vAlign w:val="center"/>
          </w:tcPr>
          <w:p w14:paraId="12647B8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4E059C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5E25858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21A2E2C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362B1EE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6256A38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noWrap/>
            <w:tcMar>
              <w:top w:w="15" w:type="dxa"/>
              <w:left w:w="15" w:type="dxa"/>
              <w:right w:w="15" w:type="dxa"/>
            </w:tcMar>
            <w:vAlign w:val="center"/>
          </w:tcPr>
          <w:p w14:paraId="56CE6D3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免予处罚</w:t>
            </w:r>
          </w:p>
        </w:tc>
        <w:tc>
          <w:tcPr>
            <w:tcW w:w="1800" w:type="dxa"/>
            <w:tcBorders>
              <w:tl2br w:val="nil"/>
              <w:tr2bl w:val="nil"/>
            </w:tcBorders>
            <w:shd w:val="clear" w:color="auto" w:fill="auto"/>
            <w:tcMar>
              <w:top w:w="15" w:type="dxa"/>
              <w:left w:w="15" w:type="dxa"/>
              <w:right w:w="15" w:type="dxa"/>
            </w:tcMar>
            <w:vAlign w:val="center"/>
          </w:tcPr>
          <w:p w14:paraId="09AF2A6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不适用</w:t>
            </w:r>
          </w:p>
        </w:tc>
        <w:tc>
          <w:tcPr>
            <w:tcW w:w="2557" w:type="dxa"/>
            <w:tcBorders>
              <w:tl2br w:val="nil"/>
              <w:tr2bl w:val="nil"/>
            </w:tcBorders>
            <w:shd w:val="clear" w:color="auto" w:fill="auto"/>
            <w:noWrap/>
            <w:tcMar>
              <w:top w:w="15" w:type="dxa"/>
              <w:left w:w="15" w:type="dxa"/>
              <w:right w:w="15" w:type="dxa"/>
            </w:tcMar>
            <w:vAlign w:val="center"/>
          </w:tcPr>
          <w:p w14:paraId="108FC1E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6E0D35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43E7F53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7200120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78947CF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51EFFA7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noWrap/>
            <w:tcMar>
              <w:top w:w="15" w:type="dxa"/>
              <w:left w:w="15" w:type="dxa"/>
              <w:right w:w="15" w:type="dxa"/>
            </w:tcMar>
            <w:vAlign w:val="center"/>
          </w:tcPr>
          <w:p w14:paraId="4B4FCBD3">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减轻处罚</w:t>
            </w:r>
          </w:p>
        </w:tc>
        <w:tc>
          <w:tcPr>
            <w:tcW w:w="1800" w:type="dxa"/>
            <w:tcBorders>
              <w:tl2br w:val="nil"/>
              <w:tr2bl w:val="nil"/>
            </w:tcBorders>
            <w:shd w:val="clear" w:color="auto" w:fill="auto"/>
            <w:tcMar>
              <w:top w:w="15" w:type="dxa"/>
              <w:left w:w="15" w:type="dxa"/>
              <w:right w:w="15" w:type="dxa"/>
            </w:tcMar>
            <w:vAlign w:val="center"/>
          </w:tcPr>
          <w:p w14:paraId="6705491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27BA373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1DCF41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7AAF5D7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700DE19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421FF5B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09E0CA7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noWrap/>
            <w:tcMar>
              <w:top w:w="15" w:type="dxa"/>
              <w:left w:w="15" w:type="dxa"/>
              <w:right w:w="15" w:type="dxa"/>
            </w:tcMar>
            <w:vAlign w:val="center"/>
          </w:tcPr>
          <w:p w14:paraId="7A97105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从轻处罚</w:t>
            </w:r>
          </w:p>
        </w:tc>
        <w:tc>
          <w:tcPr>
            <w:tcW w:w="1800" w:type="dxa"/>
            <w:tcBorders>
              <w:tl2br w:val="nil"/>
              <w:tr2bl w:val="nil"/>
            </w:tcBorders>
            <w:shd w:val="clear" w:color="auto" w:fill="auto"/>
            <w:tcMar>
              <w:top w:w="15" w:type="dxa"/>
              <w:left w:w="15" w:type="dxa"/>
              <w:right w:w="15" w:type="dxa"/>
            </w:tcMar>
            <w:vAlign w:val="center"/>
          </w:tcPr>
          <w:p w14:paraId="2136FE2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煤矿建设项目的施工单位未按照批准的安全设施设计施工，投资额在1000万元以下的。</w:t>
            </w:r>
          </w:p>
        </w:tc>
        <w:tc>
          <w:tcPr>
            <w:tcW w:w="2557" w:type="dxa"/>
            <w:tcBorders>
              <w:tl2br w:val="nil"/>
              <w:tr2bl w:val="nil"/>
            </w:tcBorders>
            <w:shd w:val="clear" w:color="auto" w:fill="auto"/>
            <w:tcMar>
              <w:top w:w="15" w:type="dxa"/>
              <w:left w:w="15" w:type="dxa"/>
              <w:right w:w="15" w:type="dxa"/>
            </w:tcMar>
            <w:vAlign w:val="center"/>
          </w:tcPr>
          <w:p w14:paraId="61E355B7">
            <w:pPr>
              <w:keepNext w:val="0"/>
              <w:keepLines w:val="0"/>
              <w:pageBreakBefore w:val="0"/>
              <w:widowControl w:val="0"/>
              <w:kinsoku/>
              <w:wordWrap/>
              <w:overflowPunct w:val="0"/>
              <w:topLinePunct w:val="0"/>
              <w:autoSpaceDE/>
              <w:autoSpaceDN/>
              <w:bidi w:val="0"/>
              <w:adjustRightInd/>
              <w:snapToGrid/>
              <w:spacing w:line="23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责令停止建设或者停产停业整顿，限期改正，并处10万元以上22万元以下罚款，对其直接负责的主管人员和其他直接责任人员处2万元以上3万元以下罚款；逾期未改正的，处50万元以上70万元以下罚款，对其直接负责的主管人员和其他直接责任人员处5万元以上7万元以下罚款。</w:t>
            </w:r>
          </w:p>
        </w:tc>
      </w:tr>
      <w:tr w14:paraId="220743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2227132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11B0D4A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70F59E9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536D37A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noWrap/>
            <w:tcMar>
              <w:top w:w="15" w:type="dxa"/>
              <w:left w:w="15" w:type="dxa"/>
              <w:right w:w="15" w:type="dxa"/>
            </w:tcMar>
            <w:vAlign w:val="center"/>
          </w:tcPr>
          <w:p w14:paraId="782014F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一般处罚</w:t>
            </w:r>
          </w:p>
        </w:tc>
        <w:tc>
          <w:tcPr>
            <w:tcW w:w="1800" w:type="dxa"/>
            <w:tcBorders>
              <w:tl2br w:val="nil"/>
              <w:tr2bl w:val="nil"/>
            </w:tcBorders>
            <w:shd w:val="clear" w:color="auto" w:fill="auto"/>
            <w:tcMar>
              <w:top w:w="15" w:type="dxa"/>
              <w:left w:w="15" w:type="dxa"/>
              <w:right w:w="15" w:type="dxa"/>
            </w:tcMar>
            <w:vAlign w:val="center"/>
          </w:tcPr>
          <w:p w14:paraId="0768A08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煤矿建设项目的施工单位未按照批准的安全设施设计施工，投资额在1000万元以上，3000万元以下的。</w:t>
            </w:r>
          </w:p>
        </w:tc>
        <w:tc>
          <w:tcPr>
            <w:tcW w:w="2557" w:type="dxa"/>
            <w:tcBorders>
              <w:tl2br w:val="nil"/>
              <w:tr2bl w:val="nil"/>
            </w:tcBorders>
            <w:shd w:val="clear" w:color="auto" w:fill="auto"/>
            <w:tcMar>
              <w:top w:w="15" w:type="dxa"/>
              <w:left w:w="15" w:type="dxa"/>
              <w:right w:w="15" w:type="dxa"/>
            </w:tcMar>
            <w:vAlign w:val="center"/>
          </w:tcPr>
          <w:p w14:paraId="64DE529C">
            <w:pPr>
              <w:keepNext w:val="0"/>
              <w:keepLines w:val="0"/>
              <w:pageBreakBefore w:val="0"/>
              <w:widowControl w:val="0"/>
              <w:kinsoku/>
              <w:wordWrap/>
              <w:overflowPunct w:val="0"/>
              <w:topLinePunct w:val="0"/>
              <w:autoSpaceDE/>
              <w:autoSpaceDN/>
              <w:bidi w:val="0"/>
              <w:adjustRightInd/>
              <w:snapToGrid/>
              <w:spacing w:line="23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责令停止建设或者停产停业整顿，限期改正，并处22万元以上38万元以下罚款，对其直接负责的主管人员和其他直接责任人员处3万元以上4万元以下罚款；逾期未改正的，处70万元以上90万元以下罚款，对其直接负责的主管人员和其他直接责任人员处7万元以上9万元以下罚款。</w:t>
            </w:r>
          </w:p>
        </w:tc>
      </w:tr>
      <w:tr w14:paraId="42FAF6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2A52781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5318EDB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4CF855F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0547570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noWrap/>
            <w:tcMar>
              <w:top w:w="15" w:type="dxa"/>
              <w:left w:w="15" w:type="dxa"/>
              <w:right w:w="15" w:type="dxa"/>
            </w:tcMar>
            <w:vAlign w:val="center"/>
          </w:tcPr>
          <w:p w14:paraId="18D641D4">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从重处罚</w:t>
            </w:r>
          </w:p>
        </w:tc>
        <w:tc>
          <w:tcPr>
            <w:tcW w:w="1800" w:type="dxa"/>
            <w:tcBorders>
              <w:tl2br w:val="nil"/>
              <w:tr2bl w:val="nil"/>
            </w:tcBorders>
            <w:shd w:val="clear" w:color="auto" w:fill="auto"/>
            <w:tcMar>
              <w:top w:w="15" w:type="dxa"/>
              <w:left w:w="15" w:type="dxa"/>
              <w:right w:w="15" w:type="dxa"/>
            </w:tcMar>
            <w:vAlign w:val="center"/>
          </w:tcPr>
          <w:p w14:paraId="136DECA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煤矿建设项目的施工单位未按照批准的安全设施设计施工，投资额在3000万元以上的。</w:t>
            </w:r>
          </w:p>
        </w:tc>
        <w:tc>
          <w:tcPr>
            <w:tcW w:w="2557" w:type="dxa"/>
            <w:tcBorders>
              <w:tl2br w:val="nil"/>
              <w:tr2bl w:val="nil"/>
            </w:tcBorders>
            <w:shd w:val="clear" w:color="auto" w:fill="auto"/>
            <w:tcMar>
              <w:top w:w="15" w:type="dxa"/>
              <w:left w:w="15" w:type="dxa"/>
              <w:right w:w="15" w:type="dxa"/>
            </w:tcMar>
            <w:vAlign w:val="center"/>
          </w:tcPr>
          <w:p w14:paraId="0375EFF0">
            <w:pPr>
              <w:keepNext w:val="0"/>
              <w:keepLines w:val="0"/>
              <w:pageBreakBefore w:val="0"/>
              <w:widowControl w:val="0"/>
              <w:kinsoku/>
              <w:wordWrap/>
              <w:overflowPunct w:val="0"/>
              <w:topLinePunct w:val="0"/>
              <w:autoSpaceDE/>
              <w:autoSpaceDN/>
              <w:bidi w:val="0"/>
              <w:adjustRightInd/>
              <w:snapToGrid/>
              <w:spacing w:line="23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责令停止建设或者停产停业整顿，限期改正，并处38万元以上50万元以下罚款，对其直接负责的主管人员和其他直接责任人员处4万元以上5万元以下罚款；逾期未改正的，处90万元以上100万元以下罚款，对其直接负责的主管人员和其他直接责任人员处9万元以上10万元以下罚款。</w:t>
            </w:r>
          </w:p>
        </w:tc>
      </w:tr>
      <w:tr w14:paraId="56E367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429" w:type="dxa"/>
            <w:vMerge w:val="restart"/>
            <w:tcBorders>
              <w:tl2br w:val="nil"/>
              <w:tr2bl w:val="nil"/>
            </w:tcBorders>
            <w:shd w:val="clear" w:color="auto" w:fill="auto"/>
            <w:noWrap/>
            <w:tcMar>
              <w:top w:w="15" w:type="dxa"/>
              <w:left w:w="15" w:type="dxa"/>
              <w:right w:w="15" w:type="dxa"/>
            </w:tcMar>
            <w:vAlign w:val="center"/>
          </w:tcPr>
          <w:p w14:paraId="647255A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bidi="ar"/>
              </w:rPr>
              <w:t>2</w:t>
            </w:r>
            <w:del w:id="3129" w:author="LV" w:date="2026-07-14T17:17:00Z">
              <w:r>
                <w:rPr>
                  <w:rFonts w:hint="default" w:ascii="仿宋_GB2312" w:hAnsi="宋体" w:eastAsia="仿宋_GB2312" w:cs="仿宋_GB2312"/>
                  <w:kern w:val="0"/>
                  <w:sz w:val="18"/>
                  <w:szCs w:val="18"/>
                  <w:lang w:val="en-US" w:bidi="ar"/>
                </w:rPr>
                <w:delText>2</w:delText>
              </w:r>
            </w:del>
            <w:del w:id="3130" w:author="LV" w:date="2026-07-14T17:17:00Z">
              <w:r>
                <w:rPr>
                  <w:rFonts w:hint="default" w:ascii="仿宋_GB2312" w:hAnsi="宋体" w:eastAsia="仿宋_GB2312" w:cs="仿宋_GB2312"/>
                  <w:kern w:val="0"/>
                  <w:sz w:val="18"/>
                  <w:szCs w:val="18"/>
                  <w:lang w:val="en-US" w:eastAsia="zh-CN" w:bidi="ar"/>
                </w:rPr>
                <w:delText>8</w:delText>
              </w:r>
            </w:del>
            <w:ins w:id="3131" w:author="LV" w:date="2026-07-14T17:17:00Z">
              <w:r>
                <w:rPr>
                  <w:rFonts w:hint="eastAsia" w:ascii="仿宋_GB2312" w:hAnsi="宋体" w:eastAsia="仿宋_GB2312" w:cs="仿宋_GB2312"/>
                  <w:kern w:val="0"/>
                  <w:sz w:val="18"/>
                  <w:szCs w:val="18"/>
                  <w:lang w:val="en-US" w:eastAsia="zh-CN" w:bidi="ar"/>
                </w:rPr>
                <w:t>35</w:t>
              </w:r>
            </w:ins>
          </w:p>
        </w:tc>
        <w:tc>
          <w:tcPr>
            <w:tcW w:w="1006" w:type="dxa"/>
            <w:vMerge w:val="restart"/>
            <w:tcBorders>
              <w:tl2br w:val="nil"/>
              <w:tr2bl w:val="nil"/>
            </w:tcBorders>
            <w:shd w:val="clear" w:color="auto" w:fill="auto"/>
            <w:tcMar>
              <w:top w:w="15" w:type="dxa"/>
              <w:left w:w="15" w:type="dxa"/>
              <w:right w:w="15" w:type="dxa"/>
            </w:tcMar>
            <w:vAlign w:val="center"/>
          </w:tcPr>
          <w:p w14:paraId="3847C55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hint="eastAsia"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bidi="ar"/>
              </w:rPr>
              <w:t>煤矿建设项目未按规定验收</w:t>
            </w:r>
            <w:r>
              <w:rPr>
                <w:rFonts w:hint="eastAsia" w:ascii="仿宋_GB2312" w:hAnsi="宋体" w:eastAsia="仿宋_GB2312" w:cs="仿宋_GB2312"/>
                <w:kern w:val="0"/>
                <w:sz w:val="18"/>
                <w:szCs w:val="18"/>
                <w:lang w:val="en-US" w:eastAsia="zh-CN" w:bidi="ar"/>
              </w:rPr>
              <w:t>的</w:t>
            </w:r>
          </w:p>
        </w:tc>
        <w:tc>
          <w:tcPr>
            <w:tcW w:w="3813" w:type="dxa"/>
            <w:vMerge w:val="restart"/>
            <w:tcBorders>
              <w:tl2br w:val="nil"/>
              <w:tr2bl w:val="nil"/>
            </w:tcBorders>
            <w:shd w:val="clear" w:color="auto" w:fill="auto"/>
            <w:tcMar>
              <w:top w:w="15" w:type="dxa"/>
              <w:left w:w="15" w:type="dxa"/>
              <w:right w:w="15" w:type="dxa"/>
            </w:tcMar>
            <w:vAlign w:val="center"/>
          </w:tcPr>
          <w:p w14:paraId="25A64EB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《安全生产法》第三十四条　矿山、金属冶炼建设项目和用于生产、储存、装卸危险物品的建设项目的施工单位必须按照批准的安全设施设计施工，并对安全设施的工程质量负责。矿山、金属冶炼建设项目和用于生产、储存、装卸危险物品的建设项目竣工投入生产或者使用前，应当由建设单位负责组织对安全设施进行验收；验收合格后，方可投入生产和使用。负有安全生产监督管理职责的部门应当加强对建设单位验收活动和验收结果的监督核查。</w:t>
            </w:r>
          </w:p>
          <w:p w14:paraId="3B89861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《煤矿安全生产条例》第十六条  煤矿建设项目竣工投入生产或者使用前，应当由建设单位负责组织对安全设施进行验收，并对验收结果负责；经验收合格后，方可投入生产和使用。</w:t>
            </w:r>
          </w:p>
        </w:tc>
        <w:tc>
          <w:tcPr>
            <w:tcW w:w="4081" w:type="dxa"/>
            <w:vMerge w:val="restart"/>
            <w:tcBorders>
              <w:tl2br w:val="nil"/>
              <w:tr2bl w:val="nil"/>
            </w:tcBorders>
            <w:shd w:val="clear" w:color="auto" w:fill="auto"/>
            <w:tcMar>
              <w:top w:w="15" w:type="dxa"/>
              <w:left w:w="15" w:type="dxa"/>
              <w:right w:w="15" w:type="dxa"/>
            </w:tcMar>
            <w:vAlign w:val="center"/>
          </w:tcPr>
          <w:p w14:paraId="1D199E8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《安全生产法》第九十八条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生产经营单位有下列行为之一的，责令停止建设或者停产停业整顿，限期改正，并处十万元以上五十万元以下的罚款，对其直接负责的主管人员和其他直接责任人员处二万元以上五万以下的罚款；逾期未改正的，处五十万元以上一百万元以下的罚款，对其直接负责的主管人员和其他直接责任人员处五万元以上十万元以下的罚款；构成犯罪的，依照刑法有关规定追究刑事责任：（四）矿山、金属冶炼建设项目或者用于生产、储存危险物品的建设项目竣工投入生产或者使用前，安全设施未经验收合格的。</w:t>
            </w:r>
          </w:p>
          <w:p w14:paraId="3F6B0F0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《煤矿安全生产条例》第七十一条  有下列情形之一的，依照《中华人民共和国安全生产法》有关规定予以处罚：（三）煤矿建设项目竣工投入生产或者使用前，安全设施未经验收合格的；</w:t>
            </w:r>
          </w:p>
        </w:tc>
        <w:tc>
          <w:tcPr>
            <w:tcW w:w="472" w:type="dxa"/>
            <w:tcBorders>
              <w:tl2br w:val="nil"/>
              <w:tr2bl w:val="nil"/>
            </w:tcBorders>
            <w:shd w:val="clear" w:color="auto" w:fill="auto"/>
            <w:noWrap/>
            <w:tcMar>
              <w:top w:w="15" w:type="dxa"/>
              <w:left w:w="15" w:type="dxa"/>
              <w:right w:w="15" w:type="dxa"/>
            </w:tcMar>
            <w:vAlign w:val="center"/>
          </w:tcPr>
          <w:p w14:paraId="7BEEC68E">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不予处罚</w:t>
            </w:r>
          </w:p>
        </w:tc>
        <w:tc>
          <w:tcPr>
            <w:tcW w:w="1800" w:type="dxa"/>
            <w:tcBorders>
              <w:tl2br w:val="nil"/>
              <w:tr2bl w:val="nil"/>
            </w:tcBorders>
            <w:shd w:val="clear" w:color="auto" w:fill="auto"/>
            <w:tcMar>
              <w:top w:w="15" w:type="dxa"/>
              <w:left w:w="15" w:type="dxa"/>
              <w:right w:w="15" w:type="dxa"/>
            </w:tcMar>
            <w:vAlign w:val="center"/>
          </w:tcPr>
          <w:p w14:paraId="1D79278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noWrap/>
            <w:tcMar>
              <w:top w:w="15" w:type="dxa"/>
              <w:left w:w="15" w:type="dxa"/>
              <w:right w:w="15" w:type="dxa"/>
            </w:tcMar>
            <w:vAlign w:val="center"/>
          </w:tcPr>
          <w:p w14:paraId="48FEA5D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3140E3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429" w:type="dxa"/>
            <w:vMerge w:val="continue"/>
            <w:tcBorders>
              <w:tl2br w:val="nil"/>
              <w:tr2bl w:val="nil"/>
            </w:tcBorders>
            <w:shd w:val="clear" w:color="auto" w:fill="auto"/>
            <w:noWrap/>
            <w:tcMar>
              <w:top w:w="15" w:type="dxa"/>
              <w:left w:w="15" w:type="dxa"/>
              <w:right w:w="15" w:type="dxa"/>
            </w:tcMar>
            <w:vAlign w:val="center"/>
          </w:tcPr>
          <w:p w14:paraId="2BAA837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251CE91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70F84A3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48235DA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noWrap/>
            <w:tcMar>
              <w:top w:w="15" w:type="dxa"/>
              <w:left w:w="15" w:type="dxa"/>
              <w:right w:w="15" w:type="dxa"/>
            </w:tcMar>
            <w:vAlign w:val="center"/>
          </w:tcPr>
          <w:p w14:paraId="3FEF977E">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免予处罚</w:t>
            </w:r>
          </w:p>
        </w:tc>
        <w:tc>
          <w:tcPr>
            <w:tcW w:w="1800" w:type="dxa"/>
            <w:tcBorders>
              <w:tl2br w:val="nil"/>
              <w:tr2bl w:val="nil"/>
            </w:tcBorders>
            <w:shd w:val="clear" w:color="auto" w:fill="auto"/>
            <w:tcMar>
              <w:top w:w="15" w:type="dxa"/>
              <w:left w:w="15" w:type="dxa"/>
              <w:right w:w="15" w:type="dxa"/>
            </w:tcMar>
            <w:vAlign w:val="center"/>
          </w:tcPr>
          <w:p w14:paraId="5B02CF3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noWrap/>
            <w:tcMar>
              <w:top w:w="15" w:type="dxa"/>
              <w:left w:w="15" w:type="dxa"/>
              <w:right w:w="15" w:type="dxa"/>
            </w:tcMar>
            <w:vAlign w:val="center"/>
          </w:tcPr>
          <w:p w14:paraId="06A9FD83">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21DB39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429" w:type="dxa"/>
            <w:vMerge w:val="continue"/>
            <w:tcBorders>
              <w:tl2br w:val="nil"/>
              <w:tr2bl w:val="nil"/>
            </w:tcBorders>
            <w:shd w:val="clear" w:color="auto" w:fill="auto"/>
            <w:noWrap/>
            <w:tcMar>
              <w:top w:w="15" w:type="dxa"/>
              <w:left w:w="15" w:type="dxa"/>
              <w:right w:w="15" w:type="dxa"/>
            </w:tcMar>
            <w:vAlign w:val="center"/>
          </w:tcPr>
          <w:p w14:paraId="46C11DB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45D8BF6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69388BF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732E94A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noWrap/>
            <w:tcMar>
              <w:top w:w="15" w:type="dxa"/>
              <w:left w:w="15" w:type="dxa"/>
              <w:right w:w="15" w:type="dxa"/>
            </w:tcMar>
            <w:vAlign w:val="center"/>
          </w:tcPr>
          <w:p w14:paraId="222A3E64">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减轻处罚</w:t>
            </w:r>
          </w:p>
        </w:tc>
        <w:tc>
          <w:tcPr>
            <w:tcW w:w="1800" w:type="dxa"/>
            <w:tcBorders>
              <w:tl2br w:val="nil"/>
              <w:tr2bl w:val="nil"/>
            </w:tcBorders>
            <w:shd w:val="clear" w:color="auto" w:fill="auto"/>
            <w:tcMar>
              <w:top w:w="15" w:type="dxa"/>
              <w:left w:w="15" w:type="dxa"/>
              <w:right w:w="15" w:type="dxa"/>
            </w:tcMar>
            <w:vAlign w:val="center"/>
          </w:tcPr>
          <w:p w14:paraId="7906FE5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55A5FF7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3E5C00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noWrap/>
            <w:tcMar>
              <w:top w:w="15" w:type="dxa"/>
              <w:left w:w="15" w:type="dxa"/>
              <w:right w:w="15" w:type="dxa"/>
            </w:tcMar>
            <w:vAlign w:val="center"/>
          </w:tcPr>
          <w:p w14:paraId="1463ABE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44EABCC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13EFFB6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20A2F6B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noWrap/>
            <w:tcMar>
              <w:top w:w="15" w:type="dxa"/>
              <w:left w:w="15" w:type="dxa"/>
              <w:right w:w="15" w:type="dxa"/>
            </w:tcMar>
            <w:vAlign w:val="center"/>
          </w:tcPr>
          <w:p w14:paraId="6BF15FD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从轻处罚</w:t>
            </w:r>
          </w:p>
        </w:tc>
        <w:tc>
          <w:tcPr>
            <w:tcW w:w="1800" w:type="dxa"/>
            <w:tcBorders>
              <w:tl2br w:val="nil"/>
              <w:tr2bl w:val="nil"/>
            </w:tcBorders>
            <w:shd w:val="clear" w:color="auto" w:fill="auto"/>
            <w:tcMar>
              <w:top w:w="15" w:type="dxa"/>
              <w:left w:w="15" w:type="dxa"/>
              <w:right w:w="15" w:type="dxa"/>
            </w:tcMar>
            <w:vAlign w:val="center"/>
          </w:tcPr>
          <w:p w14:paraId="2C40080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煤矿建设项目竣工投入生产或者使用前，安全设施未经验收合格，投资额在1000万元以下的。</w:t>
            </w:r>
          </w:p>
        </w:tc>
        <w:tc>
          <w:tcPr>
            <w:tcW w:w="2557" w:type="dxa"/>
            <w:tcBorders>
              <w:tl2br w:val="nil"/>
              <w:tr2bl w:val="nil"/>
            </w:tcBorders>
            <w:shd w:val="clear" w:color="auto" w:fill="auto"/>
            <w:tcMar>
              <w:top w:w="15" w:type="dxa"/>
              <w:left w:w="15" w:type="dxa"/>
              <w:right w:w="15" w:type="dxa"/>
            </w:tcMar>
            <w:vAlign w:val="center"/>
          </w:tcPr>
          <w:p w14:paraId="000778B7">
            <w:pPr>
              <w:keepNext w:val="0"/>
              <w:keepLines w:val="0"/>
              <w:pageBreakBefore w:val="0"/>
              <w:widowControl w:val="0"/>
              <w:kinsoku/>
              <w:wordWrap/>
              <w:overflowPunct w:val="0"/>
              <w:topLinePunct w:val="0"/>
              <w:autoSpaceDE/>
              <w:autoSpaceDN/>
              <w:bidi w:val="0"/>
              <w:adjustRightInd/>
              <w:snapToGrid/>
              <w:spacing w:line="23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责令停止建设或者停产停业整顿，限期改正，并处10万元以上22万元以下罚款，对其直接负责的主管人员和其他直接责任人员处2万元以上3万元以下罚款；逾期未改正的，处50万元以上70万元以下罚款，对其直接负责的主管人员和其他直接责任人员处5万元以上7万元以下罚款。</w:t>
            </w:r>
          </w:p>
        </w:tc>
      </w:tr>
      <w:tr w14:paraId="4B4FE5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noWrap/>
            <w:tcMar>
              <w:top w:w="15" w:type="dxa"/>
              <w:left w:w="15" w:type="dxa"/>
              <w:right w:w="15" w:type="dxa"/>
            </w:tcMar>
            <w:vAlign w:val="center"/>
          </w:tcPr>
          <w:p w14:paraId="0FE9250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3F4E272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5429236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04D9CDE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noWrap/>
            <w:tcMar>
              <w:top w:w="15" w:type="dxa"/>
              <w:left w:w="15" w:type="dxa"/>
              <w:right w:w="15" w:type="dxa"/>
            </w:tcMar>
            <w:vAlign w:val="center"/>
          </w:tcPr>
          <w:p w14:paraId="3E5093E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一般处罚</w:t>
            </w:r>
          </w:p>
        </w:tc>
        <w:tc>
          <w:tcPr>
            <w:tcW w:w="1800" w:type="dxa"/>
            <w:tcBorders>
              <w:tl2br w:val="nil"/>
              <w:tr2bl w:val="nil"/>
            </w:tcBorders>
            <w:shd w:val="clear" w:color="auto" w:fill="auto"/>
            <w:tcMar>
              <w:top w:w="15" w:type="dxa"/>
              <w:left w:w="15" w:type="dxa"/>
              <w:right w:w="15" w:type="dxa"/>
            </w:tcMar>
            <w:vAlign w:val="center"/>
          </w:tcPr>
          <w:p w14:paraId="2A7FE1C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煤矿建设项目竣工投入生产或者使用前，安全设施未经验收合格，投资额在1000万元以上3000万元以下的。</w:t>
            </w:r>
          </w:p>
        </w:tc>
        <w:tc>
          <w:tcPr>
            <w:tcW w:w="2557" w:type="dxa"/>
            <w:tcBorders>
              <w:tl2br w:val="nil"/>
              <w:tr2bl w:val="nil"/>
            </w:tcBorders>
            <w:shd w:val="clear" w:color="auto" w:fill="auto"/>
            <w:tcMar>
              <w:top w:w="15" w:type="dxa"/>
              <w:left w:w="15" w:type="dxa"/>
              <w:right w:w="15" w:type="dxa"/>
            </w:tcMar>
            <w:vAlign w:val="center"/>
          </w:tcPr>
          <w:p w14:paraId="15F47D94">
            <w:pPr>
              <w:keepNext w:val="0"/>
              <w:keepLines w:val="0"/>
              <w:pageBreakBefore w:val="0"/>
              <w:widowControl w:val="0"/>
              <w:kinsoku/>
              <w:wordWrap/>
              <w:overflowPunct w:val="0"/>
              <w:topLinePunct w:val="0"/>
              <w:autoSpaceDE/>
              <w:autoSpaceDN/>
              <w:bidi w:val="0"/>
              <w:adjustRightInd/>
              <w:snapToGrid/>
              <w:spacing w:line="23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责令停止建设或者停产停业整顿，限期改正，并处22万元以上38万元以下罚款，对其直接负责的主管人员和其他直接责任人员处3万元以上4万元以下罚款；逾期未改正的，处70万元以上90万元以下罚款，对其直接负责的主管人员和其他直接责任人员处7万元以上9万元以下罚款。</w:t>
            </w:r>
          </w:p>
        </w:tc>
      </w:tr>
      <w:tr w14:paraId="22D89D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noWrap/>
            <w:tcMar>
              <w:top w:w="15" w:type="dxa"/>
              <w:left w:w="15" w:type="dxa"/>
              <w:right w:w="15" w:type="dxa"/>
            </w:tcMar>
            <w:vAlign w:val="center"/>
          </w:tcPr>
          <w:p w14:paraId="599B02E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74B0FBE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4838C49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21DE4F3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noWrap/>
            <w:tcMar>
              <w:top w:w="15" w:type="dxa"/>
              <w:left w:w="15" w:type="dxa"/>
              <w:right w:w="15" w:type="dxa"/>
            </w:tcMar>
            <w:vAlign w:val="center"/>
          </w:tcPr>
          <w:p w14:paraId="60CD4663">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从重处罚</w:t>
            </w:r>
          </w:p>
        </w:tc>
        <w:tc>
          <w:tcPr>
            <w:tcW w:w="1800" w:type="dxa"/>
            <w:tcBorders>
              <w:tl2br w:val="nil"/>
              <w:tr2bl w:val="nil"/>
            </w:tcBorders>
            <w:shd w:val="clear" w:color="auto" w:fill="auto"/>
            <w:tcMar>
              <w:top w:w="15" w:type="dxa"/>
              <w:left w:w="15" w:type="dxa"/>
              <w:right w:w="15" w:type="dxa"/>
            </w:tcMar>
            <w:vAlign w:val="center"/>
          </w:tcPr>
          <w:p w14:paraId="0DD3F91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煤矿建设项目竣工投入生产或者使用前，安全设施未经验收合格，投资额在3000万元以上的。</w:t>
            </w:r>
          </w:p>
        </w:tc>
        <w:tc>
          <w:tcPr>
            <w:tcW w:w="2557" w:type="dxa"/>
            <w:tcBorders>
              <w:tl2br w:val="nil"/>
              <w:tr2bl w:val="nil"/>
            </w:tcBorders>
            <w:shd w:val="clear" w:color="auto" w:fill="auto"/>
            <w:tcMar>
              <w:top w:w="15" w:type="dxa"/>
              <w:left w:w="15" w:type="dxa"/>
              <w:right w:w="15" w:type="dxa"/>
            </w:tcMar>
            <w:vAlign w:val="center"/>
          </w:tcPr>
          <w:p w14:paraId="285BE5D7">
            <w:pPr>
              <w:keepNext w:val="0"/>
              <w:keepLines w:val="0"/>
              <w:pageBreakBefore w:val="0"/>
              <w:widowControl w:val="0"/>
              <w:kinsoku/>
              <w:wordWrap/>
              <w:overflowPunct w:val="0"/>
              <w:topLinePunct w:val="0"/>
              <w:autoSpaceDE/>
              <w:autoSpaceDN/>
              <w:bidi w:val="0"/>
              <w:adjustRightInd/>
              <w:snapToGrid/>
              <w:spacing w:line="23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责令停止建设或者停产停业整顿，限期改正，并处38万元以上50万元以下罚款，对其直接负责的主管人员和其他直接责任人员处4万元以上5万元以下罚款；逾期未改正的，处90万元以上100万元以下罚款，对其直接负责的主管人员和其他直接责任人员处9万元以上10万元以下罚款。</w:t>
            </w:r>
          </w:p>
        </w:tc>
      </w:tr>
      <w:tr w14:paraId="0E08DB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29" w:type="dxa"/>
            <w:vMerge w:val="restart"/>
            <w:tcBorders>
              <w:tl2br w:val="nil"/>
              <w:tr2bl w:val="nil"/>
            </w:tcBorders>
            <w:shd w:val="clear" w:color="auto" w:fill="auto"/>
            <w:noWrap/>
            <w:tcMar>
              <w:top w:w="15" w:type="dxa"/>
              <w:left w:w="15" w:type="dxa"/>
              <w:right w:w="15" w:type="dxa"/>
            </w:tcMar>
            <w:vAlign w:val="center"/>
          </w:tcPr>
          <w:p w14:paraId="4B909E0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bidi="ar"/>
              </w:rPr>
              <w:t>2</w:t>
            </w:r>
            <w:del w:id="3132" w:author="LV" w:date="2026-07-14T17:17:04Z">
              <w:r>
                <w:rPr>
                  <w:rFonts w:hint="default" w:ascii="仿宋_GB2312" w:hAnsi="宋体" w:eastAsia="仿宋_GB2312" w:cs="仿宋_GB2312"/>
                  <w:kern w:val="0"/>
                  <w:sz w:val="18"/>
                  <w:szCs w:val="18"/>
                  <w:lang w:val="en-US" w:eastAsia="zh-CN" w:bidi="ar"/>
                </w:rPr>
                <w:delText>29</w:delText>
              </w:r>
            </w:del>
            <w:ins w:id="3133" w:author="LV" w:date="2026-07-14T17:17:04Z">
              <w:r>
                <w:rPr>
                  <w:rFonts w:hint="eastAsia" w:ascii="仿宋_GB2312" w:hAnsi="宋体" w:eastAsia="仿宋_GB2312" w:cs="仿宋_GB2312"/>
                  <w:kern w:val="0"/>
                  <w:sz w:val="18"/>
                  <w:szCs w:val="18"/>
                  <w:lang w:val="en-US" w:eastAsia="zh-CN" w:bidi="ar"/>
                </w:rPr>
                <w:t>36</w:t>
              </w:r>
            </w:ins>
          </w:p>
        </w:tc>
        <w:tc>
          <w:tcPr>
            <w:tcW w:w="1006" w:type="dxa"/>
            <w:vMerge w:val="restart"/>
            <w:tcBorders>
              <w:tl2br w:val="nil"/>
              <w:tr2bl w:val="nil"/>
            </w:tcBorders>
            <w:shd w:val="clear" w:color="auto" w:fill="auto"/>
            <w:tcMar>
              <w:top w:w="15" w:type="dxa"/>
              <w:left w:w="15" w:type="dxa"/>
              <w:right w:w="15" w:type="dxa"/>
            </w:tcMar>
            <w:vAlign w:val="center"/>
          </w:tcPr>
          <w:p w14:paraId="485CF46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hint="eastAsia"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bidi="ar"/>
              </w:rPr>
              <w:t>未依照《中华人民共和国石油天然气管道保护法》规定对管道进行巡护、检测和维修，逾期不改正</w:t>
            </w:r>
            <w:r>
              <w:rPr>
                <w:rFonts w:hint="eastAsia" w:ascii="仿宋_GB2312" w:hAnsi="宋体" w:eastAsia="仿宋_GB2312" w:cs="仿宋_GB2312"/>
                <w:kern w:val="0"/>
                <w:sz w:val="18"/>
                <w:szCs w:val="18"/>
                <w:lang w:val="en-US" w:eastAsia="zh-CN" w:bidi="ar"/>
              </w:rPr>
              <w:t>的</w:t>
            </w:r>
          </w:p>
        </w:tc>
        <w:tc>
          <w:tcPr>
            <w:tcW w:w="3813" w:type="dxa"/>
            <w:vMerge w:val="restart"/>
            <w:tcBorders>
              <w:tl2br w:val="nil"/>
              <w:tr2bl w:val="nil"/>
            </w:tcBorders>
            <w:shd w:val="clear" w:color="auto" w:fill="auto"/>
            <w:tcMar>
              <w:top w:w="15" w:type="dxa"/>
              <w:left w:w="15" w:type="dxa"/>
              <w:right w:w="15" w:type="dxa"/>
            </w:tcMar>
            <w:vAlign w:val="center"/>
          </w:tcPr>
          <w:p w14:paraId="285A387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eastAsia="zh-CN" w:bidi="ar"/>
              </w:rPr>
              <w:t>《中华人民共和国石油天然气管道保护法》</w:t>
            </w:r>
            <w:r>
              <w:rPr>
                <w:rFonts w:hint="eastAsia" w:ascii="仿宋_GB2312" w:hAnsi="宋体" w:eastAsia="仿宋_GB2312" w:cs="仿宋_GB2312"/>
                <w:kern w:val="0"/>
                <w:sz w:val="18"/>
                <w:szCs w:val="18"/>
                <w:lang w:bidi="ar"/>
              </w:rPr>
              <w:t>第二十二条</w:t>
            </w:r>
            <w:r>
              <w:rPr>
                <w:rFonts w:hint="eastAsia" w:ascii="仿宋_GB2312" w:hAnsi="宋体" w:eastAsia="仿宋_GB2312" w:cs="仿宋_GB2312"/>
                <w:kern w:val="0"/>
                <w:sz w:val="18"/>
                <w:szCs w:val="18"/>
                <w:lang w:val="en-US" w:eastAsia="zh-CN" w:bidi="ar"/>
              </w:rPr>
              <w:t xml:space="preserve"> </w:t>
            </w:r>
            <w:r>
              <w:rPr>
                <w:rFonts w:hint="eastAsia" w:ascii="仿宋_GB2312" w:hAnsi="宋体" w:eastAsia="仿宋_GB2312" w:cs="仿宋_GB2312"/>
                <w:kern w:val="0"/>
                <w:sz w:val="18"/>
                <w:szCs w:val="18"/>
                <w:lang w:bidi="ar"/>
              </w:rPr>
              <w:t>管道企业应当建立、健全管道巡护制度，配备专门人员对管道线路进行日常巡护。管道巡护人员发现危害管道安全的情形或者隐患，应当按照规定及时处理和报告。</w:t>
            </w:r>
          </w:p>
          <w:p w14:paraId="4A02C0C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第二十三条第一款 管道企业应当定期对管道进行检测、维修，确保其处于良好状态；对管道安全风险较大的区段和场所应当进行重点监测，采取有效措施防止管道事故的发生。</w:t>
            </w:r>
          </w:p>
        </w:tc>
        <w:tc>
          <w:tcPr>
            <w:tcW w:w="4081" w:type="dxa"/>
            <w:vMerge w:val="restart"/>
            <w:tcBorders>
              <w:tl2br w:val="nil"/>
              <w:tr2bl w:val="nil"/>
            </w:tcBorders>
            <w:shd w:val="clear" w:color="auto" w:fill="auto"/>
            <w:tcMar>
              <w:top w:w="15" w:type="dxa"/>
              <w:left w:w="15" w:type="dxa"/>
              <w:right w:w="15" w:type="dxa"/>
            </w:tcMar>
            <w:vAlign w:val="center"/>
          </w:tcPr>
          <w:p w14:paraId="32BD856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eastAsia="zh-CN" w:bidi="ar"/>
              </w:rPr>
              <w:t>《中华人民共和国石油天然气管道保护法》</w:t>
            </w:r>
            <w:r>
              <w:rPr>
                <w:rFonts w:hint="eastAsia" w:ascii="仿宋_GB2312" w:hAnsi="宋体" w:eastAsia="仿宋_GB2312" w:cs="仿宋_GB2312"/>
                <w:kern w:val="0"/>
                <w:sz w:val="18"/>
                <w:szCs w:val="18"/>
                <w:lang w:bidi="ar"/>
              </w:rPr>
              <w:t>第五十条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管道企业有下列行为之一的，由县级以上地方人民政府主管管道保护工作的部门责令限期改正；逾期不改正的，处二万元以上十万元以下的罚款；对直接负责的主管人员和其他直接责任人员给予处分：（一）未依照本法规定对管道进行巡护、检测和维修的；</w:t>
            </w:r>
          </w:p>
        </w:tc>
        <w:tc>
          <w:tcPr>
            <w:tcW w:w="472" w:type="dxa"/>
            <w:tcBorders>
              <w:tl2br w:val="nil"/>
              <w:tr2bl w:val="nil"/>
            </w:tcBorders>
            <w:shd w:val="clear" w:color="auto" w:fill="auto"/>
            <w:tcMar>
              <w:top w:w="15" w:type="dxa"/>
              <w:left w:w="15" w:type="dxa"/>
              <w:right w:w="15" w:type="dxa"/>
            </w:tcMar>
            <w:vAlign w:val="center"/>
          </w:tcPr>
          <w:p w14:paraId="0DE79B63">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不予处罚</w:t>
            </w:r>
          </w:p>
        </w:tc>
        <w:tc>
          <w:tcPr>
            <w:tcW w:w="1800" w:type="dxa"/>
            <w:tcBorders>
              <w:tl2br w:val="nil"/>
              <w:tr2bl w:val="nil"/>
            </w:tcBorders>
            <w:shd w:val="clear" w:color="auto" w:fill="auto"/>
            <w:tcMar>
              <w:top w:w="15" w:type="dxa"/>
              <w:left w:w="15" w:type="dxa"/>
              <w:right w:w="15" w:type="dxa"/>
            </w:tcMar>
            <w:vAlign w:val="center"/>
          </w:tcPr>
          <w:p w14:paraId="1AED964D">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5350CD67">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70E7DE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3134" w:author="LV" w:date="2026-07-23T14:39:32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wBefore w:w="0" w:type="auto"/>
          <w:trHeight w:val="539" w:hRule="atLeast"/>
          <w:jc w:val="center"/>
          <w:trPrChange w:id="3134" w:author="LV" w:date="2026-07-23T14:39:32Z">
            <w:trPr>
              <w:gridBefore w:val="1"/>
              <w:wBefore w:w="15" w:type="dxa"/>
              <w:trHeight w:val="624" w:hRule="atLeast"/>
              <w:jc w:val="center"/>
            </w:trPr>
          </w:trPrChange>
        </w:trPr>
        <w:tc>
          <w:tcPr>
            <w:tcW w:w="429" w:type="dxa"/>
            <w:vMerge w:val="continue"/>
            <w:tcBorders>
              <w:tl2br w:val="nil"/>
              <w:tr2bl w:val="nil"/>
            </w:tcBorders>
            <w:shd w:val="clear" w:color="auto" w:fill="auto"/>
            <w:noWrap/>
            <w:tcMar>
              <w:top w:w="15" w:type="dxa"/>
              <w:left w:w="15" w:type="dxa"/>
              <w:right w:w="15" w:type="dxa"/>
            </w:tcMar>
            <w:vAlign w:val="center"/>
            <w:tcPrChange w:id="3135" w:author="LV" w:date="2026-07-23T14:39:32Z">
              <w:tcPr>
                <w:tcW w:w="429" w:type="dxa"/>
                <w:gridSpan w:val="2"/>
                <w:vMerge w:val="continue"/>
                <w:tcBorders>
                  <w:tl2br w:val="nil"/>
                  <w:tr2bl w:val="nil"/>
                </w:tcBorders>
                <w:shd w:val="clear" w:color="auto" w:fill="auto"/>
                <w:noWrap/>
                <w:tcMar>
                  <w:top w:w="15" w:type="dxa"/>
                  <w:left w:w="15" w:type="dxa"/>
                  <w:right w:w="15" w:type="dxa"/>
                </w:tcMar>
                <w:vAlign w:val="center"/>
              </w:tcPr>
            </w:tcPrChange>
          </w:tcPr>
          <w:p w14:paraId="5CFCEA7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Change w:id="3136" w:author="LV" w:date="2026-07-23T14:39:32Z">
              <w:tcPr>
                <w:tcW w:w="1006" w:type="dxa"/>
                <w:gridSpan w:val="2"/>
                <w:vMerge w:val="continue"/>
                <w:tcBorders>
                  <w:tl2br w:val="nil"/>
                  <w:tr2bl w:val="nil"/>
                </w:tcBorders>
                <w:shd w:val="clear" w:color="auto" w:fill="auto"/>
                <w:tcMar>
                  <w:top w:w="15" w:type="dxa"/>
                  <w:left w:w="15" w:type="dxa"/>
                  <w:right w:w="15" w:type="dxa"/>
                </w:tcMar>
                <w:vAlign w:val="center"/>
              </w:tcPr>
            </w:tcPrChange>
          </w:tcPr>
          <w:p w14:paraId="61ACED4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Change w:id="3137" w:author="LV" w:date="2026-07-23T14:39:32Z">
              <w:tcPr>
                <w:tcW w:w="3813" w:type="dxa"/>
                <w:gridSpan w:val="2"/>
                <w:vMerge w:val="continue"/>
                <w:tcBorders>
                  <w:tl2br w:val="nil"/>
                  <w:tr2bl w:val="nil"/>
                </w:tcBorders>
                <w:shd w:val="clear" w:color="auto" w:fill="auto"/>
                <w:tcMar>
                  <w:top w:w="15" w:type="dxa"/>
                  <w:left w:w="15" w:type="dxa"/>
                  <w:right w:w="15" w:type="dxa"/>
                </w:tcMar>
                <w:vAlign w:val="center"/>
              </w:tcPr>
            </w:tcPrChange>
          </w:tcPr>
          <w:p w14:paraId="4849CBC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Change w:id="3138" w:author="LV" w:date="2026-07-23T14:39:32Z">
              <w:tcPr>
                <w:tcW w:w="4081" w:type="dxa"/>
                <w:gridSpan w:val="2"/>
                <w:vMerge w:val="continue"/>
                <w:tcBorders>
                  <w:tl2br w:val="nil"/>
                  <w:tr2bl w:val="nil"/>
                </w:tcBorders>
                <w:shd w:val="clear" w:color="auto" w:fill="auto"/>
                <w:tcMar>
                  <w:top w:w="15" w:type="dxa"/>
                  <w:left w:w="15" w:type="dxa"/>
                  <w:right w:w="15" w:type="dxa"/>
                </w:tcMar>
                <w:vAlign w:val="center"/>
              </w:tcPr>
            </w:tcPrChange>
          </w:tcPr>
          <w:p w14:paraId="7330F15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Change w:id="3139" w:author="LV" w:date="2026-07-23T14:39:32Z">
              <w:tcPr>
                <w:tcW w:w="472" w:type="dxa"/>
                <w:gridSpan w:val="2"/>
                <w:tcBorders>
                  <w:tl2br w:val="nil"/>
                  <w:tr2bl w:val="nil"/>
                </w:tcBorders>
                <w:shd w:val="clear" w:color="auto" w:fill="auto"/>
                <w:tcMar>
                  <w:top w:w="15" w:type="dxa"/>
                  <w:left w:w="15" w:type="dxa"/>
                  <w:right w:w="15" w:type="dxa"/>
                </w:tcMar>
                <w:vAlign w:val="center"/>
              </w:tcPr>
            </w:tcPrChange>
          </w:tcPr>
          <w:p w14:paraId="4137EF2A">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免予处罚</w:t>
            </w:r>
          </w:p>
        </w:tc>
        <w:tc>
          <w:tcPr>
            <w:tcW w:w="1800" w:type="dxa"/>
            <w:tcBorders>
              <w:tl2br w:val="nil"/>
              <w:tr2bl w:val="nil"/>
            </w:tcBorders>
            <w:shd w:val="clear" w:color="auto" w:fill="auto"/>
            <w:tcMar>
              <w:top w:w="15" w:type="dxa"/>
              <w:left w:w="15" w:type="dxa"/>
              <w:right w:w="15" w:type="dxa"/>
            </w:tcMar>
            <w:vAlign w:val="center"/>
            <w:tcPrChange w:id="3140" w:author="LV" w:date="2026-07-23T14:39:32Z">
              <w:tcPr>
                <w:tcW w:w="1800" w:type="dxa"/>
                <w:gridSpan w:val="2"/>
                <w:tcBorders>
                  <w:tl2br w:val="nil"/>
                  <w:tr2bl w:val="nil"/>
                </w:tcBorders>
                <w:shd w:val="clear" w:color="auto" w:fill="auto"/>
                <w:tcMar>
                  <w:top w:w="15" w:type="dxa"/>
                  <w:left w:w="15" w:type="dxa"/>
                  <w:right w:w="15" w:type="dxa"/>
                </w:tcMar>
                <w:vAlign w:val="center"/>
              </w:tcPr>
            </w:tcPrChange>
          </w:tcPr>
          <w:p w14:paraId="27918CA6">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Change w:id="3141" w:author="LV" w:date="2026-07-23T14:39:32Z">
              <w:tcPr>
                <w:tcW w:w="2557" w:type="dxa"/>
                <w:gridSpan w:val="2"/>
                <w:tcBorders>
                  <w:tl2br w:val="nil"/>
                  <w:tr2bl w:val="nil"/>
                </w:tcBorders>
                <w:shd w:val="clear" w:color="auto" w:fill="auto"/>
                <w:tcMar>
                  <w:top w:w="15" w:type="dxa"/>
                  <w:left w:w="15" w:type="dxa"/>
                  <w:right w:w="15" w:type="dxa"/>
                </w:tcMar>
                <w:vAlign w:val="center"/>
              </w:tcPr>
            </w:tcPrChange>
          </w:tcPr>
          <w:p w14:paraId="4DB8C8A8">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105ABB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3142" w:author="LV" w:date="2026-07-23T14:39:34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wBefore w:w="0" w:type="auto"/>
          <w:trHeight w:val="524" w:hRule="atLeast"/>
          <w:jc w:val="center"/>
          <w:trPrChange w:id="3142" w:author="LV" w:date="2026-07-23T14:39:34Z">
            <w:trPr>
              <w:gridBefore w:val="1"/>
              <w:wBefore w:w="15" w:type="dxa"/>
              <w:trHeight w:val="624" w:hRule="atLeast"/>
              <w:jc w:val="center"/>
            </w:trPr>
          </w:trPrChange>
        </w:trPr>
        <w:tc>
          <w:tcPr>
            <w:tcW w:w="429" w:type="dxa"/>
            <w:vMerge w:val="continue"/>
            <w:tcBorders>
              <w:tl2br w:val="nil"/>
              <w:tr2bl w:val="nil"/>
            </w:tcBorders>
            <w:shd w:val="clear" w:color="auto" w:fill="auto"/>
            <w:noWrap/>
            <w:tcMar>
              <w:top w:w="15" w:type="dxa"/>
              <w:left w:w="15" w:type="dxa"/>
              <w:right w:w="15" w:type="dxa"/>
            </w:tcMar>
            <w:vAlign w:val="center"/>
            <w:tcPrChange w:id="3143" w:author="LV" w:date="2026-07-23T14:39:34Z">
              <w:tcPr>
                <w:tcW w:w="429" w:type="dxa"/>
                <w:gridSpan w:val="2"/>
                <w:vMerge w:val="continue"/>
                <w:tcBorders>
                  <w:tl2br w:val="nil"/>
                  <w:tr2bl w:val="nil"/>
                </w:tcBorders>
                <w:shd w:val="clear" w:color="auto" w:fill="auto"/>
                <w:noWrap/>
                <w:tcMar>
                  <w:top w:w="15" w:type="dxa"/>
                  <w:left w:w="15" w:type="dxa"/>
                  <w:right w:w="15" w:type="dxa"/>
                </w:tcMar>
                <w:vAlign w:val="center"/>
              </w:tcPr>
            </w:tcPrChange>
          </w:tcPr>
          <w:p w14:paraId="3224A04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Change w:id="3144" w:author="LV" w:date="2026-07-23T14:39:34Z">
              <w:tcPr>
                <w:tcW w:w="1006" w:type="dxa"/>
                <w:gridSpan w:val="2"/>
                <w:vMerge w:val="continue"/>
                <w:tcBorders>
                  <w:tl2br w:val="nil"/>
                  <w:tr2bl w:val="nil"/>
                </w:tcBorders>
                <w:shd w:val="clear" w:color="auto" w:fill="auto"/>
                <w:tcMar>
                  <w:top w:w="15" w:type="dxa"/>
                  <w:left w:w="15" w:type="dxa"/>
                  <w:right w:w="15" w:type="dxa"/>
                </w:tcMar>
                <w:vAlign w:val="center"/>
              </w:tcPr>
            </w:tcPrChange>
          </w:tcPr>
          <w:p w14:paraId="0BFAE52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Change w:id="3145" w:author="LV" w:date="2026-07-23T14:39:34Z">
              <w:tcPr>
                <w:tcW w:w="3813" w:type="dxa"/>
                <w:gridSpan w:val="2"/>
                <w:vMerge w:val="continue"/>
                <w:tcBorders>
                  <w:tl2br w:val="nil"/>
                  <w:tr2bl w:val="nil"/>
                </w:tcBorders>
                <w:shd w:val="clear" w:color="auto" w:fill="auto"/>
                <w:tcMar>
                  <w:top w:w="15" w:type="dxa"/>
                  <w:left w:w="15" w:type="dxa"/>
                  <w:right w:w="15" w:type="dxa"/>
                </w:tcMar>
                <w:vAlign w:val="center"/>
              </w:tcPr>
            </w:tcPrChange>
          </w:tcPr>
          <w:p w14:paraId="5A9C8FE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Change w:id="3146" w:author="LV" w:date="2026-07-23T14:39:34Z">
              <w:tcPr>
                <w:tcW w:w="4081" w:type="dxa"/>
                <w:gridSpan w:val="2"/>
                <w:vMerge w:val="continue"/>
                <w:tcBorders>
                  <w:tl2br w:val="nil"/>
                  <w:tr2bl w:val="nil"/>
                </w:tcBorders>
                <w:shd w:val="clear" w:color="auto" w:fill="auto"/>
                <w:tcMar>
                  <w:top w:w="15" w:type="dxa"/>
                  <w:left w:w="15" w:type="dxa"/>
                  <w:right w:w="15" w:type="dxa"/>
                </w:tcMar>
                <w:vAlign w:val="center"/>
              </w:tcPr>
            </w:tcPrChange>
          </w:tcPr>
          <w:p w14:paraId="4D4A89A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Change w:id="3147" w:author="LV" w:date="2026-07-23T14:39:34Z">
              <w:tcPr>
                <w:tcW w:w="472" w:type="dxa"/>
                <w:gridSpan w:val="2"/>
                <w:tcBorders>
                  <w:tl2br w:val="nil"/>
                  <w:tr2bl w:val="nil"/>
                </w:tcBorders>
                <w:shd w:val="clear" w:color="auto" w:fill="auto"/>
                <w:tcMar>
                  <w:top w:w="15" w:type="dxa"/>
                  <w:left w:w="15" w:type="dxa"/>
                  <w:right w:w="15" w:type="dxa"/>
                </w:tcMar>
                <w:vAlign w:val="center"/>
              </w:tcPr>
            </w:tcPrChange>
          </w:tcPr>
          <w:p w14:paraId="60ABD8A3">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减轻处罚</w:t>
            </w:r>
          </w:p>
        </w:tc>
        <w:tc>
          <w:tcPr>
            <w:tcW w:w="1800" w:type="dxa"/>
            <w:tcBorders>
              <w:tl2br w:val="nil"/>
              <w:tr2bl w:val="nil"/>
            </w:tcBorders>
            <w:shd w:val="clear" w:color="auto" w:fill="auto"/>
            <w:tcMar>
              <w:top w:w="15" w:type="dxa"/>
              <w:left w:w="15" w:type="dxa"/>
              <w:right w:w="15" w:type="dxa"/>
            </w:tcMar>
            <w:vAlign w:val="center"/>
            <w:tcPrChange w:id="3148" w:author="LV" w:date="2026-07-23T14:39:34Z">
              <w:tcPr>
                <w:tcW w:w="1800" w:type="dxa"/>
                <w:gridSpan w:val="2"/>
                <w:tcBorders>
                  <w:tl2br w:val="nil"/>
                  <w:tr2bl w:val="nil"/>
                </w:tcBorders>
                <w:shd w:val="clear" w:color="auto" w:fill="auto"/>
                <w:tcMar>
                  <w:top w:w="15" w:type="dxa"/>
                  <w:left w:w="15" w:type="dxa"/>
                  <w:right w:w="15" w:type="dxa"/>
                </w:tcMar>
                <w:vAlign w:val="center"/>
              </w:tcPr>
            </w:tcPrChange>
          </w:tcPr>
          <w:p w14:paraId="06B69C03">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Change w:id="3149" w:author="LV" w:date="2026-07-23T14:39:34Z">
              <w:tcPr>
                <w:tcW w:w="2557" w:type="dxa"/>
                <w:gridSpan w:val="2"/>
                <w:tcBorders>
                  <w:tl2br w:val="nil"/>
                  <w:tr2bl w:val="nil"/>
                </w:tcBorders>
                <w:shd w:val="clear" w:color="auto" w:fill="auto"/>
                <w:tcMar>
                  <w:top w:w="15" w:type="dxa"/>
                  <w:left w:w="15" w:type="dxa"/>
                  <w:right w:w="15" w:type="dxa"/>
                </w:tcMar>
                <w:vAlign w:val="center"/>
              </w:tcPr>
            </w:tcPrChange>
          </w:tcPr>
          <w:p w14:paraId="2E5495C7">
            <w:pPr>
              <w:keepNext w:val="0"/>
              <w:keepLines w:val="0"/>
              <w:pageBreakBefore w:val="0"/>
              <w:widowControl w:val="0"/>
              <w:kinsoku/>
              <w:wordWrap/>
              <w:overflowPunct w:val="0"/>
              <w:topLinePunct w:val="0"/>
              <w:autoSpaceDE/>
              <w:autoSpaceDN/>
              <w:bidi w:val="0"/>
              <w:adjustRightInd/>
              <w:snapToGrid/>
              <w:spacing w:line="220" w:lineRule="exact"/>
              <w:jc w:val="left"/>
              <w:textAlignment w:val="center"/>
              <w:rPr>
                <w:rFonts w:ascii="仿宋_GB2312" w:hAnsi="宋体" w:eastAsia="仿宋_GB2312" w:cs="仿宋_GB2312"/>
                <w:kern w:val="0"/>
                <w:sz w:val="18"/>
                <w:szCs w:val="18"/>
                <w:lang w:bidi="ar"/>
              </w:rPr>
              <w:pPrChange w:id="3150" w:author="LV" w:date="2026-07-20T19:25:39Z">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pPr>
              </w:pPrChange>
            </w:pPr>
            <w:r>
              <w:rPr>
                <w:rFonts w:hint="eastAsia" w:ascii="仿宋_GB2312" w:hAnsi="宋体" w:eastAsia="仿宋_GB2312" w:cs="仿宋_GB2312"/>
                <w:color w:val="auto"/>
                <w:kern w:val="0"/>
                <w:sz w:val="18"/>
                <w:szCs w:val="18"/>
                <w:lang w:bidi="ar"/>
                <w:rPrChange w:id="3151" w:author="LV" w:date="2026-07-20T19:25:39Z">
                  <w:rPr>
                    <w:rFonts w:hint="eastAsia" w:ascii="仿宋_GB2312" w:hAnsi="宋体" w:eastAsia="仿宋_GB2312" w:cs="仿宋_GB2312"/>
                    <w:color w:val="000000" w:themeColor="text1"/>
                    <w:kern w:val="0"/>
                    <w:sz w:val="21"/>
                    <w:szCs w:val="21"/>
                    <w:lang w:bidi="ar"/>
                    <w14:textFill>
                      <w14:solidFill>
                        <w14:schemeClr w14:val="tx1"/>
                      </w14:solidFill>
                    </w14:textFill>
                  </w:rPr>
                </w:rPrChange>
              </w:rPr>
              <w:t>处1万元以上2万元以下的罚款</w:t>
            </w:r>
          </w:p>
        </w:tc>
      </w:tr>
      <w:tr w14:paraId="1CA9A6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9" w:hRule="atLeast"/>
          <w:jc w:val="center"/>
        </w:trPr>
        <w:tc>
          <w:tcPr>
            <w:tcW w:w="429" w:type="dxa"/>
            <w:vMerge w:val="continue"/>
            <w:tcBorders>
              <w:tl2br w:val="nil"/>
              <w:tr2bl w:val="nil"/>
            </w:tcBorders>
            <w:shd w:val="clear" w:color="auto" w:fill="auto"/>
            <w:noWrap/>
            <w:tcMar>
              <w:top w:w="15" w:type="dxa"/>
              <w:left w:w="15" w:type="dxa"/>
              <w:right w:w="15" w:type="dxa"/>
            </w:tcMar>
            <w:vAlign w:val="center"/>
          </w:tcPr>
          <w:p w14:paraId="15F08BC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4BDC930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3251534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20A415C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5AC87B0E">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从轻处罚</w:t>
            </w:r>
          </w:p>
        </w:tc>
        <w:tc>
          <w:tcPr>
            <w:tcW w:w="1800" w:type="dxa"/>
            <w:tcBorders>
              <w:tl2br w:val="nil"/>
              <w:tr2bl w:val="nil"/>
            </w:tcBorders>
            <w:shd w:val="clear" w:color="auto" w:fill="auto"/>
            <w:tcMar>
              <w:top w:w="15" w:type="dxa"/>
              <w:left w:w="15" w:type="dxa"/>
              <w:right w:w="15" w:type="dxa"/>
            </w:tcMar>
            <w:vAlign w:val="center"/>
          </w:tcPr>
          <w:p w14:paraId="2EF4E759">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限期内不能纠正违法行为，但能主动改正且违法行为造成危害后果轻微的。</w:t>
            </w:r>
          </w:p>
        </w:tc>
        <w:tc>
          <w:tcPr>
            <w:tcW w:w="2557" w:type="dxa"/>
            <w:tcBorders>
              <w:tl2br w:val="nil"/>
              <w:tr2bl w:val="nil"/>
            </w:tcBorders>
            <w:shd w:val="clear" w:color="auto" w:fill="auto"/>
            <w:tcMar>
              <w:top w:w="15" w:type="dxa"/>
              <w:left w:w="15" w:type="dxa"/>
              <w:right w:w="15" w:type="dxa"/>
            </w:tcMar>
            <w:vAlign w:val="center"/>
          </w:tcPr>
          <w:p w14:paraId="0035371B">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处2万元以上</w:t>
            </w:r>
            <w:r>
              <w:rPr>
                <w:rFonts w:ascii="仿宋_GB2312" w:hAnsi="宋体" w:eastAsia="仿宋_GB2312" w:cs="仿宋_GB2312"/>
                <w:kern w:val="0"/>
                <w:sz w:val="18"/>
                <w:szCs w:val="18"/>
                <w:lang w:bidi="ar"/>
              </w:rPr>
              <w:t>4</w:t>
            </w:r>
            <w:r>
              <w:rPr>
                <w:rFonts w:hint="eastAsia" w:ascii="仿宋_GB2312" w:hAnsi="宋体" w:eastAsia="仿宋_GB2312" w:cs="仿宋_GB2312"/>
                <w:kern w:val="0"/>
                <w:sz w:val="18"/>
                <w:szCs w:val="18"/>
                <w:lang w:bidi="ar"/>
              </w:rPr>
              <w:t>万元以下罚款。</w:t>
            </w:r>
          </w:p>
        </w:tc>
      </w:tr>
      <w:tr w14:paraId="4CD2DB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4" w:hRule="atLeast"/>
          <w:jc w:val="center"/>
        </w:trPr>
        <w:tc>
          <w:tcPr>
            <w:tcW w:w="429" w:type="dxa"/>
            <w:vMerge w:val="continue"/>
            <w:tcBorders>
              <w:tl2br w:val="nil"/>
              <w:tr2bl w:val="nil"/>
            </w:tcBorders>
            <w:shd w:val="clear" w:color="auto" w:fill="auto"/>
            <w:noWrap/>
            <w:tcMar>
              <w:top w:w="15" w:type="dxa"/>
              <w:left w:w="15" w:type="dxa"/>
              <w:right w:w="15" w:type="dxa"/>
            </w:tcMar>
            <w:vAlign w:val="center"/>
          </w:tcPr>
          <w:p w14:paraId="1A09646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12142BE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5A9B03E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4ECA565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0CE62EB6">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一般处罚</w:t>
            </w:r>
          </w:p>
        </w:tc>
        <w:tc>
          <w:tcPr>
            <w:tcW w:w="1800" w:type="dxa"/>
            <w:tcBorders>
              <w:tl2br w:val="nil"/>
              <w:tr2bl w:val="nil"/>
            </w:tcBorders>
            <w:shd w:val="clear" w:color="auto" w:fill="auto"/>
            <w:tcMar>
              <w:top w:w="15" w:type="dxa"/>
              <w:left w:w="15" w:type="dxa"/>
              <w:right w:w="15" w:type="dxa"/>
            </w:tcMar>
            <w:vAlign w:val="center"/>
          </w:tcPr>
          <w:p w14:paraId="7B543BA6">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逾期不改正，出现危害管道安全情形或者形成问题隐患的。</w:t>
            </w:r>
          </w:p>
        </w:tc>
        <w:tc>
          <w:tcPr>
            <w:tcW w:w="2557" w:type="dxa"/>
            <w:tcBorders>
              <w:tl2br w:val="nil"/>
              <w:tr2bl w:val="nil"/>
            </w:tcBorders>
            <w:shd w:val="clear" w:color="auto" w:fill="auto"/>
            <w:tcMar>
              <w:top w:w="15" w:type="dxa"/>
              <w:left w:w="15" w:type="dxa"/>
              <w:right w:w="15" w:type="dxa"/>
            </w:tcMar>
            <w:vAlign w:val="center"/>
          </w:tcPr>
          <w:p w14:paraId="415C53D9">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w:t>
            </w:r>
            <w:r>
              <w:rPr>
                <w:rFonts w:ascii="仿宋_GB2312" w:hAnsi="宋体" w:eastAsia="仿宋_GB2312" w:cs="仿宋_GB2312"/>
                <w:kern w:val="0"/>
                <w:sz w:val="18"/>
                <w:szCs w:val="18"/>
                <w:lang w:bidi="ar"/>
              </w:rPr>
              <w:t>4</w:t>
            </w:r>
            <w:r>
              <w:rPr>
                <w:rFonts w:hint="eastAsia" w:ascii="仿宋_GB2312" w:hAnsi="宋体" w:eastAsia="仿宋_GB2312" w:cs="仿宋_GB2312"/>
                <w:kern w:val="0"/>
                <w:sz w:val="18"/>
                <w:szCs w:val="18"/>
                <w:lang w:bidi="ar"/>
              </w:rPr>
              <w:t>万元以上8万元以下罚款。</w:t>
            </w:r>
          </w:p>
        </w:tc>
      </w:tr>
      <w:tr w14:paraId="1E441F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29" w:type="dxa"/>
            <w:vMerge w:val="continue"/>
            <w:tcBorders>
              <w:tl2br w:val="nil"/>
              <w:tr2bl w:val="nil"/>
            </w:tcBorders>
            <w:shd w:val="clear" w:color="auto" w:fill="auto"/>
            <w:noWrap/>
            <w:tcMar>
              <w:top w:w="15" w:type="dxa"/>
              <w:left w:w="15" w:type="dxa"/>
              <w:right w:w="15" w:type="dxa"/>
            </w:tcMar>
            <w:vAlign w:val="center"/>
          </w:tcPr>
          <w:p w14:paraId="4AB80E8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7B07C62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0FDDD08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0FF30D7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54A71AC7">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从重处罚</w:t>
            </w:r>
          </w:p>
        </w:tc>
        <w:tc>
          <w:tcPr>
            <w:tcW w:w="1800" w:type="dxa"/>
            <w:tcBorders>
              <w:tl2br w:val="nil"/>
              <w:tr2bl w:val="nil"/>
            </w:tcBorders>
            <w:shd w:val="clear" w:color="auto" w:fill="auto"/>
            <w:tcMar>
              <w:top w:w="15" w:type="dxa"/>
              <w:left w:w="15" w:type="dxa"/>
              <w:right w:w="15" w:type="dxa"/>
            </w:tcMar>
            <w:vAlign w:val="center"/>
          </w:tcPr>
          <w:p w14:paraId="6DB0A8B9">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逾期不改正，发生管道事故的。</w:t>
            </w:r>
          </w:p>
        </w:tc>
        <w:tc>
          <w:tcPr>
            <w:tcW w:w="2557" w:type="dxa"/>
            <w:tcBorders>
              <w:tl2br w:val="nil"/>
              <w:tr2bl w:val="nil"/>
            </w:tcBorders>
            <w:shd w:val="clear" w:color="auto" w:fill="auto"/>
            <w:tcMar>
              <w:top w:w="15" w:type="dxa"/>
              <w:left w:w="15" w:type="dxa"/>
              <w:right w:w="15" w:type="dxa"/>
            </w:tcMar>
            <w:vAlign w:val="center"/>
          </w:tcPr>
          <w:p w14:paraId="1A5446DC">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处8万元以上10万元以下罚款。</w:t>
            </w:r>
          </w:p>
        </w:tc>
      </w:tr>
      <w:tr w14:paraId="678ABE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29" w:type="dxa"/>
            <w:vMerge w:val="restart"/>
            <w:tcBorders>
              <w:tl2br w:val="nil"/>
              <w:tr2bl w:val="nil"/>
            </w:tcBorders>
            <w:shd w:val="clear" w:color="auto" w:fill="auto"/>
            <w:noWrap/>
            <w:tcMar>
              <w:top w:w="15" w:type="dxa"/>
              <w:left w:w="15" w:type="dxa"/>
              <w:right w:w="15" w:type="dxa"/>
            </w:tcMar>
            <w:vAlign w:val="center"/>
          </w:tcPr>
          <w:p w14:paraId="51C21C4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bidi="ar"/>
              </w:rPr>
              <w:t>2</w:t>
            </w:r>
            <w:del w:id="3152" w:author="LV" w:date="2026-07-14T17:17:07Z">
              <w:r>
                <w:rPr>
                  <w:rFonts w:hint="default" w:ascii="仿宋_GB2312" w:hAnsi="宋体" w:eastAsia="仿宋_GB2312" w:cs="仿宋_GB2312"/>
                  <w:kern w:val="0"/>
                  <w:sz w:val="18"/>
                  <w:szCs w:val="18"/>
                  <w:lang w:val="en-US" w:eastAsia="zh-CN" w:bidi="ar"/>
                </w:rPr>
                <w:delText>30</w:delText>
              </w:r>
            </w:del>
            <w:ins w:id="3153" w:author="LV" w:date="2026-07-14T17:17:07Z">
              <w:r>
                <w:rPr>
                  <w:rFonts w:hint="eastAsia" w:ascii="仿宋_GB2312" w:hAnsi="宋体" w:eastAsia="仿宋_GB2312" w:cs="仿宋_GB2312"/>
                  <w:kern w:val="0"/>
                  <w:sz w:val="18"/>
                  <w:szCs w:val="18"/>
                  <w:lang w:val="en-US" w:eastAsia="zh-CN" w:bidi="ar"/>
                </w:rPr>
                <w:t>3</w:t>
              </w:r>
            </w:ins>
            <w:ins w:id="3154" w:author="LV" w:date="2026-07-14T17:17:08Z">
              <w:r>
                <w:rPr>
                  <w:rFonts w:hint="eastAsia" w:ascii="仿宋_GB2312" w:hAnsi="宋体" w:eastAsia="仿宋_GB2312" w:cs="仿宋_GB2312"/>
                  <w:kern w:val="0"/>
                  <w:sz w:val="18"/>
                  <w:szCs w:val="18"/>
                  <w:lang w:val="en-US" w:eastAsia="zh-CN" w:bidi="ar"/>
                </w:rPr>
                <w:t>7</w:t>
              </w:r>
            </w:ins>
          </w:p>
        </w:tc>
        <w:tc>
          <w:tcPr>
            <w:tcW w:w="1006" w:type="dxa"/>
            <w:vMerge w:val="restart"/>
            <w:tcBorders>
              <w:tl2br w:val="nil"/>
              <w:tr2bl w:val="nil"/>
            </w:tcBorders>
            <w:shd w:val="clear" w:color="auto" w:fill="auto"/>
            <w:tcMar>
              <w:top w:w="15" w:type="dxa"/>
              <w:left w:w="15" w:type="dxa"/>
              <w:right w:w="15" w:type="dxa"/>
            </w:tcMar>
            <w:vAlign w:val="center"/>
          </w:tcPr>
          <w:p w14:paraId="29A07A4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hint="eastAsia"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bidi="ar"/>
              </w:rPr>
              <w:t>对不符合安全使用条件的管道未及时更新、改造或者停止使用，逾期不改正</w:t>
            </w:r>
            <w:r>
              <w:rPr>
                <w:rFonts w:hint="eastAsia" w:ascii="仿宋_GB2312" w:hAnsi="宋体" w:eastAsia="仿宋_GB2312" w:cs="仿宋_GB2312"/>
                <w:kern w:val="0"/>
                <w:sz w:val="18"/>
                <w:szCs w:val="18"/>
                <w:lang w:val="en-US" w:eastAsia="zh-CN" w:bidi="ar"/>
              </w:rPr>
              <w:t>的</w:t>
            </w:r>
          </w:p>
        </w:tc>
        <w:tc>
          <w:tcPr>
            <w:tcW w:w="3813" w:type="dxa"/>
            <w:vMerge w:val="restart"/>
            <w:tcBorders>
              <w:tl2br w:val="nil"/>
              <w:tr2bl w:val="nil"/>
            </w:tcBorders>
            <w:shd w:val="clear" w:color="auto" w:fill="auto"/>
            <w:tcMar>
              <w:top w:w="15" w:type="dxa"/>
              <w:left w:w="15" w:type="dxa"/>
              <w:right w:w="15" w:type="dxa"/>
            </w:tcMar>
            <w:vAlign w:val="center"/>
          </w:tcPr>
          <w:p w14:paraId="7CEDC83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eastAsia="zh-CN" w:bidi="ar"/>
              </w:rPr>
              <w:t>《中华人民共和国石油天然气管道保护法》</w:t>
            </w:r>
            <w:r>
              <w:rPr>
                <w:rFonts w:hint="eastAsia" w:ascii="仿宋_GB2312" w:hAnsi="宋体" w:eastAsia="仿宋_GB2312" w:cs="仿宋_GB2312"/>
                <w:kern w:val="0"/>
                <w:sz w:val="18"/>
                <w:szCs w:val="18"/>
                <w:lang w:bidi="ar"/>
              </w:rPr>
              <w:t>第二十三条第二款</w:t>
            </w:r>
            <w:r>
              <w:rPr>
                <w:rFonts w:hint="eastAsia" w:ascii="仿宋_GB2312" w:hAnsi="宋体" w:eastAsia="仿宋_GB2312" w:cs="仿宋_GB2312"/>
                <w:kern w:val="0"/>
                <w:sz w:val="18"/>
                <w:szCs w:val="18"/>
                <w:lang w:val="en-US" w:eastAsia="zh-CN" w:bidi="ar"/>
              </w:rPr>
              <w:t xml:space="preserve"> </w:t>
            </w:r>
            <w:r>
              <w:rPr>
                <w:rFonts w:hint="eastAsia" w:ascii="仿宋_GB2312" w:hAnsi="宋体" w:eastAsia="仿宋_GB2312" w:cs="仿宋_GB2312"/>
                <w:kern w:val="0"/>
                <w:sz w:val="18"/>
                <w:szCs w:val="18"/>
                <w:lang w:bidi="ar"/>
              </w:rPr>
              <w:t>对不符合安全使用条件的管道，管道企业应当及时更新、改造或者停止使用。</w:t>
            </w:r>
          </w:p>
        </w:tc>
        <w:tc>
          <w:tcPr>
            <w:tcW w:w="4081" w:type="dxa"/>
            <w:vMerge w:val="restart"/>
            <w:tcBorders>
              <w:tl2br w:val="nil"/>
              <w:tr2bl w:val="nil"/>
            </w:tcBorders>
            <w:shd w:val="clear" w:color="auto" w:fill="auto"/>
            <w:tcMar>
              <w:top w:w="15" w:type="dxa"/>
              <w:left w:w="15" w:type="dxa"/>
              <w:right w:w="15" w:type="dxa"/>
            </w:tcMar>
            <w:vAlign w:val="center"/>
          </w:tcPr>
          <w:p w14:paraId="17CBF28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eastAsia="zh-CN" w:bidi="ar"/>
              </w:rPr>
              <w:t>《中华人民共和国石油天然气管道保护法》</w:t>
            </w:r>
            <w:r>
              <w:rPr>
                <w:rFonts w:hint="eastAsia" w:ascii="仿宋_GB2312" w:hAnsi="宋体" w:eastAsia="仿宋_GB2312" w:cs="仿宋_GB2312"/>
                <w:kern w:val="0"/>
                <w:sz w:val="18"/>
                <w:szCs w:val="18"/>
                <w:lang w:bidi="ar"/>
              </w:rPr>
              <w:t>第五十条</w:t>
            </w:r>
            <w:r>
              <w:rPr>
                <w:rFonts w:hint="eastAsia" w:ascii="仿宋_GB2312" w:hAnsi="宋体" w:eastAsia="仿宋_GB2312" w:cs="仿宋_GB2312"/>
                <w:kern w:val="0"/>
                <w:sz w:val="18"/>
                <w:szCs w:val="18"/>
                <w:lang w:val="en-US" w:eastAsia="zh-CN" w:bidi="ar"/>
              </w:rPr>
              <w:t xml:space="preserve"> </w:t>
            </w:r>
            <w:r>
              <w:rPr>
                <w:rFonts w:hint="eastAsia" w:ascii="仿宋_GB2312" w:hAnsi="宋体" w:eastAsia="仿宋_GB2312" w:cs="仿宋_GB2312"/>
                <w:kern w:val="0"/>
                <w:sz w:val="18"/>
                <w:szCs w:val="18"/>
                <w:lang w:bidi="ar"/>
              </w:rPr>
              <w:t>管道企业有下列行为之一的，由县级以上地方人民政府主管管道保护工作的部门责令限期改正；逾期不改正的，处二万元以上十万元以下的罚款；对直接负责的主管人员和其他直接责任人员给予处分：（二）对不符合安全使用条件的管道未及时更新、改造或者停止使用的；</w:t>
            </w:r>
          </w:p>
        </w:tc>
        <w:tc>
          <w:tcPr>
            <w:tcW w:w="472" w:type="dxa"/>
            <w:tcBorders>
              <w:tl2br w:val="nil"/>
              <w:tr2bl w:val="nil"/>
            </w:tcBorders>
            <w:shd w:val="clear" w:color="auto" w:fill="auto"/>
            <w:tcMar>
              <w:top w:w="15" w:type="dxa"/>
              <w:left w:w="15" w:type="dxa"/>
              <w:right w:w="15" w:type="dxa"/>
            </w:tcMar>
            <w:vAlign w:val="center"/>
          </w:tcPr>
          <w:p w14:paraId="18FFB54D">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不予处罚</w:t>
            </w:r>
          </w:p>
        </w:tc>
        <w:tc>
          <w:tcPr>
            <w:tcW w:w="1800" w:type="dxa"/>
            <w:tcBorders>
              <w:tl2br w:val="nil"/>
              <w:tr2bl w:val="nil"/>
            </w:tcBorders>
            <w:shd w:val="clear" w:color="auto" w:fill="auto"/>
            <w:tcMar>
              <w:top w:w="15" w:type="dxa"/>
              <w:left w:w="15" w:type="dxa"/>
              <w:right w:w="15" w:type="dxa"/>
            </w:tcMar>
            <w:vAlign w:val="center"/>
          </w:tcPr>
          <w:p w14:paraId="6722F0E9">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2C4E5AFB">
            <w:pPr>
              <w:keepNext w:val="0"/>
              <w:keepLines w:val="0"/>
              <w:pageBreakBefore w:val="0"/>
              <w:widowControl w:val="0"/>
              <w:kinsoku/>
              <w:wordWrap/>
              <w:overflowPunct w:val="0"/>
              <w:topLinePunct w:val="0"/>
              <w:autoSpaceDE/>
              <w:autoSpaceDN/>
              <w:bidi w:val="0"/>
              <w:adjustRightInd/>
              <w:snapToGrid/>
              <w:spacing w:line="220" w:lineRule="exact"/>
              <w:jc w:val="left"/>
              <w:textAlignment w:val="center"/>
              <w:rPr>
                <w:rFonts w:ascii="仿宋_GB2312" w:hAnsi="宋体" w:eastAsia="仿宋_GB2312" w:cs="仿宋_GB2312"/>
                <w:kern w:val="0"/>
                <w:sz w:val="18"/>
                <w:szCs w:val="18"/>
                <w:lang w:bidi="ar"/>
              </w:rPr>
              <w:pPrChange w:id="3155" w:author="LV" w:date="2026-07-20T19:25:39Z">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pPr>
              </w:pPrChange>
            </w:pPr>
            <w:r>
              <w:rPr>
                <w:rFonts w:hint="eastAsia" w:ascii="仿宋_GB2312" w:hAnsi="宋体" w:eastAsia="仿宋_GB2312" w:cs="仿宋_GB2312"/>
                <w:kern w:val="0"/>
                <w:sz w:val="18"/>
                <w:szCs w:val="18"/>
                <w:lang w:bidi="ar"/>
              </w:rPr>
              <w:t>无</w:t>
            </w:r>
          </w:p>
        </w:tc>
      </w:tr>
      <w:tr w14:paraId="19E6DA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29" w:type="dxa"/>
            <w:vMerge w:val="continue"/>
            <w:tcBorders>
              <w:tl2br w:val="nil"/>
              <w:tr2bl w:val="nil"/>
            </w:tcBorders>
            <w:shd w:val="clear" w:color="auto" w:fill="auto"/>
            <w:noWrap/>
            <w:tcMar>
              <w:top w:w="15" w:type="dxa"/>
              <w:left w:w="15" w:type="dxa"/>
              <w:right w:w="15" w:type="dxa"/>
            </w:tcMar>
            <w:vAlign w:val="center"/>
          </w:tcPr>
          <w:p w14:paraId="1923B94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5B12486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6AC0CCB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157322C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44C0AB68">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免予处罚</w:t>
            </w:r>
          </w:p>
        </w:tc>
        <w:tc>
          <w:tcPr>
            <w:tcW w:w="1800" w:type="dxa"/>
            <w:tcBorders>
              <w:tl2br w:val="nil"/>
              <w:tr2bl w:val="nil"/>
            </w:tcBorders>
            <w:shd w:val="clear" w:color="auto" w:fill="auto"/>
            <w:tcMar>
              <w:top w:w="15" w:type="dxa"/>
              <w:left w:w="15" w:type="dxa"/>
              <w:right w:w="15" w:type="dxa"/>
            </w:tcMar>
            <w:vAlign w:val="center"/>
          </w:tcPr>
          <w:p w14:paraId="498C65A3">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1442AA6E">
            <w:pPr>
              <w:keepNext w:val="0"/>
              <w:keepLines w:val="0"/>
              <w:pageBreakBefore w:val="0"/>
              <w:widowControl w:val="0"/>
              <w:kinsoku/>
              <w:wordWrap/>
              <w:overflowPunct w:val="0"/>
              <w:topLinePunct w:val="0"/>
              <w:autoSpaceDE/>
              <w:autoSpaceDN/>
              <w:bidi w:val="0"/>
              <w:adjustRightInd/>
              <w:snapToGrid/>
              <w:spacing w:line="220" w:lineRule="exact"/>
              <w:jc w:val="left"/>
              <w:textAlignment w:val="center"/>
              <w:rPr>
                <w:rFonts w:ascii="仿宋_GB2312" w:hAnsi="宋体" w:eastAsia="仿宋_GB2312" w:cs="仿宋_GB2312"/>
                <w:kern w:val="0"/>
                <w:sz w:val="18"/>
                <w:szCs w:val="18"/>
                <w:lang w:bidi="ar"/>
              </w:rPr>
              <w:pPrChange w:id="3156" w:author="LV" w:date="2026-07-20T19:25:39Z">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pPr>
              </w:pPrChange>
            </w:pPr>
            <w:r>
              <w:rPr>
                <w:rFonts w:hint="eastAsia" w:ascii="仿宋_GB2312" w:hAnsi="宋体" w:eastAsia="仿宋_GB2312" w:cs="仿宋_GB2312"/>
                <w:kern w:val="0"/>
                <w:sz w:val="18"/>
                <w:szCs w:val="18"/>
                <w:lang w:bidi="ar"/>
              </w:rPr>
              <w:t>无</w:t>
            </w:r>
          </w:p>
        </w:tc>
      </w:tr>
      <w:tr w14:paraId="41CF47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29" w:type="dxa"/>
            <w:vMerge w:val="continue"/>
            <w:tcBorders>
              <w:tl2br w:val="nil"/>
              <w:tr2bl w:val="nil"/>
            </w:tcBorders>
            <w:shd w:val="clear" w:color="auto" w:fill="auto"/>
            <w:noWrap/>
            <w:tcMar>
              <w:top w:w="15" w:type="dxa"/>
              <w:left w:w="15" w:type="dxa"/>
              <w:right w:w="15" w:type="dxa"/>
            </w:tcMar>
            <w:vAlign w:val="center"/>
          </w:tcPr>
          <w:p w14:paraId="5CE4D75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2A04B93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1965CAB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49B7AB9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7A347F97">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减轻处罚</w:t>
            </w:r>
          </w:p>
        </w:tc>
        <w:tc>
          <w:tcPr>
            <w:tcW w:w="1800" w:type="dxa"/>
            <w:tcBorders>
              <w:tl2br w:val="nil"/>
              <w:tr2bl w:val="nil"/>
            </w:tcBorders>
            <w:shd w:val="clear" w:color="auto" w:fill="auto"/>
            <w:tcMar>
              <w:top w:w="15" w:type="dxa"/>
              <w:left w:w="15" w:type="dxa"/>
              <w:right w:w="15" w:type="dxa"/>
            </w:tcMar>
            <w:vAlign w:val="center"/>
          </w:tcPr>
          <w:p w14:paraId="244F7A45">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115E2B16">
            <w:pPr>
              <w:keepNext w:val="0"/>
              <w:keepLines w:val="0"/>
              <w:pageBreakBefore w:val="0"/>
              <w:widowControl w:val="0"/>
              <w:kinsoku/>
              <w:wordWrap/>
              <w:overflowPunct w:val="0"/>
              <w:topLinePunct w:val="0"/>
              <w:autoSpaceDE/>
              <w:autoSpaceDN/>
              <w:bidi w:val="0"/>
              <w:adjustRightInd/>
              <w:snapToGrid/>
              <w:spacing w:line="220" w:lineRule="exact"/>
              <w:jc w:val="left"/>
              <w:textAlignment w:val="center"/>
              <w:rPr>
                <w:rFonts w:hint="eastAsia" w:ascii="仿宋_GB2312" w:hAnsi="宋体" w:eastAsia="仿宋_GB2312" w:cs="仿宋_GB2312"/>
                <w:kern w:val="0"/>
                <w:sz w:val="18"/>
                <w:szCs w:val="18"/>
                <w:lang w:val="en-US" w:eastAsia="zh-CN" w:bidi="ar"/>
                <w:rPrChange w:id="3158" w:author="LV" w:date="2026-07-20T19:25:39Z">
                  <w:rPr>
                    <w:rFonts w:ascii="仿宋_GB2312" w:hAnsi="宋体" w:eastAsia="仿宋_GB2312" w:cs="仿宋_GB2312"/>
                    <w:kern w:val="0"/>
                    <w:sz w:val="18"/>
                    <w:szCs w:val="18"/>
                    <w:lang w:val="en-US" w:eastAsia="zh-CN" w:bidi="ar"/>
                  </w:rPr>
                </w:rPrChange>
              </w:rPr>
              <w:pPrChange w:id="3157" w:author="LV" w:date="2026-07-20T19:25:39Z">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pPr>
              </w:pPrChange>
            </w:pPr>
            <w:r>
              <w:rPr>
                <w:rFonts w:hint="eastAsia" w:ascii="仿宋_GB2312" w:hAnsi="宋体" w:eastAsia="仿宋_GB2312" w:cs="仿宋_GB2312"/>
                <w:color w:val="auto"/>
                <w:kern w:val="0"/>
                <w:sz w:val="18"/>
                <w:szCs w:val="18"/>
                <w:lang w:bidi="ar"/>
                <w:rPrChange w:id="3159" w:author="LV" w:date="2026-07-20T19:25:39Z">
                  <w:rPr>
                    <w:rFonts w:hint="eastAsia" w:ascii="仿宋_GB2312" w:hAnsi="宋体" w:eastAsia="仿宋_GB2312" w:cs="仿宋_GB2312"/>
                    <w:color w:val="000000" w:themeColor="text1"/>
                    <w:kern w:val="0"/>
                    <w:sz w:val="21"/>
                    <w:szCs w:val="21"/>
                    <w:lang w:bidi="ar"/>
                    <w14:textFill>
                      <w14:solidFill>
                        <w14:schemeClr w14:val="tx1"/>
                      </w14:solidFill>
                    </w14:textFill>
                  </w:rPr>
                </w:rPrChange>
              </w:rPr>
              <w:t>处1万元以上2万元以下的罚款</w:t>
            </w:r>
          </w:p>
        </w:tc>
      </w:tr>
      <w:tr w14:paraId="1A10C3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6" w:hRule="atLeast"/>
          <w:jc w:val="center"/>
        </w:trPr>
        <w:tc>
          <w:tcPr>
            <w:tcW w:w="429" w:type="dxa"/>
            <w:vMerge w:val="continue"/>
            <w:tcBorders>
              <w:tl2br w:val="nil"/>
              <w:tr2bl w:val="nil"/>
            </w:tcBorders>
            <w:shd w:val="clear" w:color="auto" w:fill="auto"/>
            <w:noWrap/>
            <w:tcMar>
              <w:top w:w="15" w:type="dxa"/>
              <w:left w:w="15" w:type="dxa"/>
              <w:right w:w="15" w:type="dxa"/>
            </w:tcMar>
            <w:vAlign w:val="center"/>
          </w:tcPr>
          <w:p w14:paraId="7E70405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0D5B6EB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13C5BBC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1968C24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5C299700">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从轻处罚</w:t>
            </w:r>
          </w:p>
        </w:tc>
        <w:tc>
          <w:tcPr>
            <w:tcW w:w="1800" w:type="dxa"/>
            <w:tcBorders>
              <w:tl2br w:val="nil"/>
              <w:tr2bl w:val="nil"/>
            </w:tcBorders>
            <w:shd w:val="clear" w:color="auto" w:fill="auto"/>
            <w:tcMar>
              <w:top w:w="15" w:type="dxa"/>
              <w:left w:w="15" w:type="dxa"/>
              <w:right w:w="15" w:type="dxa"/>
            </w:tcMar>
            <w:vAlign w:val="center"/>
          </w:tcPr>
          <w:p w14:paraId="3928B692">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限期内不能纠正违法行为，但能主动改正且违法行为造成危害后果轻微的。</w:t>
            </w:r>
          </w:p>
        </w:tc>
        <w:tc>
          <w:tcPr>
            <w:tcW w:w="2557" w:type="dxa"/>
            <w:tcBorders>
              <w:tl2br w:val="nil"/>
              <w:tr2bl w:val="nil"/>
            </w:tcBorders>
            <w:shd w:val="clear" w:color="auto" w:fill="auto"/>
            <w:tcMar>
              <w:top w:w="15" w:type="dxa"/>
              <w:left w:w="15" w:type="dxa"/>
              <w:right w:w="15" w:type="dxa"/>
            </w:tcMar>
            <w:vAlign w:val="center"/>
          </w:tcPr>
          <w:p w14:paraId="04824A0F">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处2万元以上4万元以下罚款。</w:t>
            </w:r>
          </w:p>
        </w:tc>
      </w:tr>
      <w:tr w14:paraId="2E4016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29" w:type="dxa"/>
            <w:vMerge w:val="continue"/>
            <w:tcBorders>
              <w:tl2br w:val="nil"/>
              <w:tr2bl w:val="nil"/>
            </w:tcBorders>
            <w:shd w:val="clear" w:color="auto" w:fill="auto"/>
            <w:noWrap/>
            <w:tcMar>
              <w:top w:w="15" w:type="dxa"/>
              <w:left w:w="15" w:type="dxa"/>
              <w:right w:w="15" w:type="dxa"/>
            </w:tcMar>
            <w:vAlign w:val="center"/>
          </w:tcPr>
          <w:p w14:paraId="294B067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5116D4F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326A393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5EC5188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1B138224">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一般处罚</w:t>
            </w:r>
          </w:p>
        </w:tc>
        <w:tc>
          <w:tcPr>
            <w:tcW w:w="1800" w:type="dxa"/>
            <w:tcBorders>
              <w:tl2br w:val="nil"/>
              <w:tr2bl w:val="nil"/>
            </w:tcBorders>
            <w:shd w:val="clear" w:color="auto" w:fill="auto"/>
            <w:tcMar>
              <w:top w:w="15" w:type="dxa"/>
              <w:left w:w="15" w:type="dxa"/>
              <w:right w:w="15" w:type="dxa"/>
            </w:tcMar>
            <w:vAlign w:val="center"/>
          </w:tcPr>
          <w:p w14:paraId="471E9291">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逾期不改正，形成管道问题隐患的。</w:t>
            </w:r>
          </w:p>
        </w:tc>
        <w:tc>
          <w:tcPr>
            <w:tcW w:w="2557" w:type="dxa"/>
            <w:tcBorders>
              <w:tl2br w:val="nil"/>
              <w:tr2bl w:val="nil"/>
            </w:tcBorders>
            <w:shd w:val="clear" w:color="auto" w:fill="auto"/>
            <w:tcMar>
              <w:top w:w="15" w:type="dxa"/>
              <w:left w:w="15" w:type="dxa"/>
              <w:right w:w="15" w:type="dxa"/>
            </w:tcMar>
            <w:vAlign w:val="center"/>
          </w:tcPr>
          <w:p w14:paraId="2CF652DE">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处4万元以上8万元以下罚款。</w:t>
            </w:r>
          </w:p>
        </w:tc>
      </w:tr>
      <w:tr w14:paraId="442BE4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29" w:type="dxa"/>
            <w:vMerge w:val="continue"/>
            <w:tcBorders>
              <w:tl2br w:val="nil"/>
              <w:tr2bl w:val="nil"/>
            </w:tcBorders>
            <w:shd w:val="clear" w:color="auto" w:fill="auto"/>
            <w:noWrap/>
            <w:tcMar>
              <w:top w:w="15" w:type="dxa"/>
              <w:left w:w="15" w:type="dxa"/>
              <w:right w:w="15" w:type="dxa"/>
            </w:tcMar>
            <w:vAlign w:val="center"/>
          </w:tcPr>
          <w:p w14:paraId="4568522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647AB77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4B6B077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041BEBE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1C054F66">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从重处罚</w:t>
            </w:r>
          </w:p>
        </w:tc>
        <w:tc>
          <w:tcPr>
            <w:tcW w:w="1800" w:type="dxa"/>
            <w:tcBorders>
              <w:tl2br w:val="nil"/>
              <w:tr2bl w:val="nil"/>
            </w:tcBorders>
            <w:shd w:val="clear" w:color="auto" w:fill="auto"/>
            <w:tcMar>
              <w:top w:w="15" w:type="dxa"/>
              <w:left w:w="15" w:type="dxa"/>
              <w:right w:w="15" w:type="dxa"/>
            </w:tcMar>
            <w:vAlign w:val="center"/>
          </w:tcPr>
          <w:p w14:paraId="2D620860">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逾期不改正，发生管道事故的。</w:t>
            </w:r>
          </w:p>
        </w:tc>
        <w:tc>
          <w:tcPr>
            <w:tcW w:w="2557" w:type="dxa"/>
            <w:tcBorders>
              <w:tl2br w:val="nil"/>
              <w:tr2bl w:val="nil"/>
            </w:tcBorders>
            <w:shd w:val="clear" w:color="auto" w:fill="auto"/>
            <w:tcMar>
              <w:top w:w="15" w:type="dxa"/>
              <w:left w:w="15" w:type="dxa"/>
              <w:right w:w="15" w:type="dxa"/>
            </w:tcMar>
            <w:vAlign w:val="center"/>
          </w:tcPr>
          <w:p w14:paraId="21CAEC30">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处8万元以上10万元以下罚款。</w:t>
            </w:r>
          </w:p>
        </w:tc>
      </w:tr>
      <w:tr w14:paraId="546BEF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429" w:type="dxa"/>
            <w:vMerge w:val="restart"/>
            <w:tcBorders>
              <w:tl2br w:val="nil"/>
              <w:tr2bl w:val="nil"/>
            </w:tcBorders>
            <w:shd w:val="clear" w:color="auto" w:fill="auto"/>
            <w:tcMar>
              <w:top w:w="15" w:type="dxa"/>
              <w:left w:w="15" w:type="dxa"/>
              <w:right w:w="15" w:type="dxa"/>
            </w:tcMar>
            <w:vAlign w:val="center"/>
          </w:tcPr>
          <w:p w14:paraId="3AB4040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bidi="ar"/>
              </w:rPr>
              <w:t>2</w:t>
            </w:r>
            <w:r>
              <w:rPr>
                <w:rFonts w:hint="eastAsia" w:ascii="仿宋_GB2312" w:hAnsi="宋体" w:eastAsia="仿宋_GB2312" w:cs="仿宋_GB2312"/>
                <w:kern w:val="0"/>
                <w:sz w:val="18"/>
                <w:szCs w:val="18"/>
                <w:lang w:val="en-US" w:eastAsia="zh-CN" w:bidi="ar"/>
              </w:rPr>
              <w:t>3</w:t>
            </w:r>
            <w:del w:id="3160" w:author="LV" w:date="2026-07-14T17:17:14Z">
              <w:r>
                <w:rPr>
                  <w:rFonts w:hint="default" w:ascii="仿宋_GB2312" w:hAnsi="宋体" w:eastAsia="仿宋_GB2312" w:cs="仿宋_GB2312"/>
                  <w:kern w:val="0"/>
                  <w:sz w:val="18"/>
                  <w:szCs w:val="18"/>
                  <w:lang w:val="en-US" w:eastAsia="zh-CN" w:bidi="ar"/>
                </w:rPr>
                <w:delText>1</w:delText>
              </w:r>
            </w:del>
            <w:ins w:id="3161" w:author="LV" w:date="2026-07-14T17:17:14Z">
              <w:r>
                <w:rPr>
                  <w:rFonts w:hint="eastAsia" w:ascii="仿宋_GB2312" w:hAnsi="宋体" w:eastAsia="仿宋_GB2312" w:cs="仿宋_GB2312"/>
                  <w:kern w:val="0"/>
                  <w:sz w:val="18"/>
                  <w:szCs w:val="18"/>
                  <w:lang w:val="en-US" w:eastAsia="zh-CN" w:bidi="ar"/>
                </w:rPr>
                <w:t>8</w:t>
              </w:r>
            </w:ins>
          </w:p>
        </w:tc>
        <w:tc>
          <w:tcPr>
            <w:tcW w:w="1006" w:type="dxa"/>
            <w:vMerge w:val="restart"/>
            <w:tcBorders>
              <w:tl2br w:val="nil"/>
              <w:tr2bl w:val="nil"/>
            </w:tcBorders>
            <w:shd w:val="clear" w:color="auto" w:fill="auto"/>
            <w:tcMar>
              <w:top w:w="15" w:type="dxa"/>
              <w:left w:w="15" w:type="dxa"/>
              <w:right w:w="15" w:type="dxa"/>
            </w:tcMar>
            <w:vAlign w:val="center"/>
          </w:tcPr>
          <w:p w14:paraId="41F0FF5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hint="eastAsia"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bidi="ar"/>
              </w:rPr>
              <w:t>未依照《中华人民共和国石油天然气管道保护法》规定设置、修复或者更新有关管道标志，逾期不改正</w:t>
            </w:r>
            <w:r>
              <w:rPr>
                <w:rFonts w:hint="eastAsia" w:ascii="仿宋_GB2312" w:hAnsi="宋体" w:eastAsia="仿宋_GB2312" w:cs="仿宋_GB2312"/>
                <w:kern w:val="0"/>
                <w:sz w:val="18"/>
                <w:szCs w:val="18"/>
                <w:lang w:val="en-US" w:eastAsia="zh-CN" w:bidi="ar"/>
              </w:rPr>
              <w:t>的</w:t>
            </w:r>
          </w:p>
        </w:tc>
        <w:tc>
          <w:tcPr>
            <w:tcW w:w="3813" w:type="dxa"/>
            <w:vMerge w:val="restart"/>
            <w:tcBorders>
              <w:tl2br w:val="nil"/>
              <w:tr2bl w:val="nil"/>
            </w:tcBorders>
            <w:shd w:val="clear" w:color="auto" w:fill="auto"/>
            <w:tcMar>
              <w:top w:w="15" w:type="dxa"/>
              <w:left w:w="15" w:type="dxa"/>
              <w:right w:w="15" w:type="dxa"/>
            </w:tcMar>
            <w:vAlign w:val="center"/>
          </w:tcPr>
          <w:p w14:paraId="0AD43E5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eastAsia="zh-CN" w:bidi="ar"/>
              </w:rPr>
              <w:t>《中华人民共和国石油天然气管道保护法》</w:t>
            </w:r>
            <w:r>
              <w:rPr>
                <w:rFonts w:hint="eastAsia" w:ascii="仿宋_GB2312" w:hAnsi="宋体" w:eastAsia="仿宋_GB2312" w:cs="仿宋_GB2312"/>
                <w:kern w:val="0"/>
                <w:sz w:val="18"/>
                <w:szCs w:val="18"/>
                <w:lang w:bidi="ar"/>
              </w:rPr>
              <w:t>第十八条</w:t>
            </w:r>
            <w:r>
              <w:rPr>
                <w:rFonts w:hint="eastAsia" w:ascii="仿宋_GB2312" w:hAnsi="宋体" w:eastAsia="仿宋_GB2312" w:cs="仿宋_GB2312"/>
                <w:kern w:val="0"/>
                <w:sz w:val="18"/>
                <w:szCs w:val="18"/>
                <w:lang w:val="en-US" w:eastAsia="zh-CN" w:bidi="ar"/>
              </w:rPr>
              <w:t xml:space="preserve"> </w:t>
            </w:r>
            <w:r>
              <w:rPr>
                <w:rFonts w:hint="eastAsia" w:ascii="仿宋_GB2312" w:hAnsi="宋体" w:eastAsia="仿宋_GB2312" w:cs="仿宋_GB2312"/>
                <w:kern w:val="0"/>
                <w:sz w:val="18"/>
                <w:szCs w:val="18"/>
                <w:lang w:bidi="ar"/>
              </w:rPr>
              <w:t>管道企业应当按照国家技术规范的强制性要求在管道沿线设置管道标志。管道标志毁损或者安全警示不清的，管道企业应当及时修复或者更新。</w:t>
            </w:r>
          </w:p>
        </w:tc>
        <w:tc>
          <w:tcPr>
            <w:tcW w:w="4081" w:type="dxa"/>
            <w:vMerge w:val="restart"/>
            <w:tcBorders>
              <w:tl2br w:val="nil"/>
              <w:tr2bl w:val="nil"/>
            </w:tcBorders>
            <w:shd w:val="clear" w:color="auto" w:fill="auto"/>
            <w:tcMar>
              <w:top w:w="15" w:type="dxa"/>
              <w:left w:w="15" w:type="dxa"/>
              <w:right w:w="15" w:type="dxa"/>
            </w:tcMar>
            <w:vAlign w:val="center"/>
          </w:tcPr>
          <w:p w14:paraId="2974090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eastAsia="zh-CN" w:bidi="ar"/>
              </w:rPr>
              <w:t>《中华人民共和国石油天然气管道保护法》</w:t>
            </w:r>
            <w:r>
              <w:rPr>
                <w:rFonts w:hint="eastAsia" w:ascii="仿宋_GB2312" w:hAnsi="宋体" w:eastAsia="仿宋_GB2312" w:cs="仿宋_GB2312"/>
                <w:kern w:val="0"/>
                <w:sz w:val="18"/>
                <w:szCs w:val="18"/>
                <w:lang w:bidi="ar"/>
              </w:rPr>
              <w:t>第五十条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管道企业有下列行为之一的，由县级以上地方人民政府主管管道保护工作的部门责令限期改正；逾期不改正的，处二万元以上十万元以下的罚款；对直接负责的主管人员和其他直接责任人员给予处分：（三）未依照本法规定设置、修复或者更新有关管道标志的；</w:t>
            </w:r>
          </w:p>
        </w:tc>
        <w:tc>
          <w:tcPr>
            <w:tcW w:w="472" w:type="dxa"/>
            <w:tcBorders>
              <w:tl2br w:val="nil"/>
              <w:tr2bl w:val="nil"/>
            </w:tcBorders>
            <w:shd w:val="clear" w:color="auto" w:fill="auto"/>
            <w:tcMar>
              <w:top w:w="15" w:type="dxa"/>
              <w:left w:w="15" w:type="dxa"/>
              <w:right w:w="15" w:type="dxa"/>
            </w:tcMar>
            <w:vAlign w:val="center"/>
          </w:tcPr>
          <w:p w14:paraId="08013086">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不予处罚</w:t>
            </w:r>
          </w:p>
        </w:tc>
        <w:tc>
          <w:tcPr>
            <w:tcW w:w="1800" w:type="dxa"/>
            <w:tcBorders>
              <w:tl2br w:val="nil"/>
              <w:tr2bl w:val="nil"/>
            </w:tcBorders>
            <w:shd w:val="clear" w:color="auto" w:fill="auto"/>
            <w:tcMar>
              <w:top w:w="15" w:type="dxa"/>
              <w:left w:w="15" w:type="dxa"/>
              <w:right w:w="15" w:type="dxa"/>
            </w:tcMar>
            <w:vAlign w:val="center"/>
          </w:tcPr>
          <w:p w14:paraId="046D5E2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33BCF0A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0735CC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63EAD47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51A94A6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61FEBB0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31F7ED9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673184A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免予处罚</w:t>
            </w:r>
          </w:p>
        </w:tc>
        <w:tc>
          <w:tcPr>
            <w:tcW w:w="1800" w:type="dxa"/>
            <w:tcBorders>
              <w:tl2br w:val="nil"/>
              <w:tr2bl w:val="nil"/>
            </w:tcBorders>
            <w:shd w:val="clear" w:color="auto" w:fill="auto"/>
            <w:tcMar>
              <w:top w:w="15" w:type="dxa"/>
              <w:left w:w="15" w:type="dxa"/>
              <w:right w:w="15" w:type="dxa"/>
            </w:tcMar>
            <w:vAlign w:val="center"/>
          </w:tcPr>
          <w:p w14:paraId="18D8C47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163032A6">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7189E1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7D45182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6CC6F77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297F1BF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07C7BCF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661155E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减轻处罚</w:t>
            </w:r>
          </w:p>
        </w:tc>
        <w:tc>
          <w:tcPr>
            <w:tcW w:w="1800" w:type="dxa"/>
            <w:tcBorders>
              <w:tl2br w:val="nil"/>
              <w:tr2bl w:val="nil"/>
            </w:tcBorders>
            <w:shd w:val="clear" w:color="auto" w:fill="auto"/>
            <w:tcMar>
              <w:top w:w="15" w:type="dxa"/>
              <w:left w:w="15" w:type="dxa"/>
              <w:right w:w="15" w:type="dxa"/>
            </w:tcMar>
            <w:vAlign w:val="center"/>
          </w:tcPr>
          <w:p w14:paraId="7B1F175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41A13E74">
            <w:pPr>
              <w:keepNext w:val="0"/>
              <w:keepLines w:val="0"/>
              <w:pageBreakBefore w:val="0"/>
              <w:widowControl w:val="0"/>
              <w:kinsoku/>
              <w:wordWrap/>
              <w:overflowPunct w:val="0"/>
              <w:topLinePunct w:val="0"/>
              <w:autoSpaceDE/>
              <w:autoSpaceDN/>
              <w:bidi w:val="0"/>
              <w:adjustRightInd/>
              <w:snapToGrid/>
              <w:spacing w:line="280" w:lineRule="exact"/>
              <w:jc w:val="left"/>
              <w:textAlignment w:val="center"/>
              <w:rPr>
                <w:rFonts w:ascii="仿宋_GB2312" w:hAnsi="宋体" w:eastAsia="仿宋_GB2312" w:cs="仿宋_GB2312"/>
                <w:kern w:val="0"/>
                <w:sz w:val="18"/>
                <w:szCs w:val="18"/>
                <w:lang w:val="en-US" w:eastAsia="zh-CN" w:bidi="ar"/>
              </w:rPr>
              <w:pPrChange w:id="3162" w:author="LV" w:date="2026-07-20T19:26:45Z">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pPr>
              </w:pPrChange>
            </w:pPr>
            <w:r>
              <w:rPr>
                <w:rFonts w:hint="eastAsia" w:ascii="仿宋_GB2312" w:hAnsi="宋体" w:eastAsia="仿宋_GB2312" w:cs="仿宋_GB2312"/>
                <w:color w:val="auto"/>
                <w:kern w:val="0"/>
                <w:sz w:val="18"/>
                <w:szCs w:val="18"/>
                <w:lang w:bidi="ar"/>
                <w:rPrChange w:id="3163" w:author="LV" w:date="2026-07-20T19:26:45Z">
                  <w:rPr>
                    <w:rFonts w:hint="eastAsia" w:ascii="仿宋_GB2312" w:hAnsi="宋体" w:eastAsia="仿宋_GB2312" w:cs="仿宋_GB2312"/>
                    <w:color w:val="000000" w:themeColor="text1"/>
                    <w:kern w:val="0"/>
                    <w:sz w:val="21"/>
                    <w:szCs w:val="21"/>
                    <w:lang w:bidi="ar"/>
                    <w14:textFill>
                      <w14:solidFill>
                        <w14:schemeClr w14:val="tx1"/>
                      </w14:solidFill>
                    </w14:textFill>
                  </w:rPr>
                </w:rPrChange>
              </w:rPr>
              <w:t>处1万元以上2万元以下的罚款</w:t>
            </w:r>
          </w:p>
        </w:tc>
      </w:tr>
      <w:tr w14:paraId="2BAA1D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6"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490BCB3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5235FB5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6C0572F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44AA875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523A8F4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从轻处罚</w:t>
            </w:r>
          </w:p>
        </w:tc>
        <w:tc>
          <w:tcPr>
            <w:tcW w:w="1800" w:type="dxa"/>
            <w:tcBorders>
              <w:tl2br w:val="nil"/>
              <w:tr2bl w:val="nil"/>
            </w:tcBorders>
            <w:shd w:val="clear" w:color="auto" w:fill="auto"/>
            <w:tcMar>
              <w:top w:w="15" w:type="dxa"/>
              <w:left w:w="15" w:type="dxa"/>
              <w:right w:w="15" w:type="dxa"/>
            </w:tcMar>
            <w:vAlign w:val="center"/>
          </w:tcPr>
          <w:p w14:paraId="15FF5B7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限期内不能纠正违法行为，但能主动改正且违法行为造成危害后果轻微的。</w:t>
            </w:r>
          </w:p>
        </w:tc>
        <w:tc>
          <w:tcPr>
            <w:tcW w:w="2557" w:type="dxa"/>
            <w:tcBorders>
              <w:tl2br w:val="nil"/>
              <w:tr2bl w:val="nil"/>
            </w:tcBorders>
            <w:shd w:val="clear" w:color="auto" w:fill="auto"/>
            <w:tcMar>
              <w:top w:w="15" w:type="dxa"/>
              <w:left w:w="15" w:type="dxa"/>
              <w:right w:w="15" w:type="dxa"/>
            </w:tcMar>
            <w:vAlign w:val="center"/>
          </w:tcPr>
          <w:p w14:paraId="28C5822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处2万元以上4万元以下的罚款。</w:t>
            </w:r>
          </w:p>
        </w:tc>
      </w:tr>
      <w:tr w14:paraId="4BAE52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72BC979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555FA35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695D1DC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477AE10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32253C2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一般处罚</w:t>
            </w:r>
          </w:p>
        </w:tc>
        <w:tc>
          <w:tcPr>
            <w:tcW w:w="1800" w:type="dxa"/>
            <w:tcBorders>
              <w:tl2br w:val="nil"/>
              <w:tr2bl w:val="nil"/>
            </w:tcBorders>
            <w:shd w:val="clear" w:color="auto" w:fill="auto"/>
            <w:tcMar>
              <w:top w:w="15" w:type="dxa"/>
              <w:left w:w="15" w:type="dxa"/>
              <w:right w:w="15" w:type="dxa"/>
            </w:tcMar>
            <w:vAlign w:val="center"/>
          </w:tcPr>
          <w:p w14:paraId="0B86AED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逾期不改正，形成管道问题隐患的。</w:t>
            </w:r>
          </w:p>
        </w:tc>
        <w:tc>
          <w:tcPr>
            <w:tcW w:w="2557" w:type="dxa"/>
            <w:tcBorders>
              <w:tl2br w:val="nil"/>
              <w:tr2bl w:val="nil"/>
            </w:tcBorders>
            <w:shd w:val="clear" w:color="auto" w:fill="auto"/>
            <w:tcMar>
              <w:top w:w="15" w:type="dxa"/>
              <w:left w:w="15" w:type="dxa"/>
              <w:right w:w="15" w:type="dxa"/>
            </w:tcMar>
            <w:vAlign w:val="center"/>
          </w:tcPr>
          <w:p w14:paraId="285AE0D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处4万元以上8万元以下的罚款。</w:t>
            </w:r>
          </w:p>
        </w:tc>
      </w:tr>
      <w:tr w14:paraId="69C34A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4106C46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5B27DB7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6B6F913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13F1EFD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00DDEEEF">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从重处罚</w:t>
            </w:r>
          </w:p>
        </w:tc>
        <w:tc>
          <w:tcPr>
            <w:tcW w:w="1800" w:type="dxa"/>
            <w:tcBorders>
              <w:tl2br w:val="nil"/>
              <w:tr2bl w:val="nil"/>
            </w:tcBorders>
            <w:shd w:val="clear" w:color="auto" w:fill="auto"/>
            <w:tcMar>
              <w:top w:w="15" w:type="dxa"/>
              <w:left w:w="15" w:type="dxa"/>
              <w:right w:w="15" w:type="dxa"/>
            </w:tcMar>
            <w:vAlign w:val="center"/>
          </w:tcPr>
          <w:p w14:paraId="66D2812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逾期不改正，发生管道事故的。</w:t>
            </w:r>
          </w:p>
        </w:tc>
        <w:tc>
          <w:tcPr>
            <w:tcW w:w="2557" w:type="dxa"/>
            <w:tcBorders>
              <w:tl2br w:val="nil"/>
              <w:tr2bl w:val="nil"/>
            </w:tcBorders>
            <w:shd w:val="clear" w:color="auto" w:fill="auto"/>
            <w:tcMar>
              <w:top w:w="15" w:type="dxa"/>
              <w:left w:w="15" w:type="dxa"/>
              <w:right w:w="15" w:type="dxa"/>
            </w:tcMar>
            <w:vAlign w:val="center"/>
          </w:tcPr>
          <w:p w14:paraId="1CDA2AB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处8万元以上10万元以下的罚款。</w:t>
            </w:r>
          </w:p>
        </w:tc>
      </w:tr>
      <w:tr w14:paraId="1437D4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429" w:type="dxa"/>
            <w:vMerge w:val="restart"/>
            <w:tcBorders>
              <w:tl2br w:val="nil"/>
              <w:tr2bl w:val="nil"/>
            </w:tcBorders>
            <w:shd w:val="clear" w:color="auto" w:fill="auto"/>
            <w:tcMar>
              <w:top w:w="15" w:type="dxa"/>
              <w:left w:w="15" w:type="dxa"/>
              <w:right w:w="15" w:type="dxa"/>
            </w:tcMar>
            <w:vAlign w:val="center"/>
          </w:tcPr>
          <w:p w14:paraId="189F78F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val="en-US" w:eastAsia="zh-CN" w:bidi="ar"/>
              </w:rPr>
              <w:t>23</w:t>
            </w:r>
            <w:del w:id="3164" w:author="LV" w:date="2026-07-14T17:17:17Z">
              <w:r>
                <w:rPr>
                  <w:rFonts w:hint="default" w:ascii="仿宋_GB2312" w:hAnsi="宋体" w:eastAsia="仿宋_GB2312" w:cs="仿宋_GB2312"/>
                  <w:kern w:val="0"/>
                  <w:sz w:val="18"/>
                  <w:szCs w:val="18"/>
                  <w:lang w:val="en-US" w:eastAsia="zh-CN" w:bidi="ar"/>
                </w:rPr>
                <w:delText>2</w:delText>
              </w:r>
            </w:del>
            <w:ins w:id="3165" w:author="LV" w:date="2026-07-14T17:17:17Z">
              <w:r>
                <w:rPr>
                  <w:rFonts w:hint="eastAsia" w:ascii="仿宋_GB2312" w:hAnsi="宋体" w:eastAsia="仿宋_GB2312" w:cs="仿宋_GB2312"/>
                  <w:kern w:val="0"/>
                  <w:sz w:val="18"/>
                  <w:szCs w:val="18"/>
                  <w:lang w:val="en-US" w:eastAsia="zh-CN" w:bidi="ar"/>
                </w:rPr>
                <w:t>9</w:t>
              </w:r>
            </w:ins>
          </w:p>
        </w:tc>
        <w:tc>
          <w:tcPr>
            <w:tcW w:w="1006" w:type="dxa"/>
            <w:vMerge w:val="restart"/>
            <w:tcBorders>
              <w:tl2br w:val="nil"/>
              <w:tr2bl w:val="nil"/>
            </w:tcBorders>
            <w:shd w:val="clear" w:color="auto" w:fill="auto"/>
            <w:tcMar>
              <w:top w:w="15" w:type="dxa"/>
              <w:left w:w="15" w:type="dxa"/>
              <w:right w:w="15" w:type="dxa"/>
            </w:tcMar>
            <w:vAlign w:val="center"/>
          </w:tcPr>
          <w:p w14:paraId="47037D5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hint="eastAsia"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bidi="ar"/>
              </w:rPr>
              <w:t>未依照《中华人民共和国石油天然气管道保护法》规定将管道竣工测量图报人民政府主管管道保护工作的部门备案，逾期不改正</w:t>
            </w:r>
            <w:r>
              <w:rPr>
                <w:rFonts w:hint="eastAsia" w:ascii="仿宋_GB2312" w:hAnsi="宋体" w:eastAsia="仿宋_GB2312" w:cs="仿宋_GB2312"/>
                <w:kern w:val="0"/>
                <w:sz w:val="18"/>
                <w:szCs w:val="18"/>
                <w:lang w:val="en-US" w:eastAsia="zh-CN" w:bidi="ar"/>
              </w:rPr>
              <w:t>的</w:t>
            </w:r>
          </w:p>
        </w:tc>
        <w:tc>
          <w:tcPr>
            <w:tcW w:w="3813" w:type="dxa"/>
            <w:vMerge w:val="restart"/>
            <w:tcBorders>
              <w:tl2br w:val="nil"/>
              <w:tr2bl w:val="nil"/>
            </w:tcBorders>
            <w:shd w:val="clear" w:color="auto" w:fill="auto"/>
            <w:tcMar>
              <w:top w:w="15" w:type="dxa"/>
              <w:left w:w="15" w:type="dxa"/>
              <w:right w:w="15" w:type="dxa"/>
            </w:tcMar>
            <w:vAlign w:val="center"/>
          </w:tcPr>
          <w:p w14:paraId="6D6497E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eastAsia="zh-CN" w:bidi="ar"/>
              </w:rPr>
              <w:t>《中华人民共和国石油天然气管道保护法》</w:t>
            </w:r>
            <w:r>
              <w:rPr>
                <w:rFonts w:hint="eastAsia" w:ascii="仿宋_GB2312" w:hAnsi="宋体" w:eastAsia="仿宋_GB2312" w:cs="仿宋_GB2312"/>
                <w:kern w:val="0"/>
                <w:sz w:val="18"/>
                <w:szCs w:val="18"/>
                <w:lang w:bidi="ar"/>
              </w:rPr>
              <w:t>第二十条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管道企业应当自管道竣工验收合格之日起六十日内，将竣工测量图报管道所在地县级以上地方人民政府主管管道保护工作的部门备案；县级以上地方人民政府主管管道保护工作的部门应当将管道企业报送的管道竣工测量图分送本级人民政府规划、建设、国土资源、铁路、交通、水利、公安、安全生产监督管理等部门和有关军事机关。</w:t>
            </w:r>
          </w:p>
        </w:tc>
        <w:tc>
          <w:tcPr>
            <w:tcW w:w="4081" w:type="dxa"/>
            <w:vMerge w:val="restart"/>
            <w:tcBorders>
              <w:tl2br w:val="nil"/>
              <w:tr2bl w:val="nil"/>
            </w:tcBorders>
            <w:shd w:val="clear" w:color="auto" w:fill="auto"/>
            <w:tcMar>
              <w:top w:w="15" w:type="dxa"/>
              <w:left w:w="15" w:type="dxa"/>
              <w:right w:w="15" w:type="dxa"/>
            </w:tcMar>
            <w:vAlign w:val="center"/>
          </w:tcPr>
          <w:p w14:paraId="7D4D20F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eastAsia="zh-CN" w:bidi="ar"/>
              </w:rPr>
              <w:t>《中华人民共和国石油天然气管道保护法》</w:t>
            </w:r>
            <w:r>
              <w:rPr>
                <w:rFonts w:hint="eastAsia" w:ascii="仿宋_GB2312" w:hAnsi="宋体" w:eastAsia="仿宋_GB2312" w:cs="仿宋_GB2312"/>
                <w:kern w:val="0"/>
                <w:sz w:val="18"/>
                <w:szCs w:val="18"/>
                <w:lang w:bidi="ar"/>
              </w:rPr>
              <w:t>第五十条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管道企业有下列行为之一的，由县级以上地方人民政府主管管道保护工作的部门责令限期改正；逾期不改正的，处二万元以上十万元以下的罚款；对直接负责的主管人员和其他直接责任人员给予处分：（四）未依照本法规定将管道竣工测量图报人民政府主管管道保护工作的部门备案的；</w:t>
            </w:r>
          </w:p>
        </w:tc>
        <w:tc>
          <w:tcPr>
            <w:tcW w:w="472" w:type="dxa"/>
            <w:tcBorders>
              <w:tl2br w:val="nil"/>
              <w:tr2bl w:val="nil"/>
            </w:tcBorders>
            <w:shd w:val="clear" w:color="auto" w:fill="auto"/>
            <w:tcMar>
              <w:top w:w="15" w:type="dxa"/>
              <w:left w:w="15" w:type="dxa"/>
              <w:right w:w="15" w:type="dxa"/>
            </w:tcMar>
            <w:vAlign w:val="center"/>
          </w:tcPr>
          <w:p w14:paraId="3096F56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不予处罚</w:t>
            </w:r>
          </w:p>
        </w:tc>
        <w:tc>
          <w:tcPr>
            <w:tcW w:w="1800" w:type="dxa"/>
            <w:tcBorders>
              <w:tl2br w:val="nil"/>
              <w:tr2bl w:val="nil"/>
            </w:tcBorders>
            <w:shd w:val="clear" w:color="auto" w:fill="auto"/>
            <w:tcMar>
              <w:top w:w="15" w:type="dxa"/>
              <w:left w:w="15" w:type="dxa"/>
              <w:right w:w="15" w:type="dxa"/>
            </w:tcMar>
            <w:vAlign w:val="center"/>
          </w:tcPr>
          <w:p w14:paraId="2DD584D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3A5E43E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5FE8B9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581BA10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6EEB169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74505E0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4BD5C3F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65E046F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免予处罚</w:t>
            </w:r>
          </w:p>
        </w:tc>
        <w:tc>
          <w:tcPr>
            <w:tcW w:w="1800" w:type="dxa"/>
            <w:tcBorders>
              <w:tl2br w:val="nil"/>
              <w:tr2bl w:val="nil"/>
            </w:tcBorders>
            <w:shd w:val="clear" w:color="auto" w:fill="auto"/>
            <w:tcMar>
              <w:top w:w="15" w:type="dxa"/>
              <w:left w:w="15" w:type="dxa"/>
              <w:right w:w="15" w:type="dxa"/>
            </w:tcMar>
            <w:vAlign w:val="center"/>
          </w:tcPr>
          <w:p w14:paraId="491A6EF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29185DD4">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501A14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2F397E2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51D2336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0D03FA8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2957C05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5068B77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减轻处罚</w:t>
            </w:r>
          </w:p>
        </w:tc>
        <w:tc>
          <w:tcPr>
            <w:tcW w:w="1800" w:type="dxa"/>
            <w:tcBorders>
              <w:tl2br w:val="nil"/>
              <w:tr2bl w:val="nil"/>
            </w:tcBorders>
            <w:shd w:val="clear" w:color="auto" w:fill="auto"/>
            <w:tcMar>
              <w:top w:w="15" w:type="dxa"/>
              <w:left w:w="15" w:type="dxa"/>
              <w:right w:w="15" w:type="dxa"/>
            </w:tcMar>
            <w:vAlign w:val="center"/>
          </w:tcPr>
          <w:p w14:paraId="1EDEA61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1AAB3F03">
            <w:pPr>
              <w:keepNext w:val="0"/>
              <w:keepLines w:val="0"/>
              <w:pageBreakBefore w:val="0"/>
              <w:widowControl w:val="0"/>
              <w:kinsoku/>
              <w:wordWrap/>
              <w:overflowPunct w:val="0"/>
              <w:topLinePunct w:val="0"/>
              <w:autoSpaceDE/>
              <w:autoSpaceDN/>
              <w:bidi w:val="0"/>
              <w:adjustRightInd/>
              <w:snapToGrid/>
              <w:spacing w:line="280" w:lineRule="exact"/>
              <w:jc w:val="left"/>
              <w:textAlignment w:val="center"/>
              <w:rPr>
                <w:rFonts w:ascii="仿宋_GB2312" w:hAnsi="宋体" w:eastAsia="仿宋_GB2312" w:cs="仿宋_GB2312"/>
                <w:kern w:val="0"/>
                <w:sz w:val="18"/>
                <w:szCs w:val="18"/>
                <w:lang w:val="en-US" w:eastAsia="zh-CN" w:bidi="ar"/>
              </w:rPr>
              <w:pPrChange w:id="3166" w:author="LV" w:date="2026-07-20T19:25:31Z">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pPr>
              </w:pPrChange>
            </w:pPr>
            <w:r>
              <w:rPr>
                <w:rFonts w:hint="eastAsia" w:ascii="仿宋_GB2312" w:hAnsi="宋体" w:eastAsia="仿宋_GB2312" w:cs="仿宋_GB2312"/>
                <w:color w:val="auto"/>
                <w:kern w:val="0"/>
                <w:sz w:val="18"/>
                <w:szCs w:val="18"/>
                <w:lang w:bidi="ar"/>
                <w:rPrChange w:id="3167" w:author="LV" w:date="2026-07-20T19:25:31Z">
                  <w:rPr>
                    <w:rFonts w:hint="eastAsia" w:ascii="仿宋_GB2312" w:hAnsi="宋体" w:eastAsia="仿宋_GB2312" w:cs="仿宋_GB2312"/>
                    <w:color w:val="000000" w:themeColor="text1"/>
                    <w:kern w:val="0"/>
                    <w:sz w:val="21"/>
                    <w:szCs w:val="21"/>
                    <w:lang w:bidi="ar"/>
                    <w14:textFill>
                      <w14:solidFill>
                        <w14:schemeClr w14:val="tx1"/>
                      </w14:solidFill>
                    </w14:textFill>
                  </w:rPr>
                </w:rPrChange>
              </w:rPr>
              <w:t>处1万元以上2万元以下的罚款</w:t>
            </w:r>
          </w:p>
        </w:tc>
      </w:tr>
      <w:tr w14:paraId="76CF1E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6"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4DB7D1F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254BDA4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0A120E9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77DE132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5819FC4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从轻处罚</w:t>
            </w:r>
          </w:p>
        </w:tc>
        <w:tc>
          <w:tcPr>
            <w:tcW w:w="1800" w:type="dxa"/>
            <w:tcBorders>
              <w:tl2br w:val="nil"/>
              <w:tr2bl w:val="nil"/>
            </w:tcBorders>
            <w:shd w:val="clear" w:color="auto" w:fill="auto"/>
            <w:tcMar>
              <w:top w:w="15" w:type="dxa"/>
              <w:left w:w="15" w:type="dxa"/>
              <w:right w:w="15" w:type="dxa"/>
            </w:tcMar>
            <w:vAlign w:val="center"/>
          </w:tcPr>
          <w:p w14:paraId="3CB28CA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限期内不能纠正违法行为，但能主动改正的且违法行为造成危害后果轻微的。</w:t>
            </w:r>
          </w:p>
        </w:tc>
        <w:tc>
          <w:tcPr>
            <w:tcW w:w="2557" w:type="dxa"/>
            <w:tcBorders>
              <w:tl2br w:val="nil"/>
              <w:tr2bl w:val="nil"/>
            </w:tcBorders>
            <w:shd w:val="clear" w:color="auto" w:fill="auto"/>
            <w:tcMar>
              <w:top w:w="15" w:type="dxa"/>
              <w:left w:w="15" w:type="dxa"/>
              <w:right w:w="15" w:type="dxa"/>
            </w:tcMar>
            <w:vAlign w:val="center"/>
          </w:tcPr>
          <w:p w14:paraId="2BCBA2A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处2万元以上4万元以下罚款。</w:t>
            </w:r>
          </w:p>
        </w:tc>
      </w:tr>
      <w:tr w14:paraId="66A844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40966B2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3C0D087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4BCB6D2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7B64CDD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38480213">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一般处罚</w:t>
            </w:r>
          </w:p>
        </w:tc>
        <w:tc>
          <w:tcPr>
            <w:tcW w:w="1800" w:type="dxa"/>
            <w:tcBorders>
              <w:tl2br w:val="nil"/>
              <w:tr2bl w:val="nil"/>
            </w:tcBorders>
            <w:shd w:val="clear" w:color="auto" w:fill="auto"/>
            <w:tcMar>
              <w:top w:w="15" w:type="dxa"/>
              <w:left w:w="15" w:type="dxa"/>
              <w:right w:w="15" w:type="dxa"/>
            </w:tcMar>
            <w:vAlign w:val="center"/>
          </w:tcPr>
          <w:p w14:paraId="01B8EC6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逾期不改正，且不按要求整改的。</w:t>
            </w:r>
          </w:p>
        </w:tc>
        <w:tc>
          <w:tcPr>
            <w:tcW w:w="2557" w:type="dxa"/>
            <w:tcBorders>
              <w:tl2br w:val="nil"/>
              <w:tr2bl w:val="nil"/>
            </w:tcBorders>
            <w:shd w:val="clear" w:color="auto" w:fill="auto"/>
            <w:tcMar>
              <w:top w:w="15" w:type="dxa"/>
              <w:left w:w="15" w:type="dxa"/>
              <w:right w:w="15" w:type="dxa"/>
            </w:tcMar>
            <w:vAlign w:val="center"/>
          </w:tcPr>
          <w:p w14:paraId="5739411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处4万元以上8万元以下罚款。</w:t>
            </w:r>
          </w:p>
        </w:tc>
      </w:tr>
      <w:tr w14:paraId="7867DD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040140E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29C35A2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0E88C92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5E6805C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4D681AF3">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从重处罚</w:t>
            </w:r>
          </w:p>
        </w:tc>
        <w:tc>
          <w:tcPr>
            <w:tcW w:w="1800" w:type="dxa"/>
            <w:tcBorders>
              <w:tl2br w:val="nil"/>
              <w:tr2bl w:val="nil"/>
            </w:tcBorders>
            <w:shd w:val="clear" w:color="auto" w:fill="auto"/>
            <w:tcMar>
              <w:top w:w="15" w:type="dxa"/>
              <w:left w:w="15" w:type="dxa"/>
              <w:right w:w="15" w:type="dxa"/>
            </w:tcMar>
            <w:vAlign w:val="center"/>
          </w:tcPr>
          <w:p w14:paraId="5888062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逾期不改正，不提交备案材料的。</w:t>
            </w:r>
          </w:p>
        </w:tc>
        <w:tc>
          <w:tcPr>
            <w:tcW w:w="2557" w:type="dxa"/>
            <w:tcBorders>
              <w:tl2br w:val="nil"/>
              <w:tr2bl w:val="nil"/>
            </w:tcBorders>
            <w:shd w:val="clear" w:color="auto" w:fill="auto"/>
            <w:tcMar>
              <w:top w:w="15" w:type="dxa"/>
              <w:left w:w="15" w:type="dxa"/>
              <w:right w:w="15" w:type="dxa"/>
            </w:tcMar>
            <w:vAlign w:val="center"/>
          </w:tcPr>
          <w:p w14:paraId="231F6E9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处8万元以上10万元以下罚款。</w:t>
            </w:r>
          </w:p>
        </w:tc>
      </w:tr>
      <w:tr w14:paraId="1CA157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restart"/>
            <w:tcBorders>
              <w:tl2br w:val="nil"/>
              <w:tr2bl w:val="nil"/>
            </w:tcBorders>
            <w:shd w:val="clear" w:color="auto" w:fill="auto"/>
            <w:tcMar>
              <w:top w:w="15" w:type="dxa"/>
              <w:left w:w="15" w:type="dxa"/>
              <w:right w:w="15" w:type="dxa"/>
            </w:tcMar>
            <w:vAlign w:val="center"/>
          </w:tcPr>
          <w:p w14:paraId="4BA06EF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bidi="ar"/>
              </w:rPr>
              <w:t>2</w:t>
            </w:r>
            <w:del w:id="3168" w:author="LV" w:date="2026-07-14T17:17:22Z">
              <w:r>
                <w:rPr>
                  <w:rFonts w:hint="default" w:ascii="仿宋_GB2312" w:hAnsi="宋体" w:eastAsia="仿宋_GB2312" w:cs="仿宋_GB2312"/>
                  <w:kern w:val="0"/>
                  <w:sz w:val="18"/>
                  <w:szCs w:val="18"/>
                  <w:lang w:val="en-US" w:bidi="ar"/>
                </w:rPr>
                <w:delText>3</w:delText>
              </w:r>
            </w:del>
            <w:del w:id="3169" w:author="LV" w:date="2026-07-14T17:17:22Z">
              <w:r>
                <w:rPr>
                  <w:rFonts w:hint="default" w:ascii="仿宋_GB2312" w:hAnsi="宋体" w:eastAsia="仿宋_GB2312" w:cs="仿宋_GB2312"/>
                  <w:kern w:val="0"/>
                  <w:sz w:val="18"/>
                  <w:szCs w:val="18"/>
                  <w:lang w:val="en-US" w:eastAsia="zh-CN" w:bidi="ar"/>
                </w:rPr>
                <w:delText>3</w:delText>
              </w:r>
            </w:del>
            <w:ins w:id="3170" w:author="LV" w:date="2026-07-14T17:17:22Z">
              <w:r>
                <w:rPr>
                  <w:rFonts w:hint="eastAsia" w:ascii="仿宋_GB2312" w:hAnsi="宋体" w:eastAsia="仿宋_GB2312" w:cs="仿宋_GB2312"/>
                  <w:kern w:val="0"/>
                  <w:sz w:val="18"/>
                  <w:szCs w:val="18"/>
                  <w:lang w:val="en-US" w:eastAsia="zh-CN" w:bidi="ar"/>
                </w:rPr>
                <w:t>40</w:t>
              </w:r>
            </w:ins>
          </w:p>
        </w:tc>
        <w:tc>
          <w:tcPr>
            <w:tcW w:w="1006" w:type="dxa"/>
            <w:vMerge w:val="restart"/>
            <w:tcBorders>
              <w:tl2br w:val="nil"/>
              <w:tr2bl w:val="nil"/>
            </w:tcBorders>
            <w:shd w:val="clear" w:color="auto" w:fill="auto"/>
            <w:tcMar>
              <w:top w:w="15" w:type="dxa"/>
              <w:left w:w="15" w:type="dxa"/>
              <w:right w:w="15" w:type="dxa"/>
            </w:tcMar>
            <w:vAlign w:val="center"/>
          </w:tcPr>
          <w:p w14:paraId="0CFB82E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hint="eastAsia"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bidi="ar"/>
              </w:rPr>
              <w:t>未制定本企业管道事故应急预案，或者未将本企业管道事故应急预案报人民政府主管管道保护工作的部门备案，逾期不改正</w:t>
            </w:r>
            <w:r>
              <w:rPr>
                <w:rFonts w:hint="eastAsia" w:ascii="仿宋_GB2312" w:hAnsi="宋体" w:eastAsia="仿宋_GB2312" w:cs="仿宋_GB2312"/>
                <w:kern w:val="0"/>
                <w:sz w:val="18"/>
                <w:szCs w:val="18"/>
                <w:lang w:val="en-US" w:eastAsia="zh-CN" w:bidi="ar"/>
              </w:rPr>
              <w:t>的</w:t>
            </w:r>
          </w:p>
        </w:tc>
        <w:tc>
          <w:tcPr>
            <w:tcW w:w="3813" w:type="dxa"/>
            <w:vMerge w:val="restart"/>
            <w:tcBorders>
              <w:tl2br w:val="nil"/>
              <w:tr2bl w:val="nil"/>
            </w:tcBorders>
            <w:shd w:val="clear" w:color="auto" w:fill="auto"/>
            <w:tcMar>
              <w:top w:w="15" w:type="dxa"/>
              <w:left w:w="15" w:type="dxa"/>
              <w:right w:w="15" w:type="dxa"/>
            </w:tcMar>
            <w:vAlign w:val="center"/>
          </w:tcPr>
          <w:p w14:paraId="4D18669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eastAsia="zh-CN" w:bidi="ar"/>
              </w:rPr>
              <w:t>《中华人民共和国石油天然气管道保护法》</w:t>
            </w:r>
            <w:r>
              <w:rPr>
                <w:rFonts w:hint="eastAsia" w:ascii="仿宋_GB2312" w:hAnsi="宋体" w:eastAsia="仿宋_GB2312" w:cs="仿宋_GB2312"/>
                <w:kern w:val="0"/>
                <w:sz w:val="18"/>
                <w:szCs w:val="18"/>
                <w:lang w:bidi="ar"/>
              </w:rPr>
              <w:t>第三十九条第一款</w:t>
            </w:r>
            <w:r>
              <w:rPr>
                <w:rFonts w:hint="eastAsia" w:ascii="仿宋_GB2312" w:hAnsi="宋体" w:eastAsia="仿宋_GB2312" w:cs="仿宋_GB2312"/>
                <w:kern w:val="0"/>
                <w:sz w:val="18"/>
                <w:szCs w:val="18"/>
                <w:lang w:val="en-US" w:eastAsia="zh-CN" w:bidi="ar"/>
              </w:rPr>
              <w:t xml:space="preserve"> </w:t>
            </w:r>
            <w:r>
              <w:rPr>
                <w:rFonts w:hint="eastAsia" w:ascii="仿宋_GB2312" w:hAnsi="宋体" w:eastAsia="仿宋_GB2312" w:cs="仿宋_GB2312"/>
                <w:kern w:val="0"/>
                <w:sz w:val="18"/>
                <w:szCs w:val="18"/>
                <w:lang w:bidi="ar"/>
              </w:rPr>
              <w:t>管道企业应当制定本企业管道事故应急预案，并报管道所在地县级人民政府主管管道保护工作的部门备案；配备抢险救援人员和设备，并定期进行管道事故应急救援演练。</w:t>
            </w:r>
          </w:p>
        </w:tc>
        <w:tc>
          <w:tcPr>
            <w:tcW w:w="4081" w:type="dxa"/>
            <w:vMerge w:val="restart"/>
            <w:tcBorders>
              <w:tl2br w:val="nil"/>
              <w:tr2bl w:val="nil"/>
            </w:tcBorders>
            <w:shd w:val="clear" w:color="auto" w:fill="auto"/>
            <w:tcMar>
              <w:top w:w="15" w:type="dxa"/>
              <w:left w:w="15" w:type="dxa"/>
              <w:right w:w="15" w:type="dxa"/>
            </w:tcMar>
            <w:vAlign w:val="center"/>
          </w:tcPr>
          <w:p w14:paraId="0E86F17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eastAsia="zh-CN" w:bidi="ar"/>
              </w:rPr>
              <w:t>《中华人民共和国石油天然气管道保护法》</w:t>
            </w:r>
            <w:r>
              <w:rPr>
                <w:rFonts w:hint="eastAsia" w:ascii="仿宋_GB2312" w:hAnsi="宋体" w:eastAsia="仿宋_GB2312" w:cs="仿宋_GB2312"/>
                <w:kern w:val="0"/>
                <w:sz w:val="18"/>
                <w:szCs w:val="18"/>
                <w:lang w:bidi="ar"/>
              </w:rPr>
              <w:t>第五十条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管道企业有下列行为之一的，由县级以上地方人民政府主管管道保护工作的部门责令限期改正；逾期不改正的，处二万元以上十万元以下的罚款；对直接负责的主管人员和其他直接责任人员给予处分：（五）未制定本企业管道事故应急预案，或者未将本企业管道事故应急预案报人民政府主管管道保护工作的部门备案的；</w:t>
            </w:r>
          </w:p>
        </w:tc>
        <w:tc>
          <w:tcPr>
            <w:tcW w:w="472" w:type="dxa"/>
            <w:tcBorders>
              <w:tl2br w:val="nil"/>
              <w:tr2bl w:val="nil"/>
            </w:tcBorders>
            <w:shd w:val="clear" w:color="auto" w:fill="auto"/>
            <w:tcMar>
              <w:top w:w="15" w:type="dxa"/>
              <w:left w:w="15" w:type="dxa"/>
              <w:right w:w="15" w:type="dxa"/>
            </w:tcMar>
            <w:vAlign w:val="center"/>
          </w:tcPr>
          <w:p w14:paraId="2DC573E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不予处罚</w:t>
            </w:r>
          </w:p>
        </w:tc>
        <w:tc>
          <w:tcPr>
            <w:tcW w:w="1800" w:type="dxa"/>
            <w:tcBorders>
              <w:tl2br w:val="nil"/>
              <w:tr2bl w:val="nil"/>
            </w:tcBorders>
            <w:shd w:val="clear" w:color="auto" w:fill="auto"/>
            <w:tcMar>
              <w:top w:w="15" w:type="dxa"/>
              <w:left w:w="15" w:type="dxa"/>
              <w:right w:w="15" w:type="dxa"/>
            </w:tcMar>
            <w:vAlign w:val="center"/>
          </w:tcPr>
          <w:p w14:paraId="200A8FF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3381120D">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78BDB6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49750C6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556EE75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374BCF8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02A06A0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67F092C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免予处罚</w:t>
            </w:r>
          </w:p>
        </w:tc>
        <w:tc>
          <w:tcPr>
            <w:tcW w:w="1800" w:type="dxa"/>
            <w:tcBorders>
              <w:tl2br w:val="nil"/>
              <w:tr2bl w:val="nil"/>
            </w:tcBorders>
            <w:shd w:val="clear" w:color="auto" w:fill="auto"/>
            <w:tcMar>
              <w:top w:w="15" w:type="dxa"/>
              <w:left w:w="15" w:type="dxa"/>
              <w:right w:w="15" w:type="dxa"/>
            </w:tcMar>
            <w:vAlign w:val="center"/>
          </w:tcPr>
          <w:p w14:paraId="66EEC83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7830B73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7AD691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7B191AA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69B5D12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7C4AEC4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1E7D808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2EDC4F1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减轻处罚</w:t>
            </w:r>
          </w:p>
        </w:tc>
        <w:tc>
          <w:tcPr>
            <w:tcW w:w="1800" w:type="dxa"/>
            <w:tcBorders>
              <w:tl2br w:val="nil"/>
              <w:tr2bl w:val="nil"/>
            </w:tcBorders>
            <w:shd w:val="clear" w:color="auto" w:fill="auto"/>
            <w:tcMar>
              <w:top w:w="15" w:type="dxa"/>
              <w:left w:w="15" w:type="dxa"/>
              <w:right w:w="15" w:type="dxa"/>
            </w:tcMar>
            <w:vAlign w:val="center"/>
          </w:tcPr>
          <w:p w14:paraId="50E6159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6BB6BCDF">
            <w:pPr>
              <w:keepNext w:val="0"/>
              <w:keepLines w:val="0"/>
              <w:pageBreakBefore w:val="0"/>
              <w:widowControl w:val="0"/>
              <w:kinsoku/>
              <w:wordWrap/>
              <w:overflowPunct w:val="0"/>
              <w:topLinePunct w:val="0"/>
              <w:autoSpaceDE/>
              <w:autoSpaceDN/>
              <w:bidi w:val="0"/>
              <w:adjustRightInd/>
              <w:snapToGrid/>
              <w:spacing w:line="280" w:lineRule="exact"/>
              <w:jc w:val="left"/>
              <w:textAlignment w:val="center"/>
              <w:rPr>
                <w:rFonts w:ascii="仿宋_GB2312" w:hAnsi="宋体" w:eastAsia="仿宋_GB2312" w:cs="仿宋_GB2312"/>
                <w:kern w:val="0"/>
                <w:sz w:val="18"/>
                <w:szCs w:val="18"/>
                <w:lang w:val="en-US" w:eastAsia="zh-CN" w:bidi="ar"/>
              </w:rPr>
              <w:pPrChange w:id="3171" w:author="LV" w:date="2026-07-20T19:26:55Z">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pPr>
              </w:pPrChange>
            </w:pPr>
            <w:r>
              <w:rPr>
                <w:rFonts w:hint="eastAsia" w:ascii="仿宋_GB2312" w:hAnsi="宋体" w:eastAsia="仿宋_GB2312" w:cs="仿宋_GB2312"/>
                <w:color w:val="auto"/>
                <w:kern w:val="0"/>
                <w:sz w:val="18"/>
                <w:szCs w:val="18"/>
                <w:lang w:bidi="ar"/>
                <w:rPrChange w:id="3172" w:author="LV" w:date="2026-07-20T19:26:55Z">
                  <w:rPr>
                    <w:rFonts w:hint="eastAsia" w:ascii="仿宋_GB2312" w:hAnsi="宋体" w:eastAsia="仿宋_GB2312" w:cs="仿宋_GB2312"/>
                    <w:color w:val="000000" w:themeColor="text1"/>
                    <w:kern w:val="0"/>
                    <w:sz w:val="21"/>
                    <w:szCs w:val="21"/>
                    <w:lang w:bidi="ar"/>
                    <w14:textFill>
                      <w14:solidFill>
                        <w14:schemeClr w14:val="tx1"/>
                      </w14:solidFill>
                    </w14:textFill>
                  </w:rPr>
                </w:rPrChange>
              </w:rPr>
              <w:t>处1万元以上2万元以下的罚款</w:t>
            </w:r>
          </w:p>
        </w:tc>
      </w:tr>
      <w:tr w14:paraId="09854C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49A55B8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33D6B0F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3EB3F39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63C3577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4519B25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从轻处罚</w:t>
            </w:r>
          </w:p>
        </w:tc>
        <w:tc>
          <w:tcPr>
            <w:tcW w:w="1800" w:type="dxa"/>
            <w:tcBorders>
              <w:tl2br w:val="nil"/>
              <w:tr2bl w:val="nil"/>
            </w:tcBorders>
            <w:shd w:val="clear" w:color="auto" w:fill="auto"/>
            <w:tcMar>
              <w:top w:w="15" w:type="dxa"/>
              <w:left w:w="15" w:type="dxa"/>
              <w:right w:w="15" w:type="dxa"/>
            </w:tcMar>
            <w:vAlign w:val="center"/>
          </w:tcPr>
          <w:p w14:paraId="28396CD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限期内不能纠正违法行为，但能主动改正的且违法行为造成危害后果轻微的。</w:t>
            </w:r>
          </w:p>
        </w:tc>
        <w:tc>
          <w:tcPr>
            <w:tcW w:w="2557" w:type="dxa"/>
            <w:tcBorders>
              <w:tl2br w:val="nil"/>
              <w:tr2bl w:val="nil"/>
            </w:tcBorders>
            <w:shd w:val="clear" w:color="auto" w:fill="auto"/>
            <w:tcMar>
              <w:top w:w="15" w:type="dxa"/>
              <w:left w:w="15" w:type="dxa"/>
              <w:right w:w="15" w:type="dxa"/>
            </w:tcMar>
            <w:vAlign w:val="center"/>
          </w:tcPr>
          <w:p w14:paraId="70C383A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处2万元以上4万元以下罚款。</w:t>
            </w:r>
          </w:p>
        </w:tc>
      </w:tr>
      <w:tr w14:paraId="1CE8EF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5105A8D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50528C9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4A88F70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2350BB4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07C6CD7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一般处罚</w:t>
            </w:r>
          </w:p>
        </w:tc>
        <w:tc>
          <w:tcPr>
            <w:tcW w:w="1800" w:type="dxa"/>
            <w:tcBorders>
              <w:tl2br w:val="nil"/>
              <w:tr2bl w:val="nil"/>
            </w:tcBorders>
            <w:shd w:val="clear" w:color="auto" w:fill="auto"/>
            <w:tcMar>
              <w:top w:w="15" w:type="dxa"/>
              <w:left w:w="15" w:type="dxa"/>
              <w:right w:w="15" w:type="dxa"/>
            </w:tcMar>
            <w:vAlign w:val="center"/>
          </w:tcPr>
          <w:p w14:paraId="0FCC78D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逾期不改正，未报管道保护主管部门备案的。</w:t>
            </w:r>
          </w:p>
        </w:tc>
        <w:tc>
          <w:tcPr>
            <w:tcW w:w="2557" w:type="dxa"/>
            <w:tcBorders>
              <w:tl2br w:val="nil"/>
              <w:tr2bl w:val="nil"/>
            </w:tcBorders>
            <w:shd w:val="clear" w:color="auto" w:fill="auto"/>
            <w:tcMar>
              <w:top w:w="15" w:type="dxa"/>
              <w:left w:w="15" w:type="dxa"/>
              <w:right w:w="15" w:type="dxa"/>
            </w:tcMar>
            <w:vAlign w:val="center"/>
          </w:tcPr>
          <w:p w14:paraId="7134CD8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处4万元以上8万元以下罚款。</w:t>
            </w:r>
          </w:p>
        </w:tc>
      </w:tr>
      <w:tr w14:paraId="58E8D5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73F40AA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35F8034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5CABA6E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205D478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0D4ADB5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从重处罚</w:t>
            </w:r>
          </w:p>
        </w:tc>
        <w:tc>
          <w:tcPr>
            <w:tcW w:w="1800" w:type="dxa"/>
            <w:tcBorders>
              <w:tl2br w:val="nil"/>
              <w:tr2bl w:val="nil"/>
            </w:tcBorders>
            <w:shd w:val="clear" w:color="auto" w:fill="auto"/>
            <w:tcMar>
              <w:top w:w="15" w:type="dxa"/>
              <w:left w:w="15" w:type="dxa"/>
              <w:right w:w="15" w:type="dxa"/>
            </w:tcMar>
            <w:vAlign w:val="center"/>
          </w:tcPr>
          <w:p w14:paraId="0AF7E08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逾期不改正，未制定本企业管道事故应急预案的。</w:t>
            </w:r>
          </w:p>
        </w:tc>
        <w:tc>
          <w:tcPr>
            <w:tcW w:w="2557" w:type="dxa"/>
            <w:tcBorders>
              <w:tl2br w:val="nil"/>
              <w:tr2bl w:val="nil"/>
            </w:tcBorders>
            <w:shd w:val="clear" w:color="auto" w:fill="auto"/>
            <w:tcMar>
              <w:top w:w="15" w:type="dxa"/>
              <w:left w:w="15" w:type="dxa"/>
              <w:right w:w="15" w:type="dxa"/>
            </w:tcMar>
            <w:vAlign w:val="center"/>
          </w:tcPr>
          <w:p w14:paraId="615D7CE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处8万元以上10万元以下罚款。</w:t>
            </w:r>
          </w:p>
        </w:tc>
      </w:tr>
      <w:tr w14:paraId="4489E2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restart"/>
            <w:tcBorders>
              <w:tl2br w:val="nil"/>
              <w:tr2bl w:val="nil"/>
            </w:tcBorders>
            <w:shd w:val="clear" w:color="auto" w:fill="auto"/>
            <w:tcMar>
              <w:top w:w="15" w:type="dxa"/>
              <w:left w:w="15" w:type="dxa"/>
              <w:right w:w="15" w:type="dxa"/>
            </w:tcMar>
            <w:vAlign w:val="center"/>
          </w:tcPr>
          <w:p w14:paraId="0749DD3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bidi="ar"/>
              </w:rPr>
              <w:t>2</w:t>
            </w:r>
            <w:del w:id="3173" w:author="LV" w:date="2026-07-14T17:17:26Z">
              <w:r>
                <w:rPr>
                  <w:rFonts w:hint="default" w:ascii="仿宋_GB2312" w:hAnsi="宋体" w:eastAsia="仿宋_GB2312" w:cs="仿宋_GB2312"/>
                  <w:kern w:val="0"/>
                  <w:sz w:val="18"/>
                  <w:szCs w:val="18"/>
                  <w:lang w:val="en-US" w:bidi="ar"/>
                </w:rPr>
                <w:delText>3</w:delText>
              </w:r>
            </w:del>
            <w:del w:id="3174" w:author="LV" w:date="2026-07-14T17:17:26Z">
              <w:r>
                <w:rPr>
                  <w:rFonts w:hint="default" w:ascii="仿宋_GB2312" w:hAnsi="宋体" w:eastAsia="仿宋_GB2312" w:cs="仿宋_GB2312"/>
                  <w:kern w:val="0"/>
                  <w:sz w:val="18"/>
                  <w:szCs w:val="18"/>
                  <w:lang w:val="en-US" w:eastAsia="zh-CN" w:bidi="ar"/>
                </w:rPr>
                <w:delText>4</w:delText>
              </w:r>
            </w:del>
            <w:ins w:id="3175" w:author="LV" w:date="2026-07-14T17:17:26Z">
              <w:r>
                <w:rPr>
                  <w:rFonts w:hint="eastAsia" w:ascii="仿宋_GB2312" w:hAnsi="宋体" w:eastAsia="仿宋_GB2312" w:cs="仿宋_GB2312"/>
                  <w:kern w:val="0"/>
                  <w:sz w:val="18"/>
                  <w:szCs w:val="18"/>
                  <w:lang w:val="en-US" w:eastAsia="zh-CN" w:bidi="ar"/>
                </w:rPr>
                <w:t>4</w:t>
              </w:r>
            </w:ins>
            <w:ins w:id="3176" w:author="LV" w:date="2026-07-14T17:17:27Z">
              <w:r>
                <w:rPr>
                  <w:rFonts w:hint="eastAsia" w:ascii="仿宋_GB2312" w:hAnsi="宋体" w:eastAsia="仿宋_GB2312" w:cs="仿宋_GB2312"/>
                  <w:kern w:val="0"/>
                  <w:sz w:val="18"/>
                  <w:szCs w:val="18"/>
                  <w:lang w:val="en-US" w:eastAsia="zh-CN" w:bidi="ar"/>
                </w:rPr>
                <w:t>1</w:t>
              </w:r>
            </w:ins>
          </w:p>
        </w:tc>
        <w:tc>
          <w:tcPr>
            <w:tcW w:w="1006" w:type="dxa"/>
            <w:vMerge w:val="restart"/>
            <w:tcBorders>
              <w:tl2br w:val="nil"/>
              <w:tr2bl w:val="nil"/>
            </w:tcBorders>
            <w:shd w:val="clear" w:color="auto" w:fill="auto"/>
            <w:tcMar>
              <w:top w:w="15" w:type="dxa"/>
              <w:left w:w="15" w:type="dxa"/>
              <w:right w:w="15" w:type="dxa"/>
            </w:tcMar>
            <w:vAlign w:val="center"/>
          </w:tcPr>
          <w:p w14:paraId="5C9F767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hint="eastAsia"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bidi="ar"/>
              </w:rPr>
              <w:t>发生管道事故，未采取有效措施消除或者减轻事故危害，逾期不改正</w:t>
            </w:r>
            <w:r>
              <w:rPr>
                <w:rFonts w:hint="eastAsia" w:ascii="仿宋_GB2312" w:hAnsi="宋体" w:eastAsia="仿宋_GB2312" w:cs="仿宋_GB2312"/>
                <w:kern w:val="0"/>
                <w:sz w:val="18"/>
                <w:szCs w:val="18"/>
                <w:lang w:val="en-US" w:eastAsia="zh-CN" w:bidi="ar"/>
              </w:rPr>
              <w:t>的</w:t>
            </w:r>
          </w:p>
        </w:tc>
        <w:tc>
          <w:tcPr>
            <w:tcW w:w="3813" w:type="dxa"/>
            <w:vMerge w:val="restart"/>
            <w:tcBorders>
              <w:tl2br w:val="nil"/>
              <w:tr2bl w:val="nil"/>
            </w:tcBorders>
            <w:shd w:val="clear" w:color="auto" w:fill="auto"/>
            <w:tcMar>
              <w:top w:w="15" w:type="dxa"/>
              <w:left w:w="15" w:type="dxa"/>
              <w:right w:w="15" w:type="dxa"/>
            </w:tcMar>
            <w:vAlign w:val="center"/>
          </w:tcPr>
          <w:p w14:paraId="69EF6FC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eastAsia="zh-CN" w:bidi="ar"/>
              </w:rPr>
              <w:t>《中华人民共和国石油天然气管道保护法》</w:t>
            </w:r>
            <w:r>
              <w:rPr>
                <w:rFonts w:hint="eastAsia" w:ascii="仿宋_GB2312" w:hAnsi="宋体" w:eastAsia="仿宋_GB2312" w:cs="仿宋_GB2312"/>
                <w:kern w:val="0"/>
                <w:sz w:val="18"/>
                <w:szCs w:val="18"/>
                <w:lang w:bidi="ar"/>
              </w:rPr>
              <w:t>第三十九条第二款</w:t>
            </w:r>
            <w:r>
              <w:rPr>
                <w:rFonts w:hint="eastAsia" w:ascii="仿宋_GB2312" w:hAnsi="宋体" w:eastAsia="仿宋_GB2312" w:cs="仿宋_GB2312"/>
                <w:kern w:val="0"/>
                <w:sz w:val="18"/>
                <w:szCs w:val="18"/>
                <w:lang w:val="en-US" w:eastAsia="zh-CN" w:bidi="ar"/>
              </w:rPr>
              <w:t xml:space="preserve"> </w:t>
            </w:r>
            <w:r>
              <w:rPr>
                <w:rFonts w:hint="eastAsia" w:ascii="仿宋_GB2312" w:hAnsi="宋体" w:eastAsia="仿宋_GB2312" w:cs="仿宋_GB2312"/>
                <w:kern w:val="0"/>
                <w:sz w:val="18"/>
                <w:szCs w:val="18"/>
                <w:lang w:bidi="ar"/>
              </w:rPr>
              <w:t>发生管道事故，管道企业应当立即启动本企业管道事故应急预案，按照规定及时通报可能受到事故危害的单位和居民，采取有效措施消除或者减轻事故危害，并依照有关事故调查处理的法律、行政法规的规定，向事故发生地县级人民政府主管管道保护工作的部门、安全生产监督管理部门和其他有关部门报告。</w:t>
            </w:r>
          </w:p>
        </w:tc>
        <w:tc>
          <w:tcPr>
            <w:tcW w:w="4081" w:type="dxa"/>
            <w:vMerge w:val="restart"/>
            <w:tcBorders>
              <w:tl2br w:val="nil"/>
              <w:tr2bl w:val="nil"/>
            </w:tcBorders>
            <w:shd w:val="clear" w:color="auto" w:fill="auto"/>
            <w:tcMar>
              <w:top w:w="15" w:type="dxa"/>
              <w:left w:w="15" w:type="dxa"/>
              <w:right w:w="15" w:type="dxa"/>
            </w:tcMar>
            <w:vAlign w:val="center"/>
          </w:tcPr>
          <w:p w14:paraId="264F72D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eastAsia="zh-CN" w:bidi="ar"/>
              </w:rPr>
              <w:t>《中华人民共和国石油天然气管道保护法》</w:t>
            </w:r>
            <w:r>
              <w:rPr>
                <w:rFonts w:hint="eastAsia" w:ascii="仿宋_GB2312" w:hAnsi="宋体" w:eastAsia="仿宋_GB2312" w:cs="仿宋_GB2312"/>
                <w:kern w:val="0"/>
                <w:sz w:val="18"/>
                <w:szCs w:val="18"/>
                <w:lang w:bidi="ar"/>
              </w:rPr>
              <w:t>第五十条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管道企业有下列行为之一的，由县级以上地方人民政府主管管道保护工作的部门责令限期改正；逾期不改正的，处二万元以上十万元以下的罚款；对直接负责的主管人员和其他直接责任人员给予处分：（六）发生管道事故，未采取有效措施消除或者减轻事故危害的；</w:t>
            </w:r>
          </w:p>
        </w:tc>
        <w:tc>
          <w:tcPr>
            <w:tcW w:w="472" w:type="dxa"/>
            <w:tcBorders>
              <w:tl2br w:val="nil"/>
              <w:tr2bl w:val="nil"/>
            </w:tcBorders>
            <w:shd w:val="clear" w:color="auto" w:fill="auto"/>
            <w:tcMar>
              <w:top w:w="15" w:type="dxa"/>
              <w:left w:w="15" w:type="dxa"/>
              <w:right w:w="15" w:type="dxa"/>
            </w:tcMar>
            <w:vAlign w:val="center"/>
          </w:tcPr>
          <w:p w14:paraId="13298884">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不予处罚</w:t>
            </w:r>
          </w:p>
        </w:tc>
        <w:tc>
          <w:tcPr>
            <w:tcW w:w="1800" w:type="dxa"/>
            <w:tcBorders>
              <w:tl2br w:val="nil"/>
              <w:tr2bl w:val="nil"/>
            </w:tcBorders>
            <w:shd w:val="clear" w:color="auto" w:fill="auto"/>
            <w:tcMar>
              <w:top w:w="15" w:type="dxa"/>
              <w:left w:w="15" w:type="dxa"/>
              <w:right w:w="15" w:type="dxa"/>
            </w:tcMar>
            <w:vAlign w:val="center"/>
          </w:tcPr>
          <w:p w14:paraId="3A5EB70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0B31DF3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005E17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51790EA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32A99A9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7D32C5C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5BF2CB6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66E5EC6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免予处罚</w:t>
            </w:r>
          </w:p>
        </w:tc>
        <w:tc>
          <w:tcPr>
            <w:tcW w:w="1800" w:type="dxa"/>
            <w:tcBorders>
              <w:tl2br w:val="nil"/>
              <w:tr2bl w:val="nil"/>
            </w:tcBorders>
            <w:shd w:val="clear" w:color="auto" w:fill="auto"/>
            <w:tcMar>
              <w:top w:w="15" w:type="dxa"/>
              <w:left w:w="15" w:type="dxa"/>
              <w:right w:w="15" w:type="dxa"/>
            </w:tcMar>
            <w:vAlign w:val="center"/>
          </w:tcPr>
          <w:p w14:paraId="7EA49BA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42AAB096">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73018A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2CDD7C4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05FA53C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6AEEC83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778A711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59BECD23">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减轻处罚</w:t>
            </w:r>
          </w:p>
        </w:tc>
        <w:tc>
          <w:tcPr>
            <w:tcW w:w="1800" w:type="dxa"/>
            <w:tcBorders>
              <w:tl2br w:val="nil"/>
              <w:tr2bl w:val="nil"/>
            </w:tcBorders>
            <w:shd w:val="clear" w:color="auto" w:fill="auto"/>
            <w:tcMar>
              <w:top w:w="15" w:type="dxa"/>
              <w:left w:w="15" w:type="dxa"/>
              <w:right w:w="15" w:type="dxa"/>
            </w:tcMar>
            <w:vAlign w:val="center"/>
          </w:tcPr>
          <w:p w14:paraId="4F54A3E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2653E29A">
            <w:pPr>
              <w:keepNext w:val="0"/>
              <w:keepLines w:val="0"/>
              <w:pageBreakBefore w:val="0"/>
              <w:widowControl w:val="0"/>
              <w:kinsoku/>
              <w:wordWrap/>
              <w:overflowPunct w:val="0"/>
              <w:topLinePunct w:val="0"/>
              <w:autoSpaceDE/>
              <w:autoSpaceDN/>
              <w:bidi w:val="0"/>
              <w:adjustRightInd/>
              <w:snapToGrid/>
              <w:spacing w:line="280" w:lineRule="exact"/>
              <w:jc w:val="left"/>
              <w:textAlignment w:val="center"/>
              <w:rPr>
                <w:rFonts w:ascii="仿宋_GB2312" w:hAnsi="宋体" w:eastAsia="仿宋_GB2312" w:cs="仿宋_GB2312"/>
                <w:kern w:val="0"/>
                <w:sz w:val="18"/>
                <w:szCs w:val="18"/>
                <w:lang w:val="en-US" w:eastAsia="zh-CN" w:bidi="ar"/>
              </w:rPr>
              <w:pPrChange w:id="3177" w:author="LV" w:date="2026-07-20T19:27:01Z">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pPr>
              </w:pPrChange>
            </w:pPr>
            <w:r>
              <w:rPr>
                <w:rFonts w:hint="eastAsia" w:ascii="仿宋_GB2312" w:hAnsi="宋体" w:eastAsia="仿宋_GB2312" w:cs="仿宋_GB2312"/>
                <w:color w:val="auto"/>
                <w:kern w:val="0"/>
                <w:sz w:val="18"/>
                <w:szCs w:val="18"/>
                <w:lang w:bidi="ar"/>
                <w:rPrChange w:id="3178" w:author="LV" w:date="2026-07-20T19:27:01Z">
                  <w:rPr>
                    <w:rFonts w:hint="eastAsia" w:ascii="仿宋_GB2312" w:hAnsi="宋体" w:eastAsia="仿宋_GB2312" w:cs="仿宋_GB2312"/>
                    <w:color w:val="000000" w:themeColor="text1"/>
                    <w:kern w:val="0"/>
                    <w:sz w:val="21"/>
                    <w:szCs w:val="21"/>
                    <w:lang w:bidi="ar"/>
                    <w14:textFill>
                      <w14:solidFill>
                        <w14:schemeClr w14:val="tx1"/>
                      </w14:solidFill>
                    </w14:textFill>
                  </w:rPr>
                </w:rPrChange>
              </w:rPr>
              <w:t>处1万元以上2万元以下的罚款</w:t>
            </w:r>
          </w:p>
        </w:tc>
      </w:tr>
      <w:tr w14:paraId="31064F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4194A1D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2211712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2757908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5003BE0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1250721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从轻处罚</w:t>
            </w:r>
          </w:p>
        </w:tc>
        <w:tc>
          <w:tcPr>
            <w:tcW w:w="1800" w:type="dxa"/>
            <w:tcBorders>
              <w:tl2br w:val="nil"/>
              <w:tr2bl w:val="nil"/>
            </w:tcBorders>
            <w:shd w:val="clear" w:color="auto" w:fill="auto"/>
            <w:tcMar>
              <w:top w:w="15" w:type="dxa"/>
              <w:left w:w="15" w:type="dxa"/>
              <w:right w:w="15" w:type="dxa"/>
            </w:tcMar>
            <w:vAlign w:val="center"/>
          </w:tcPr>
          <w:p w14:paraId="7D0EF7F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责令限期改正期内，及时采取措施消除或者减轻事故危害，但事故危害继续扩大的；2.责令限期改正期内，未采取有效措施消除或者减轻事故危害，但事故危害没有扩大的。</w:t>
            </w:r>
          </w:p>
        </w:tc>
        <w:tc>
          <w:tcPr>
            <w:tcW w:w="2557" w:type="dxa"/>
            <w:tcBorders>
              <w:tl2br w:val="nil"/>
              <w:tr2bl w:val="nil"/>
            </w:tcBorders>
            <w:shd w:val="clear" w:color="auto" w:fill="auto"/>
            <w:tcMar>
              <w:top w:w="15" w:type="dxa"/>
              <w:left w:w="15" w:type="dxa"/>
              <w:right w:w="15" w:type="dxa"/>
            </w:tcMar>
            <w:vAlign w:val="center"/>
          </w:tcPr>
          <w:p w14:paraId="6C4808A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处2万元以上4万元以下罚款。</w:t>
            </w:r>
          </w:p>
        </w:tc>
      </w:tr>
      <w:tr w14:paraId="2F337A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47"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6B2A567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3D3DC07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41161B3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21B4D77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17515FF6">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一般处罚</w:t>
            </w:r>
          </w:p>
        </w:tc>
        <w:tc>
          <w:tcPr>
            <w:tcW w:w="1800" w:type="dxa"/>
            <w:tcBorders>
              <w:tl2br w:val="nil"/>
              <w:tr2bl w:val="nil"/>
            </w:tcBorders>
            <w:shd w:val="clear" w:color="auto" w:fill="auto"/>
            <w:tcMar>
              <w:top w:w="15" w:type="dxa"/>
              <w:left w:w="15" w:type="dxa"/>
              <w:right w:w="15" w:type="dxa"/>
            </w:tcMar>
            <w:vAlign w:val="center"/>
          </w:tcPr>
          <w:p w14:paraId="79562E4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eastAsia="zh-CN" w:bidi="ar"/>
              </w:rPr>
            </w:pPr>
            <w:r>
              <w:rPr>
                <w:rFonts w:hint="eastAsia" w:ascii="仿宋_GB2312" w:hAnsi="宋体" w:eastAsia="仿宋_GB2312" w:cs="仿宋_GB2312"/>
                <w:kern w:val="0"/>
                <w:sz w:val="18"/>
                <w:szCs w:val="18"/>
                <w:lang w:bidi="ar"/>
              </w:rPr>
              <w:t>逾期不改正，未采取有效措施消除或者减轻一般事故的</w:t>
            </w:r>
            <w:r>
              <w:rPr>
                <w:rFonts w:hint="eastAsia" w:ascii="仿宋_GB2312" w:hAnsi="宋体" w:eastAsia="仿宋_GB2312" w:cs="仿宋_GB2312"/>
                <w:kern w:val="0"/>
                <w:sz w:val="18"/>
                <w:szCs w:val="18"/>
                <w:lang w:eastAsia="zh-CN" w:bidi="ar"/>
              </w:rPr>
              <w:t>。</w:t>
            </w:r>
          </w:p>
        </w:tc>
        <w:tc>
          <w:tcPr>
            <w:tcW w:w="2557" w:type="dxa"/>
            <w:tcBorders>
              <w:tl2br w:val="nil"/>
              <w:tr2bl w:val="nil"/>
            </w:tcBorders>
            <w:shd w:val="clear" w:color="auto" w:fill="auto"/>
            <w:tcMar>
              <w:top w:w="15" w:type="dxa"/>
              <w:left w:w="15" w:type="dxa"/>
              <w:right w:w="15" w:type="dxa"/>
            </w:tcMar>
            <w:vAlign w:val="center"/>
          </w:tcPr>
          <w:p w14:paraId="2F7BAE5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处4万元以上8万元以下的罚款。</w:t>
            </w:r>
          </w:p>
        </w:tc>
      </w:tr>
      <w:tr w14:paraId="25C98A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4447DB5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5F0FEEF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1E73882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62573AF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0F22699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从重处罚</w:t>
            </w:r>
          </w:p>
        </w:tc>
        <w:tc>
          <w:tcPr>
            <w:tcW w:w="1800" w:type="dxa"/>
            <w:tcBorders>
              <w:tl2br w:val="nil"/>
              <w:tr2bl w:val="nil"/>
            </w:tcBorders>
            <w:shd w:val="clear" w:color="auto" w:fill="auto"/>
            <w:tcMar>
              <w:top w:w="15" w:type="dxa"/>
              <w:left w:w="15" w:type="dxa"/>
              <w:right w:w="15" w:type="dxa"/>
            </w:tcMar>
            <w:vAlign w:val="center"/>
          </w:tcPr>
          <w:p w14:paraId="679EB8A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eastAsia="zh-CN" w:bidi="ar"/>
              </w:rPr>
            </w:pPr>
            <w:r>
              <w:rPr>
                <w:rFonts w:hint="eastAsia" w:ascii="仿宋_GB2312" w:hAnsi="宋体" w:eastAsia="仿宋_GB2312" w:cs="仿宋_GB2312"/>
                <w:kern w:val="0"/>
                <w:sz w:val="18"/>
                <w:szCs w:val="18"/>
                <w:lang w:bidi="ar"/>
              </w:rPr>
              <w:t>逾期不改正，未采取有效措施消除或者减轻较大事故、重大事故、特别重大事故危害，或者未采取有效措施导致事故升级的</w:t>
            </w:r>
            <w:r>
              <w:rPr>
                <w:rFonts w:hint="eastAsia" w:ascii="仿宋_GB2312" w:hAnsi="宋体" w:eastAsia="仿宋_GB2312" w:cs="仿宋_GB2312"/>
                <w:kern w:val="0"/>
                <w:sz w:val="18"/>
                <w:szCs w:val="18"/>
                <w:lang w:eastAsia="zh-CN" w:bidi="ar"/>
              </w:rPr>
              <w:t>。</w:t>
            </w:r>
          </w:p>
        </w:tc>
        <w:tc>
          <w:tcPr>
            <w:tcW w:w="2557" w:type="dxa"/>
            <w:tcBorders>
              <w:tl2br w:val="nil"/>
              <w:tr2bl w:val="nil"/>
            </w:tcBorders>
            <w:shd w:val="clear" w:color="auto" w:fill="auto"/>
            <w:tcMar>
              <w:top w:w="15" w:type="dxa"/>
              <w:left w:w="15" w:type="dxa"/>
              <w:right w:w="15" w:type="dxa"/>
            </w:tcMar>
            <w:vAlign w:val="center"/>
          </w:tcPr>
          <w:p w14:paraId="2F223C1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处8万元以上10万元以下罚款。</w:t>
            </w:r>
          </w:p>
        </w:tc>
      </w:tr>
      <w:tr w14:paraId="35468D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restart"/>
            <w:tcBorders>
              <w:tl2br w:val="nil"/>
              <w:tr2bl w:val="nil"/>
            </w:tcBorders>
            <w:shd w:val="clear" w:color="auto" w:fill="auto"/>
            <w:tcMar>
              <w:top w:w="15" w:type="dxa"/>
              <w:left w:w="15" w:type="dxa"/>
              <w:right w:w="15" w:type="dxa"/>
            </w:tcMar>
            <w:vAlign w:val="center"/>
          </w:tcPr>
          <w:p w14:paraId="6AF4B15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bidi="ar"/>
              </w:rPr>
              <w:t>2</w:t>
            </w:r>
            <w:del w:id="3179" w:author="LV" w:date="2026-07-14T17:17:31Z">
              <w:r>
                <w:rPr>
                  <w:rFonts w:hint="default" w:ascii="仿宋_GB2312" w:hAnsi="宋体" w:eastAsia="仿宋_GB2312" w:cs="仿宋_GB2312"/>
                  <w:kern w:val="0"/>
                  <w:sz w:val="18"/>
                  <w:szCs w:val="18"/>
                  <w:lang w:val="en-US" w:bidi="ar"/>
                </w:rPr>
                <w:delText>3</w:delText>
              </w:r>
            </w:del>
            <w:del w:id="3180" w:author="LV" w:date="2026-07-14T17:17:31Z">
              <w:r>
                <w:rPr>
                  <w:rFonts w:hint="default" w:ascii="仿宋_GB2312" w:hAnsi="宋体" w:eastAsia="仿宋_GB2312" w:cs="仿宋_GB2312"/>
                  <w:kern w:val="0"/>
                  <w:sz w:val="18"/>
                  <w:szCs w:val="18"/>
                  <w:lang w:val="en-US" w:eastAsia="zh-CN" w:bidi="ar"/>
                </w:rPr>
                <w:delText>5</w:delText>
              </w:r>
            </w:del>
            <w:ins w:id="3181" w:author="LV" w:date="2026-07-14T17:17:31Z">
              <w:r>
                <w:rPr>
                  <w:rFonts w:hint="eastAsia" w:ascii="仿宋_GB2312" w:hAnsi="宋体" w:eastAsia="仿宋_GB2312" w:cs="仿宋_GB2312"/>
                  <w:kern w:val="0"/>
                  <w:sz w:val="18"/>
                  <w:szCs w:val="18"/>
                  <w:lang w:val="en-US" w:eastAsia="zh-CN" w:bidi="ar"/>
                </w:rPr>
                <w:t>42</w:t>
              </w:r>
            </w:ins>
          </w:p>
        </w:tc>
        <w:tc>
          <w:tcPr>
            <w:tcW w:w="1006" w:type="dxa"/>
            <w:vMerge w:val="restart"/>
            <w:tcBorders>
              <w:tl2br w:val="nil"/>
              <w:tr2bl w:val="nil"/>
            </w:tcBorders>
            <w:shd w:val="clear" w:color="auto" w:fill="auto"/>
            <w:tcMar>
              <w:top w:w="15" w:type="dxa"/>
              <w:left w:w="15" w:type="dxa"/>
              <w:right w:w="15" w:type="dxa"/>
            </w:tcMar>
            <w:vAlign w:val="center"/>
          </w:tcPr>
          <w:p w14:paraId="0E7783B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hint="eastAsia"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bidi="ar"/>
              </w:rPr>
              <w:t>未对停止运行、封存、报废的管道采取必要的安全防护措施，逾期不改正</w:t>
            </w:r>
            <w:r>
              <w:rPr>
                <w:rFonts w:hint="eastAsia" w:ascii="仿宋_GB2312" w:hAnsi="宋体" w:eastAsia="仿宋_GB2312" w:cs="仿宋_GB2312"/>
                <w:kern w:val="0"/>
                <w:sz w:val="18"/>
                <w:szCs w:val="18"/>
                <w:lang w:val="en-US" w:eastAsia="zh-CN" w:bidi="ar"/>
              </w:rPr>
              <w:t>的</w:t>
            </w:r>
          </w:p>
        </w:tc>
        <w:tc>
          <w:tcPr>
            <w:tcW w:w="3813" w:type="dxa"/>
            <w:vMerge w:val="restart"/>
            <w:tcBorders>
              <w:tl2br w:val="nil"/>
              <w:tr2bl w:val="nil"/>
            </w:tcBorders>
            <w:shd w:val="clear" w:color="auto" w:fill="auto"/>
            <w:tcMar>
              <w:top w:w="15" w:type="dxa"/>
              <w:left w:w="15" w:type="dxa"/>
              <w:right w:w="15" w:type="dxa"/>
            </w:tcMar>
            <w:vAlign w:val="center"/>
          </w:tcPr>
          <w:p w14:paraId="52FD0A4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eastAsia="zh-CN" w:bidi="ar"/>
              </w:rPr>
              <w:t>《中华人民共和国石油天然气管道保护法》</w:t>
            </w:r>
            <w:r>
              <w:rPr>
                <w:rFonts w:hint="eastAsia" w:ascii="仿宋_GB2312" w:hAnsi="宋体" w:eastAsia="仿宋_GB2312" w:cs="仿宋_GB2312"/>
                <w:kern w:val="0"/>
                <w:sz w:val="18"/>
                <w:szCs w:val="18"/>
                <w:lang w:bidi="ar"/>
              </w:rPr>
              <w:t>第四十二条</w:t>
            </w:r>
            <w:r>
              <w:rPr>
                <w:rFonts w:hint="eastAsia" w:ascii="仿宋_GB2312" w:hAnsi="宋体" w:eastAsia="仿宋_GB2312" w:cs="仿宋_GB2312"/>
                <w:kern w:val="0"/>
                <w:sz w:val="18"/>
                <w:szCs w:val="18"/>
                <w:lang w:val="en-US" w:eastAsia="zh-CN" w:bidi="ar"/>
              </w:rPr>
              <w:t xml:space="preserve"> </w:t>
            </w:r>
            <w:r>
              <w:rPr>
                <w:rFonts w:hint="eastAsia" w:ascii="仿宋_GB2312" w:hAnsi="宋体" w:eastAsia="仿宋_GB2312" w:cs="仿宋_GB2312"/>
                <w:kern w:val="0"/>
                <w:sz w:val="18"/>
                <w:szCs w:val="18"/>
                <w:lang w:bidi="ar"/>
              </w:rPr>
              <w:t>管道停止运行、封存、报废的，管道企业应当采取必要的安全防护措施，并报县级以上地方人民政府主管管道保护工作的部门备案。</w:t>
            </w:r>
          </w:p>
          <w:p w14:paraId="56F556D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《山东省石油天然气管道保护条例》第二十四条第一款 管道停止运行、封存、报废的，管道企业应当采取必要的安全防护措施，并报管道所在地县级人民政府管道保护主管部门备案。</w:t>
            </w:r>
          </w:p>
        </w:tc>
        <w:tc>
          <w:tcPr>
            <w:tcW w:w="4081" w:type="dxa"/>
            <w:vMerge w:val="restart"/>
            <w:tcBorders>
              <w:tl2br w:val="nil"/>
              <w:tr2bl w:val="nil"/>
            </w:tcBorders>
            <w:shd w:val="clear" w:color="auto" w:fill="auto"/>
            <w:tcMar>
              <w:top w:w="15" w:type="dxa"/>
              <w:left w:w="15" w:type="dxa"/>
              <w:right w:w="15" w:type="dxa"/>
            </w:tcMar>
            <w:vAlign w:val="center"/>
          </w:tcPr>
          <w:p w14:paraId="05F51D5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《中华人民共和国石油天然气管道保护法》第五十条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管道企业有下列行为之一的，由县级以上地方人民政府主管管道保护工作的部门责令限期改正；逾期不改正的，处二万元以上十万元以下的罚款；对直接负责的主管人员和其他直接责任人员给予处分：（七）未对停止运行、封存、报废的管道采取必要的安全防护措施的。</w:t>
            </w:r>
          </w:p>
        </w:tc>
        <w:tc>
          <w:tcPr>
            <w:tcW w:w="472" w:type="dxa"/>
            <w:tcBorders>
              <w:tl2br w:val="nil"/>
              <w:tr2bl w:val="nil"/>
            </w:tcBorders>
            <w:shd w:val="clear" w:color="auto" w:fill="auto"/>
            <w:tcMar>
              <w:top w:w="15" w:type="dxa"/>
              <w:left w:w="15" w:type="dxa"/>
              <w:right w:w="15" w:type="dxa"/>
            </w:tcMar>
            <w:vAlign w:val="center"/>
          </w:tcPr>
          <w:p w14:paraId="11DA2E5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不予处罚</w:t>
            </w:r>
          </w:p>
        </w:tc>
        <w:tc>
          <w:tcPr>
            <w:tcW w:w="1800" w:type="dxa"/>
            <w:tcBorders>
              <w:tl2br w:val="nil"/>
              <w:tr2bl w:val="nil"/>
            </w:tcBorders>
            <w:shd w:val="clear" w:color="auto" w:fill="auto"/>
            <w:tcMar>
              <w:top w:w="15" w:type="dxa"/>
              <w:left w:w="15" w:type="dxa"/>
              <w:right w:w="15" w:type="dxa"/>
            </w:tcMar>
            <w:vAlign w:val="center"/>
          </w:tcPr>
          <w:p w14:paraId="1815955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78B9213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562879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0452F27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4ED331A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4819379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552F29D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1372FD7E">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免予处罚</w:t>
            </w:r>
          </w:p>
        </w:tc>
        <w:tc>
          <w:tcPr>
            <w:tcW w:w="1800" w:type="dxa"/>
            <w:tcBorders>
              <w:tl2br w:val="nil"/>
              <w:tr2bl w:val="nil"/>
            </w:tcBorders>
            <w:shd w:val="clear" w:color="auto" w:fill="auto"/>
            <w:tcMar>
              <w:top w:w="15" w:type="dxa"/>
              <w:left w:w="15" w:type="dxa"/>
              <w:right w:w="15" w:type="dxa"/>
            </w:tcMar>
            <w:vAlign w:val="center"/>
          </w:tcPr>
          <w:p w14:paraId="27A1DE7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65CF304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15948B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6EE344D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213A780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50962C8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45A49B3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3DCD81B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减轻处罚</w:t>
            </w:r>
          </w:p>
        </w:tc>
        <w:tc>
          <w:tcPr>
            <w:tcW w:w="1800" w:type="dxa"/>
            <w:tcBorders>
              <w:tl2br w:val="nil"/>
              <w:tr2bl w:val="nil"/>
            </w:tcBorders>
            <w:shd w:val="clear" w:color="auto" w:fill="auto"/>
            <w:tcMar>
              <w:top w:w="15" w:type="dxa"/>
              <w:left w:w="15" w:type="dxa"/>
              <w:right w:w="15" w:type="dxa"/>
            </w:tcMar>
            <w:vAlign w:val="center"/>
          </w:tcPr>
          <w:p w14:paraId="1B340E8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25B06D5B">
            <w:pPr>
              <w:keepNext w:val="0"/>
              <w:keepLines w:val="0"/>
              <w:pageBreakBefore w:val="0"/>
              <w:widowControl w:val="0"/>
              <w:kinsoku/>
              <w:wordWrap/>
              <w:overflowPunct w:val="0"/>
              <w:topLinePunct w:val="0"/>
              <w:autoSpaceDE/>
              <w:autoSpaceDN/>
              <w:bidi w:val="0"/>
              <w:adjustRightInd/>
              <w:snapToGrid/>
              <w:spacing w:line="280" w:lineRule="exact"/>
              <w:jc w:val="left"/>
              <w:textAlignment w:val="center"/>
              <w:rPr>
                <w:rFonts w:ascii="仿宋_GB2312" w:hAnsi="宋体" w:eastAsia="仿宋_GB2312" w:cs="仿宋_GB2312"/>
                <w:kern w:val="0"/>
                <w:sz w:val="18"/>
                <w:szCs w:val="18"/>
                <w:lang w:val="en-US" w:eastAsia="zh-CN" w:bidi="ar"/>
              </w:rPr>
              <w:pPrChange w:id="3182" w:author="LV" w:date="2026-07-20T19:27:13Z">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pPr>
              </w:pPrChange>
            </w:pPr>
            <w:r>
              <w:rPr>
                <w:rFonts w:hint="eastAsia" w:ascii="仿宋_GB2312" w:hAnsi="宋体" w:eastAsia="仿宋_GB2312" w:cs="仿宋_GB2312"/>
                <w:color w:val="auto"/>
                <w:kern w:val="0"/>
                <w:sz w:val="18"/>
                <w:szCs w:val="18"/>
                <w:lang w:bidi="ar"/>
                <w:rPrChange w:id="3183" w:author="LV" w:date="2026-07-20T19:27:13Z">
                  <w:rPr>
                    <w:rFonts w:hint="eastAsia" w:ascii="仿宋_GB2312" w:hAnsi="宋体" w:eastAsia="仿宋_GB2312" w:cs="仿宋_GB2312"/>
                    <w:color w:val="000000" w:themeColor="text1"/>
                    <w:kern w:val="0"/>
                    <w:sz w:val="21"/>
                    <w:szCs w:val="21"/>
                    <w:lang w:bidi="ar"/>
                    <w14:textFill>
                      <w14:solidFill>
                        <w14:schemeClr w14:val="tx1"/>
                      </w14:solidFill>
                    </w14:textFill>
                  </w:rPr>
                </w:rPrChange>
              </w:rPr>
              <w:t>处1万元以上2万元以下的罚款</w:t>
            </w:r>
          </w:p>
        </w:tc>
      </w:tr>
      <w:tr w14:paraId="734EDA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3A93A4E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61CE3C5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4CBC1EE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383F180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5D6087B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从轻处罚</w:t>
            </w:r>
          </w:p>
        </w:tc>
        <w:tc>
          <w:tcPr>
            <w:tcW w:w="1800" w:type="dxa"/>
            <w:tcBorders>
              <w:tl2br w:val="nil"/>
              <w:tr2bl w:val="nil"/>
            </w:tcBorders>
            <w:shd w:val="clear" w:color="auto" w:fill="auto"/>
            <w:tcMar>
              <w:top w:w="15" w:type="dxa"/>
              <w:left w:w="15" w:type="dxa"/>
              <w:right w:w="15" w:type="dxa"/>
            </w:tcMar>
            <w:vAlign w:val="center"/>
          </w:tcPr>
          <w:p w14:paraId="553DDC0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限期内不能纠正违法行为，但能主动改正且违法行为造成危害后果轻微的。</w:t>
            </w:r>
          </w:p>
        </w:tc>
        <w:tc>
          <w:tcPr>
            <w:tcW w:w="2557" w:type="dxa"/>
            <w:tcBorders>
              <w:tl2br w:val="nil"/>
              <w:tr2bl w:val="nil"/>
            </w:tcBorders>
            <w:shd w:val="clear" w:color="auto" w:fill="auto"/>
            <w:tcMar>
              <w:top w:w="15" w:type="dxa"/>
              <w:left w:w="15" w:type="dxa"/>
              <w:right w:w="15" w:type="dxa"/>
            </w:tcMar>
            <w:vAlign w:val="center"/>
          </w:tcPr>
          <w:p w14:paraId="24071C7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处2万元以上4万元以下罚款。</w:t>
            </w:r>
          </w:p>
        </w:tc>
      </w:tr>
      <w:tr w14:paraId="5CFD91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1D3D38A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0AF1848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57BB11E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31AC061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0A440EB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一般处罚</w:t>
            </w:r>
          </w:p>
        </w:tc>
        <w:tc>
          <w:tcPr>
            <w:tcW w:w="1800" w:type="dxa"/>
            <w:tcBorders>
              <w:tl2br w:val="nil"/>
              <w:tr2bl w:val="nil"/>
            </w:tcBorders>
            <w:shd w:val="clear" w:color="auto" w:fill="auto"/>
            <w:tcMar>
              <w:top w:w="15" w:type="dxa"/>
              <w:left w:w="15" w:type="dxa"/>
              <w:right w:w="15" w:type="dxa"/>
            </w:tcMar>
            <w:vAlign w:val="center"/>
          </w:tcPr>
          <w:p w14:paraId="6F48B38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逾期不改正，采取了安全防护措施，但是未满足安全防护要求的。</w:t>
            </w:r>
          </w:p>
        </w:tc>
        <w:tc>
          <w:tcPr>
            <w:tcW w:w="2557" w:type="dxa"/>
            <w:tcBorders>
              <w:tl2br w:val="nil"/>
              <w:tr2bl w:val="nil"/>
            </w:tcBorders>
            <w:shd w:val="clear" w:color="auto" w:fill="auto"/>
            <w:tcMar>
              <w:top w:w="15" w:type="dxa"/>
              <w:left w:w="15" w:type="dxa"/>
              <w:right w:w="15" w:type="dxa"/>
            </w:tcMar>
            <w:vAlign w:val="center"/>
          </w:tcPr>
          <w:p w14:paraId="2B2BE83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处4万元以上8万元以下罚款。</w:t>
            </w:r>
          </w:p>
        </w:tc>
      </w:tr>
      <w:tr w14:paraId="4DCD01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695412F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1130209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00D0755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36A4011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2273C0A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从重处罚</w:t>
            </w:r>
          </w:p>
        </w:tc>
        <w:tc>
          <w:tcPr>
            <w:tcW w:w="1800" w:type="dxa"/>
            <w:tcBorders>
              <w:tl2br w:val="nil"/>
              <w:tr2bl w:val="nil"/>
            </w:tcBorders>
            <w:shd w:val="clear" w:color="auto" w:fill="auto"/>
            <w:tcMar>
              <w:top w:w="15" w:type="dxa"/>
              <w:left w:w="15" w:type="dxa"/>
              <w:right w:w="15" w:type="dxa"/>
            </w:tcMar>
            <w:vAlign w:val="center"/>
          </w:tcPr>
          <w:p w14:paraId="19A829B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逾期不改正，仍未采取必要的安全防护措施的，或者发生管道事故的。</w:t>
            </w:r>
          </w:p>
        </w:tc>
        <w:tc>
          <w:tcPr>
            <w:tcW w:w="2557" w:type="dxa"/>
            <w:tcBorders>
              <w:tl2br w:val="nil"/>
              <w:tr2bl w:val="nil"/>
            </w:tcBorders>
            <w:shd w:val="clear" w:color="auto" w:fill="auto"/>
            <w:tcMar>
              <w:top w:w="15" w:type="dxa"/>
              <w:left w:w="15" w:type="dxa"/>
              <w:right w:w="15" w:type="dxa"/>
            </w:tcMar>
            <w:vAlign w:val="center"/>
          </w:tcPr>
          <w:p w14:paraId="2C406BE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处8万元以上10万元以下罚款。</w:t>
            </w:r>
          </w:p>
        </w:tc>
      </w:tr>
      <w:tr w14:paraId="463C3C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restart"/>
            <w:tcBorders>
              <w:tl2br w:val="nil"/>
              <w:tr2bl w:val="nil"/>
            </w:tcBorders>
            <w:shd w:val="clear" w:color="auto" w:fill="auto"/>
            <w:tcMar>
              <w:top w:w="15" w:type="dxa"/>
              <w:left w:w="15" w:type="dxa"/>
              <w:right w:w="15" w:type="dxa"/>
            </w:tcMar>
            <w:vAlign w:val="center"/>
          </w:tcPr>
          <w:p w14:paraId="4F3D5DC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bidi="ar"/>
              </w:rPr>
              <w:t>2</w:t>
            </w:r>
            <w:del w:id="3184" w:author="LV" w:date="2026-07-14T17:17:36Z">
              <w:r>
                <w:rPr>
                  <w:rFonts w:hint="default" w:ascii="仿宋_GB2312" w:hAnsi="宋体" w:eastAsia="仿宋_GB2312" w:cs="仿宋_GB2312"/>
                  <w:kern w:val="0"/>
                  <w:sz w:val="18"/>
                  <w:szCs w:val="18"/>
                  <w:lang w:val="en-US" w:bidi="ar"/>
                </w:rPr>
                <w:delText>3</w:delText>
              </w:r>
            </w:del>
            <w:del w:id="3185" w:author="LV" w:date="2026-07-14T17:17:36Z">
              <w:r>
                <w:rPr>
                  <w:rFonts w:hint="default" w:ascii="仿宋_GB2312" w:hAnsi="宋体" w:eastAsia="仿宋_GB2312" w:cs="仿宋_GB2312"/>
                  <w:kern w:val="0"/>
                  <w:sz w:val="18"/>
                  <w:szCs w:val="18"/>
                  <w:lang w:val="en-US" w:eastAsia="zh-CN" w:bidi="ar"/>
                </w:rPr>
                <w:delText>6</w:delText>
              </w:r>
            </w:del>
            <w:ins w:id="3186" w:author="LV" w:date="2026-07-14T17:17:36Z">
              <w:r>
                <w:rPr>
                  <w:rFonts w:hint="eastAsia" w:ascii="仿宋_GB2312" w:hAnsi="宋体" w:eastAsia="仿宋_GB2312" w:cs="仿宋_GB2312"/>
                  <w:kern w:val="0"/>
                  <w:sz w:val="18"/>
                  <w:szCs w:val="18"/>
                  <w:lang w:val="en-US" w:eastAsia="zh-CN" w:bidi="ar"/>
                </w:rPr>
                <w:t>43</w:t>
              </w:r>
            </w:ins>
          </w:p>
        </w:tc>
        <w:tc>
          <w:tcPr>
            <w:tcW w:w="1006" w:type="dxa"/>
            <w:vMerge w:val="restart"/>
            <w:tcBorders>
              <w:tl2br w:val="nil"/>
              <w:tr2bl w:val="nil"/>
            </w:tcBorders>
            <w:shd w:val="clear" w:color="auto" w:fill="auto"/>
            <w:tcMar>
              <w:top w:w="15" w:type="dxa"/>
              <w:left w:w="15" w:type="dxa"/>
              <w:right w:w="15" w:type="dxa"/>
            </w:tcMar>
            <w:vAlign w:val="center"/>
          </w:tcPr>
          <w:p w14:paraId="3DDC381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hint="eastAsia"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bidi="ar"/>
              </w:rPr>
              <w:t>擅自重新启用已经停止运行、封存的管道，逾期不改正</w:t>
            </w:r>
            <w:r>
              <w:rPr>
                <w:rFonts w:hint="eastAsia" w:ascii="仿宋_GB2312" w:hAnsi="宋体" w:eastAsia="仿宋_GB2312" w:cs="仿宋_GB2312"/>
                <w:kern w:val="0"/>
                <w:sz w:val="18"/>
                <w:szCs w:val="18"/>
                <w:lang w:val="en-US" w:eastAsia="zh-CN" w:bidi="ar"/>
              </w:rPr>
              <w:t>的</w:t>
            </w:r>
          </w:p>
        </w:tc>
        <w:tc>
          <w:tcPr>
            <w:tcW w:w="3813" w:type="dxa"/>
            <w:vMerge w:val="restart"/>
            <w:tcBorders>
              <w:tl2br w:val="nil"/>
              <w:tr2bl w:val="nil"/>
            </w:tcBorders>
            <w:shd w:val="clear" w:color="auto" w:fill="auto"/>
            <w:tcMar>
              <w:top w:w="15" w:type="dxa"/>
              <w:left w:w="15" w:type="dxa"/>
              <w:right w:w="15" w:type="dxa"/>
            </w:tcMar>
            <w:vAlign w:val="center"/>
          </w:tcPr>
          <w:p w14:paraId="3F08952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《山东省石油天然气管道保护条例》第二十四条第二款</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停止运行、封存的管道需要重新启用的，应当按照国家有关规定检验合格，并在启用前告知原备案的管道保护主管部门。</w:t>
            </w:r>
          </w:p>
        </w:tc>
        <w:tc>
          <w:tcPr>
            <w:tcW w:w="4081" w:type="dxa"/>
            <w:vMerge w:val="restart"/>
            <w:tcBorders>
              <w:tl2br w:val="nil"/>
              <w:tr2bl w:val="nil"/>
            </w:tcBorders>
            <w:shd w:val="clear" w:color="auto" w:fill="auto"/>
            <w:tcMar>
              <w:top w:w="15" w:type="dxa"/>
              <w:left w:w="15" w:type="dxa"/>
              <w:right w:w="15" w:type="dxa"/>
            </w:tcMar>
            <w:vAlign w:val="center"/>
          </w:tcPr>
          <w:p w14:paraId="0386914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《山东省石油天然气管道保护条例》第四十四条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违反本条例规定，管道企业擅自重新启用已经停止运行、封存的管道的，由县级人民政府管道保护主管部门责令限期改正；逾期不改正的，处二万元以上十万元以下的罚款；对直接负责的主管人员和其他直接责任人员给予处分。</w:t>
            </w:r>
          </w:p>
        </w:tc>
        <w:tc>
          <w:tcPr>
            <w:tcW w:w="472" w:type="dxa"/>
            <w:tcBorders>
              <w:tl2br w:val="nil"/>
              <w:tr2bl w:val="nil"/>
            </w:tcBorders>
            <w:shd w:val="clear" w:color="auto" w:fill="auto"/>
            <w:tcMar>
              <w:top w:w="15" w:type="dxa"/>
              <w:left w:w="15" w:type="dxa"/>
              <w:right w:w="15" w:type="dxa"/>
            </w:tcMar>
            <w:vAlign w:val="center"/>
          </w:tcPr>
          <w:p w14:paraId="609BB9F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不予处罚</w:t>
            </w:r>
          </w:p>
        </w:tc>
        <w:tc>
          <w:tcPr>
            <w:tcW w:w="1800" w:type="dxa"/>
            <w:tcBorders>
              <w:tl2br w:val="nil"/>
              <w:tr2bl w:val="nil"/>
            </w:tcBorders>
            <w:shd w:val="clear" w:color="auto" w:fill="auto"/>
            <w:tcMar>
              <w:top w:w="15" w:type="dxa"/>
              <w:left w:w="15" w:type="dxa"/>
              <w:right w:w="15" w:type="dxa"/>
            </w:tcMar>
            <w:vAlign w:val="center"/>
          </w:tcPr>
          <w:p w14:paraId="2D10862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7AEBD73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43B7AC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4312D8E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3A9753C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20F47FD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50187FA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332B5D6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免予处罚</w:t>
            </w:r>
          </w:p>
        </w:tc>
        <w:tc>
          <w:tcPr>
            <w:tcW w:w="1800" w:type="dxa"/>
            <w:tcBorders>
              <w:tl2br w:val="nil"/>
              <w:tr2bl w:val="nil"/>
            </w:tcBorders>
            <w:shd w:val="clear" w:color="auto" w:fill="auto"/>
            <w:tcMar>
              <w:top w:w="15" w:type="dxa"/>
              <w:left w:w="15" w:type="dxa"/>
              <w:right w:w="15" w:type="dxa"/>
            </w:tcMar>
            <w:vAlign w:val="center"/>
          </w:tcPr>
          <w:p w14:paraId="19D56DB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2B77AC56">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7642B9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1A6E45D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4923EC8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4220509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3190FA3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1442421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减轻处罚</w:t>
            </w:r>
          </w:p>
        </w:tc>
        <w:tc>
          <w:tcPr>
            <w:tcW w:w="1800" w:type="dxa"/>
            <w:tcBorders>
              <w:tl2br w:val="nil"/>
              <w:tr2bl w:val="nil"/>
            </w:tcBorders>
            <w:shd w:val="clear" w:color="auto" w:fill="auto"/>
            <w:tcMar>
              <w:top w:w="15" w:type="dxa"/>
              <w:left w:w="15" w:type="dxa"/>
              <w:right w:w="15" w:type="dxa"/>
            </w:tcMar>
            <w:vAlign w:val="center"/>
          </w:tcPr>
          <w:p w14:paraId="368F699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5BD058D8">
            <w:pPr>
              <w:keepNext w:val="0"/>
              <w:keepLines w:val="0"/>
              <w:pageBreakBefore w:val="0"/>
              <w:widowControl w:val="0"/>
              <w:kinsoku/>
              <w:wordWrap/>
              <w:overflowPunct w:val="0"/>
              <w:topLinePunct w:val="0"/>
              <w:autoSpaceDE/>
              <w:autoSpaceDN/>
              <w:bidi w:val="0"/>
              <w:adjustRightInd/>
              <w:snapToGrid/>
              <w:spacing w:line="280" w:lineRule="exact"/>
              <w:jc w:val="left"/>
              <w:textAlignment w:val="center"/>
              <w:rPr>
                <w:rFonts w:ascii="仿宋_GB2312" w:hAnsi="宋体" w:eastAsia="仿宋_GB2312" w:cs="仿宋_GB2312"/>
                <w:kern w:val="0"/>
                <w:sz w:val="18"/>
                <w:szCs w:val="18"/>
                <w:lang w:val="en-US" w:eastAsia="zh-CN" w:bidi="ar"/>
              </w:rPr>
              <w:pPrChange w:id="3187" w:author="LV" w:date="2026-07-20T19:27:19Z">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pPr>
              </w:pPrChange>
            </w:pPr>
            <w:r>
              <w:rPr>
                <w:rFonts w:hint="eastAsia" w:ascii="仿宋_GB2312" w:hAnsi="宋体" w:eastAsia="仿宋_GB2312" w:cs="仿宋_GB2312"/>
                <w:color w:val="auto"/>
                <w:kern w:val="0"/>
                <w:sz w:val="18"/>
                <w:szCs w:val="18"/>
                <w:lang w:bidi="ar"/>
                <w:rPrChange w:id="3188" w:author="LV" w:date="2026-07-20T19:27:19Z">
                  <w:rPr>
                    <w:rFonts w:hint="eastAsia" w:ascii="仿宋_GB2312" w:hAnsi="宋体" w:eastAsia="仿宋_GB2312" w:cs="仿宋_GB2312"/>
                    <w:color w:val="000000" w:themeColor="text1"/>
                    <w:kern w:val="0"/>
                    <w:sz w:val="21"/>
                    <w:szCs w:val="21"/>
                    <w:lang w:bidi="ar"/>
                    <w14:textFill>
                      <w14:solidFill>
                        <w14:schemeClr w14:val="tx1"/>
                      </w14:solidFill>
                    </w14:textFill>
                  </w:rPr>
                </w:rPrChange>
              </w:rPr>
              <w:t>处1万元以上2万元以下的罚款</w:t>
            </w:r>
          </w:p>
        </w:tc>
      </w:tr>
      <w:tr w14:paraId="665B27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534AC91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6493D85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3CE5E86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441BCB8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7124A50F">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从轻处罚</w:t>
            </w:r>
          </w:p>
        </w:tc>
        <w:tc>
          <w:tcPr>
            <w:tcW w:w="1800" w:type="dxa"/>
            <w:tcBorders>
              <w:tl2br w:val="nil"/>
              <w:tr2bl w:val="nil"/>
            </w:tcBorders>
            <w:shd w:val="clear" w:color="auto" w:fill="auto"/>
            <w:tcMar>
              <w:top w:w="15" w:type="dxa"/>
              <w:left w:w="15" w:type="dxa"/>
              <w:right w:w="15" w:type="dxa"/>
            </w:tcMar>
            <w:vAlign w:val="center"/>
          </w:tcPr>
          <w:p w14:paraId="6824D9D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限期内不能纠正违法行为，但能主动改正且违法行为造成危害后果轻微的。</w:t>
            </w:r>
          </w:p>
        </w:tc>
        <w:tc>
          <w:tcPr>
            <w:tcW w:w="2557" w:type="dxa"/>
            <w:tcBorders>
              <w:tl2br w:val="nil"/>
              <w:tr2bl w:val="nil"/>
            </w:tcBorders>
            <w:shd w:val="clear" w:color="auto" w:fill="auto"/>
            <w:tcMar>
              <w:top w:w="15" w:type="dxa"/>
              <w:left w:w="15" w:type="dxa"/>
              <w:right w:w="15" w:type="dxa"/>
            </w:tcMar>
            <w:vAlign w:val="center"/>
          </w:tcPr>
          <w:p w14:paraId="4708240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处2万元以上4万元以下罚款。</w:t>
            </w:r>
          </w:p>
        </w:tc>
      </w:tr>
      <w:tr w14:paraId="43A2D5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1ED62C7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28817D2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2172982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6E9328E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51151D1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一般处罚</w:t>
            </w:r>
          </w:p>
        </w:tc>
        <w:tc>
          <w:tcPr>
            <w:tcW w:w="1800" w:type="dxa"/>
            <w:tcBorders>
              <w:tl2br w:val="nil"/>
              <w:tr2bl w:val="nil"/>
            </w:tcBorders>
            <w:shd w:val="clear" w:color="auto" w:fill="auto"/>
            <w:tcMar>
              <w:top w:w="15" w:type="dxa"/>
              <w:left w:w="15" w:type="dxa"/>
              <w:right w:w="15" w:type="dxa"/>
            </w:tcMar>
            <w:vAlign w:val="center"/>
          </w:tcPr>
          <w:p w14:paraId="3E1FDF4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逾期不改正，未引发管道事故的。</w:t>
            </w:r>
          </w:p>
        </w:tc>
        <w:tc>
          <w:tcPr>
            <w:tcW w:w="2557" w:type="dxa"/>
            <w:tcBorders>
              <w:tl2br w:val="nil"/>
              <w:tr2bl w:val="nil"/>
            </w:tcBorders>
            <w:shd w:val="clear" w:color="auto" w:fill="auto"/>
            <w:tcMar>
              <w:top w:w="15" w:type="dxa"/>
              <w:left w:w="15" w:type="dxa"/>
              <w:right w:w="15" w:type="dxa"/>
            </w:tcMar>
            <w:vAlign w:val="center"/>
          </w:tcPr>
          <w:p w14:paraId="6CC3154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处4万元以上8万元以下罚款。</w:t>
            </w:r>
          </w:p>
        </w:tc>
      </w:tr>
      <w:tr w14:paraId="610FEB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305D5DA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74C78B4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108FD5B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12FFE90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4936CBFF">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从重处罚</w:t>
            </w:r>
          </w:p>
        </w:tc>
        <w:tc>
          <w:tcPr>
            <w:tcW w:w="1800" w:type="dxa"/>
            <w:tcBorders>
              <w:tl2br w:val="nil"/>
              <w:tr2bl w:val="nil"/>
            </w:tcBorders>
            <w:shd w:val="clear" w:color="auto" w:fill="auto"/>
            <w:tcMar>
              <w:top w:w="15" w:type="dxa"/>
              <w:left w:w="15" w:type="dxa"/>
              <w:right w:w="15" w:type="dxa"/>
            </w:tcMar>
            <w:vAlign w:val="center"/>
          </w:tcPr>
          <w:p w14:paraId="50711FE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eastAsia="zh-CN" w:bidi="ar"/>
              </w:rPr>
            </w:pPr>
            <w:r>
              <w:rPr>
                <w:rFonts w:hint="eastAsia" w:ascii="仿宋_GB2312" w:hAnsi="宋体" w:eastAsia="仿宋_GB2312" w:cs="仿宋_GB2312"/>
                <w:kern w:val="0"/>
                <w:sz w:val="18"/>
                <w:szCs w:val="18"/>
                <w:lang w:bidi="ar"/>
              </w:rPr>
              <w:t>逾期不改正，构成管道安全隐患的，或者引发管道事故的</w:t>
            </w:r>
            <w:r>
              <w:rPr>
                <w:rFonts w:hint="eastAsia" w:ascii="仿宋_GB2312" w:hAnsi="宋体" w:eastAsia="仿宋_GB2312" w:cs="仿宋_GB2312"/>
                <w:kern w:val="0"/>
                <w:sz w:val="18"/>
                <w:szCs w:val="18"/>
                <w:lang w:eastAsia="zh-CN" w:bidi="ar"/>
              </w:rPr>
              <w:t>。</w:t>
            </w:r>
          </w:p>
        </w:tc>
        <w:tc>
          <w:tcPr>
            <w:tcW w:w="2557" w:type="dxa"/>
            <w:tcBorders>
              <w:tl2br w:val="nil"/>
              <w:tr2bl w:val="nil"/>
            </w:tcBorders>
            <w:shd w:val="clear" w:color="auto" w:fill="auto"/>
            <w:tcMar>
              <w:top w:w="15" w:type="dxa"/>
              <w:left w:w="15" w:type="dxa"/>
              <w:right w:w="15" w:type="dxa"/>
            </w:tcMar>
            <w:vAlign w:val="center"/>
          </w:tcPr>
          <w:p w14:paraId="79C1126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eastAsia="zh-CN" w:bidi="ar"/>
              </w:rPr>
            </w:pPr>
            <w:r>
              <w:rPr>
                <w:rFonts w:hint="eastAsia" w:ascii="仿宋_GB2312" w:hAnsi="宋体" w:eastAsia="仿宋_GB2312" w:cs="仿宋_GB2312"/>
                <w:kern w:val="0"/>
                <w:sz w:val="18"/>
                <w:szCs w:val="18"/>
                <w:lang w:bidi="ar"/>
              </w:rPr>
              <w:t>处8万元以上10万元以下罚款</w:t>
            </w:r>
            <w:r>
              <w:rPr>
                <w:rFonts w:hint="eastAsia" w:ascii="仿宋_GB2312" w:hAnsi="宋体" w:eastAsia="仿宋_GB2312" w:cs="仿宋_GB2312"/>
                <w:kern w:val="0"/>
                <w:sz w:val="18"/>
                <w:szCs w:val="18"/>
                <w:lang w:eastAsia="zh-CN" w:bidi="ar"/>
              </w:rPr>
              <w:t>。</w:t>
            </w:r>
          </w:p>
        </w:tc>
      </w:tr>
      <w:tr w14:paraId="57BE9B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restart"/>
            <w:tcBorders>
              <w:tl2br w:val="nil"/>
              <w:tr2bl w:val="nil"/>
            </w:tcBorders>
            <w:shd w:val="clear" w:color="auto" w:fill="auto"/>
            <w:tcMar>
              <w:top w:w="15" w:type="dxa"/>
              <w:left w:w="15" w:type="dxa"/>
              <w:right w:w="15" w:type="dxa"/>
            </w:tcMar>
            <w:vAlign w:val="center"/>
          </w:tcPr>
          <w:p w14:paraId="61C9EED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bidi="ar"/>
              </w:rPr>
              <w:t>2</w:t>
            </w:r>
            <w:del w:id="3189" w:author="LV" w:date="2026-07-14T17:17:40Z">
              <w:r>
                <w:rPr>
                  <w:rFonts w:hint="default" w:ascii="仿宋_GB2312" w:hAnsi="宋体" w:eastAsia="仿宋_GB2312" w:cs="仿宋_GB2312"/>
                  <w:kern w:val="0"/>
                  <w:sz w:val="18"/>
                  <w:szCs w:val="18"/>
                  <w:lang w:val="en-US" w:bidi="ar"/>
                </w:rPr>
                <w:delText>3</w:delText>
              </w:r>
            </w:del>
            <w:del w:id="3190" w:author="LV" w:date="2026-07-14T17:17:40Z">
              <w:r>
                <w:rPr>
                  <w:rFonts w:hint="default" w:ascii="仿宋_GB2312" w:hAnsi="宋体" w:eastAsia="仿宋_GB2312" w:cs="仿宋_GB2312"/>
                  <w:kern w:val="0"/>
                  <w:sz w:val="18"/>
                  <w:szCs w:val="18"/>
                  <w:lang w:val="en-US" w:eastAsia="zh-CN" w:bidi="ar"/>
                </w:rPr>
                <w:delText>7</w:delText>
              </w:r>
            </w:del>
            <w:ins w:id="3191" w:author="LV" w:date="2026-07-14T17:17:40Z">
              <w:r>
                <w:rPr>
                  <w:rFonts w:hint="eastAsia" w:ascii="仿宋_GB2312" w:hAnsi="宋体" w:eastAsia="仿宋_GB2312" w:cs="仿宋_GB2312"/>
                  <w:kern w:val="0"/>
                  <w:sz w:val="18"/>
                  <w:szCs w:val="18"/>
                  <w:lang w:val="en-US" w:eastAsia="zh-CN" w:bidi="ar"/>
                </w:rPr>
                <w:t>44</w:t>
              </w:r>
            </w:ins>
          </w:p>
        </w:tc>
        <w:tc>
          <w:tcPr>
            <w:tcW w:w="1006" w:type="dxa"/>
            <w:vMerge w:val="restart"/>
            <w:tcBorders>
              <w:tl2br w:val="nil"/>
              <w:tr2bl w:val="nil"/>
            </w:tcBorders>
            <w:shd w:val="clear" w:color="auto" w:fill="auto"/>
            <w:tcMar>
              <w:top w:w="15" w:type="dxa"/>
              <w:left w:w="15" w:type="dxa"/>
              <w:right w:w="15" w:type="dxa"/>
            </w:tcMar>
            <w:vAlign w:val="center"/>
          </w:tcPr>
          <w:p w14:paraId="4BCD28B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在管道的加压站、加热站、计量站、集油站、集气站、输油站、输气站、配气站、处理场、清管站、阀室、阀井、放空设施、油库、储气库、装卸栈桥、装卸场上方架设电力线路、通信线路或者在储气库构造区域范围内进行工程挖掘、工程钻探、采矿</w:t>
            </w:r>
          </w:p>
        </w:tc>
        <w:tc>
          <w:tcPr>
            <w:tcW w:w="3813" w:type="dxa"/>
            <w:vMerge w:val="restart"/>
            <w:tcBorders>
              <w:tl2br w:val="nil"/>
              <w:tr2bl w:val="nil"/>
            </w:tcBorders>
            <w:shd w:val="clear" w:color="auto" w:fill="auto"/>
            <w:tcMar>
              <w:top w:w="15" w:type="dxa"/>
              <w:left w:w="15" w:type="dxa"/>
              <w:right w:w="15" w:type="dxa"/>
            </w:tcMar>
            <w:vAlign w:val="center"/>
          </w:tcPr>
          <w:p w14:paraId="74D997F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eastAsia="zh-CN" w:bidi="ar"/>
              </w:rPr>
              <w:t>《中华人民共和国石油天然气管道保护法》</w:t>
            </w:r>
            <w:r>
              <w:rPr>
                <w:rFonts w:hint="eastAsia" w:ascii="仿宋_GB2312" w:hAnsi="宋体" w:eastAsia="仿宋_GB2312" w:cs="仿宋_GB2312"/>
                <w:kern w:val="0"/>
                <w:sz w:val="18"/>
                <w:szCs w:val="18"/>
                <w:lang w:bidi="ar"/>
              </w:rPr>
              <w:t>第二十九条</w:t>
            </w:r>
            <w:r>
              <w:rPr>
                <w:rFonts w:hint="eastAsia" w:ascii="仿宋_GB2312" w:hAnsi="宋体" w:eastAsia="仿宋_GB2312" w:cs="仿宋_GB2312"/>
                <w:kern w:val="0"/>
                <w:sz w:val="18"/>
                <w:szCs w:val="18"/>
                <w:lang w:val="en-US" w:eastAsia="zh-CN" w:bidi="ar"/>
              </w:rPr>
              <w:t xml:space="preserve"> </w:t>
            </w:r>
            <w:r>
              <w:rPr>
                <w:rFonts w:hint="eastAsia" w:ascii="仿宋_GB2312" w:hAnsi="宋体" w:eastAsia="仿宋_GB2312" w:cs="仿宋_GB2312"/>
                <w:kern w:val="0"/>
                <w:sz w:val="18"/>
                <w:szCs w:val="18"/>
                <w:lang w:bidi="ar"/>
              </w:rPr>
              <w:t>禁止在本法第五十八条第一项所列管道附属设施的上方架设电力线路、通信线路或者在储气库构造区域范围内进行工程挖掘、工程钻探、采矿。</w:t>
            </w:r>
          </w:p>
        </w:tc>
        <w:tc>
          <w:tcPr>
            <w:tcW w:w="4081" w:type="dxa"/>
            <w:vMerge w:val="restart"/>
            <w:tcBorders>
              <w:tl2br w:val="nil"/>
              <w:tr2bl w:val="nil"/>
            </w:tcBorders>
            <w:shd w:val="clear" w:color="auto" w:fill="auto"/>
            <w:tcMar>
              <w:top w:w="15" w:type="dxa"/>
              <w:left w:w="15" w:type="dxa"/>
              <w:right w:w="15" w:type="dxa"/>
            </w:tcMar>
            <w:vAlign w:val="center"/>
          </w:tcPr>
          <w:p w14:paraId="254ADB9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eastAsia="zh-CN" w:bidi="ar"/>
              </w:rPr>
              <w:t>《中华人民共和国石油天然气管道保护法》</w:t>
            </w:r>
            <w:r>
              <w:rPr>
                <w:rFonts w:hint="eastAsia" w:ascii="仿宋_GB2312" w:hAnsi="宋体" w:eastAsia="仿宋_GB2312" w:cs="仿宋_GB2312"/>
                <w:kern w:val="0"/>
                <w:sz w:val="18"/>
                <w:szCs w:val="18"/>
                <w:lang w:bidi="ar"/>
              </w:rPr>
              <w:t>第五十二条 违反本法第二十九条、第三十条、第三十二条或者第三十三条第一款的规定，实施危害管道安全行为的，由县级以上地方人民政府主管管道保护工作的部门责令停止违法行为；情节较重的，对单位处一万元以上十万元以下的罚款，对个人处二百元以上二千元以下的罚款；对违法修建的建筑物、构筑物或者其他设施限期拆除；逾期未拆除的，由县级以上地方人民政府主管管道保护工作的部门组织拆除，所需费用由违法行为人承担。</w:t>
            </w:r>
          </w:p>
        </w:tc>
        <w:tc>
          <w:tcPr>
            <w:tcW w:w="472" w:type="dxa"/>
            <w:tcBorders>
              <w:tl2br w:val="nil"/>
              <w:tr2bl w:val="nil"/>
            </w:tcBorders>
            <w:shd w:val="clear" w:color="auto" w:fill="auto"/>
            <w:tcMar>
              <w:top w:w="15" w:type="dxa"/>
              <w:left w:w="15" w:type="dxa"/>
              <w:right w:w="15" w:type="dxa"/>
            </w:tcMar>
            <w:vAlign w:val="center"/>
          </w:tcPr>
          <w:p w14:paraId="5835C66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不予处罚</w:t>
            </w:r>
          </w:p>
        </w:tc>
        <w:tc>
          <w:tcPr>
            <w:tcW w:w="1800" w:type="dxa"/>
            <w:tcBorders>
              <w:tl2br w:val="nil"/>
              <w:tr2bl w:val="nil"/>
            </w:tcBorders>
            <w:shd w:val="clear" w:color="auto" w:fill="auto"/>
            <w:tcMar>
              <w:top w:w="15" w:type="dxa"/>
              <w:left w:w="15" w:type="dxa"/>
              <w:right w:w="15" w:type="dxa"/>
            </w:tcMar>
            <w:vAlign w:val="center"/>
          </w:tcPr>
          <w:p w14:paraId="0E1BEC4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1FC7C9B3">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414230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0380204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3C279E2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2456624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2095E8A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23A40BFE">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免予处罚</w:t>
            </w:r>
          </w:p>
        </w:tc>
        <w:tc>
          <w:tcPr>
            <w:tcW w:w="1800" w:type="dxa"/>
            <w:tcBorders>
              <w:tl2br w:val="nil"/>
              <w:tr2bl w:val="nil"/>
            </w:tcBorders>
            <w:shd w:val="clear" w:color="auto" w:fill="auto"/>
            <w:tcMar>
              <w:top w:w="15" w:type="dxa"/>
              <w:left w:w="15" w:type="dxa"/>
              <w:right w:w="15" w:type="dxa"/>
            </w:tcMar>
            <w:vAlign w:val="center"/>
          </w:tcPr>
          <w:p w14:paraId="2393BDC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287E5F8F">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496297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155306E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136A496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47FB9C9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5701A33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0FEADCA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减轻处罚</w:t>
            </w:r>
          </w:p>
        </w:tc>
        <w:tc>
          <w:tcPr>
            <w:tcW w:w="1800" w:type="dxa"/>
            <w:tcBorders>
              <w:tl2br w:val="nil"/>
              <w:tr2bl w:val="nil"/>
            </w:tcBorders>
            <w:shd w:val="clear" w:color="auto" w:fill="auto"/>
            <w:tcMar>
              <w:top w:w="15" w:type="dxa"/>
              <w:left w:w="15" w:type="dxa"/>
              <w:right w:w="15" w:type="dxa"/>
            </w:tcMar>
            <w:vAlign w:val="center"/>
          </w:tcPr>
          <w:p w14:paraId="2F2C39A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53AB71E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left"/>
              <w:textAlignment w:val="center"/>
              <w:rPr>
                <w:rFonts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bidi="ar"/>
              </w:rPr>
              <w:t>对单位处</w:t>
            </w:r>
            <w:r>
              <w:rPr>
                <w:rFonts w:hint="eastAsia" w:ascii="仿宋_GB2312" w:hAnsi="宋体" w:eastAsia="仿宋_GB2312" w:cs="仿宋_GB2312"/>
                <w:kern w:val="0"/>
                <w:sz w:val="18"/>
                <w:szCs w:val="18"/>
                <w:lang w:val="en-US" w:eastAsia="zh-CN" w:bidi="ar"/>
              </w:rPr>
              <w:t>5000</w:t>
            </w:r>
            <w:r>
              <w:rPr>
                <w:rFonts w:hint="eastAsia" w:ascii="仿宋_GB2312" w:hAnsi="宋体" w:eastAsia="仿宋_GB2312" w:cs="仿宋_GB2312"/>
                <w:kern w:val="0"/>
                <w:sz w:val="18"/>
                <w:szCs w:val="18"/>
                <w:lang w:bidi="ar"/>
              </w:rPr>
              <w:t>元以上</w:t>
            </w:r>
            <w:r>
              <w:rPr>
                <w:rFonts w:hint="eastAsia" w:ascii="仿宋_GB2312" w:hAnsi="宋体" w:eastAsia="仿宋_GB2312" w:cs="仿宋_GB2312"/>
                <w:kern w:val="0"/>
                <w:sz w:val="18"/>
                <w:szCs w:val="18"/>
                <w:lang w:val="en-US" w:eastAsia="zh-CN" w:bidi="ar"/>
              </w:rPr>
              <w:t>1</w:t>
            </w:r>
            <w:r>
              <w:rPr>
                <w:rFonts w:hint="eastAsia" w:ascii="仿宋_GB2312" w:hAnsi="宋体" w:eastAsia="仿宋_GB2312" w:cs="仿宋_GB2312"/>
                <w:kern w:val="0"/>
                <w:sz w:val="18"/>
                <w:szCs w:val="18"/>
                <w:lang w:bidi="ar"/>
              </w:rPr>
              <w:t>万元以下罚款，对个人处</w:t>
            </w:r>
            <w:r>
              <w:rPr>
                <w:rFonts w:hint="eastAsia" w:ascii="仿宋_GB2312" w:hAnsi="宋体" w:eastAsia="仿宋_GB2312" w:cs="仿宋_GB2312"/>
                <w:kern w:val="0"/>
                <w:sz w:val="18"/>
                <w:szCs w:val="18"/>
                <w:lang w:val="en-US" w:eastAsia="zh-CN" w:bidi="ar"/>
              </w:rPr>
              <w:t>1</w:t>
            </w:r>
            <w:r>
              <w:rPr>
                <w:rFonts w:hint="eastAsia" w:ascii="仿宋_GB2312" w:hAnsi="宋体" w:eastAsia="仿宋_GB2312" w:cs="仿宋_GB2312"/>
                <w:kern w:val="0"/>
                <w:sz w:val="18"/>
                <w:szCs w:val="18"/>
                <w:lang w:bidi="ar"/>
              </w:rPr>
              <w:t>00元以上</w:t>
            </w:r>
            <w:r>
              <w:rPr>
                <w:rFonts w:hint="eastAsia" w:ascii="仿宋_GB2312" w:hAnsi="宋体" w:eastAsia="仿宋_GB2312" w:cs="仿宋_GB2312"/>
                <w:kern w:val="0"/>
                <w:sz w:val="18"/>
                <w:szCs w:val="18"/>
                <w:lang w:val="en-US" w:eastAsia="zh-CN" w:bidi="ar"/>
              </w:rPr>
              <w:t>4</w:t>
            </w:r>
            <w:r>
              <w:rPr>
                <w:rFonts w:hint="eastAsia" w:ascii="仿宋_GB2312" w:hAnsi="宋体" w:eastAsia="仿宋_GB2312" w:cs="仿宋_GB2312"/>
                <w:kern w:val="0"/>
                <w:sz w:val="18"/>
                <w:szCs w:val="18"/>
                <w:lang w:bidi="ar"/>
              </w:rPr>
              <w:t>00元以下罚款。</w:t>
            </w:r>
          </w:p>
        </w:tc>
      </w:tr>
      <w:tr w14:paraId="40E69A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08C32A8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2AF5A66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4A64CF0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059079D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346FDF1F">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从轻处罚</w:t>
            </w:r>
          </w:p>
        </w:tc>
        <w:tc>
          <w:tcPr>
            <w:tcW w:w="1800" w:type="dxa"/>
            <w:tcBorders>
              <w:tl2br w:val="nil"/>
              <w:tr2bl w:val="nil"/>
            </w:tcBorders>
            <w:shd w:val="clear" w:color="auto" w:fill="auto"/>
            <w:tcMar>
              <w:top w:w="15" w:type="dxa"/>
              <w:left w:w="15" w:type="dxa"/>
              <w:right w:w="15" w:type="dxa"/>
            </w:tcMar>
            <w:vAlign w:val="center"/>
          </w:tcPr>
          <w:p w14:paraId="0363E82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立即停止违法行为并改正，且主动采取措施消除违法行为危害后果。</w:t>
            </w:r>
          </w:p>
        </w:tc>
        <w:tc>
          <w:tcPr>
            <w:tcW w:w="2557" w:type="dxa"/>
            <w:tcBorders>
              <w:tl2br w:val="nil"/>
              <w:tr2bl w:val="nil"/>
            </w:tcBorders>
            <w:shd w:val="clear" w:color="auto" w:fill="auto"/>
            <w:tcMar>
              <w:top w:w="15" w:type="dxa"/>
              <w:left w:w="15" w:type="dxa"/>
              <w:right w:w="15" w:type="dxa"/>
            </w:tcMar>
            <w:vAlign w:val="center"/>
          </w:tcPr>
          <w:p w14:paraId="0A79B16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对单位处1万元以上3万元以下罚款，对个人处200元以上800元以下罚款。</w:t>
            </w:r>
          </w:p>
        </w:tc>
      </w:tr>
      <w:tr w14:paraId="39C92A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7A35B81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7F04768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6905F6B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743B07E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0C03AD0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一般处罚</w:t>
            </w:r>
          </w:p>
        </w:tc>
        <w:tc>
          <w:tcPr>
            <w:tcW w:w="1800" w:type="dxa"/>
            <w:tcBorders>
              <w:tl2br w:val="nil"/>
              <w:tr2bl w:val="nil"/>
            </w:tcBorders>
            <w:shd w:val="clear" w:color="auto" w:fill="auto"/>
            <w:tcMar>
              <w:top w:w="15" w:type="dxa"/>
              <w:left w:w="15" w:type="dxa"/>
              <w:right w:w="15" w:type="dxa"/>
            </w:tcMar>
            <w:vAlign w:val="center"/>
          </w:tcPr>
          <w:p w14:paraId="18CECCD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责令停止违法行为后继续实施违法行为的。</w:t>
            </w:r>
          </w:p>
        </w:tc>
        <w:tc>
          <w:tcPr>
            <w:tcW w:w="2557" w:type="dxa"/>
            <w:tcBorders>
              <w:tl2br w:val="nil"/>
              <w:tr2bl w:val="nil"/>
            </w:tcBorders>
            <w:shd w:val="clear" w:color="auto" w:fill="auto"/>
            <w:tcMar>
              <w:top w:w="15" w:type="dxa"/>
              <w:left w:w="15" w:type="dxa"/>
              <w:right w:w="15" w:type="dxa"/>
            </w:tcMar>
            <w:vAlign w:val="center"/>
          </w:tcPr>
          <w:p w14:paraId="05343D3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对单位处3万元以上7万元以下罚款，对个人处800元以上1500元以下罚款。</w:t>
            </w:r>
          </w:p>
          <w:p w14:paraId="519243D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对违法修建的建筑物、构筑物或者其他设施限期拆除；逾期未拆除的，强制拆除。</w:t>
            </w:r>
          </w:p>
        </w:tc>
      </w:tr>
      <w:tr w14:paraId="2E95B2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33A1AE7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4DC7151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6795EB6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2E6E854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69DCD7D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从重处罚</w:t>
            </w:r>
          </w:p>
        </w:tc>
        <w:tc>
          <w:tcPr>
            <w:tcW w:w="1800" w:type="dxa"/>
            <w:tcBorders>
              <w:tl2br w:val="nil"/>
              <w:tr2bl w:val="nil"/>
            </w:tcBorders>
            <w:shd w:val="clear" w:color="auto" w:fill="auto"/>
            <w:tcMar>
              <w:top w:w="15" w:type="dxa"/>
              <w:left w:w="15" w:type="dxa"/>
              <w:right w:w="15" w:type="dxa"/>
            </w:tcMar>
            <w:vAlign w:val="center"/>
          </w:tcPr>
          <w:p w14:paraId="4352206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构成安全隐患的，或者引发管道事故的。</w:t>
            </w:r>
          </w:p>
        </w:tc>
        <w:tc>
          <w:tcPr>
            <w:tcW w:w="2557" w:type="dxa"/>
            <w:tcBorders>
              <w:tl2br w:val="nil"/>
              <w:tr2bl w:val="nil"/>
            </w:tcBorders>
            <w:shd w:val="clear" w:color="auto" w:fill="auto"/>
            <w:tcMar>
              <w:top w:w="15" w:type="dxa"/>
              <w:left w:w="15" w:type="dxa"/>
              <w:right w:w="15" w:type="dxa"/>
            </w:tcMar>
            <w:vAlign w:val="center"/>
          </w:tcPr>
          <w:p w14:paraId="548B8D3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对单位处7万元以上10万元以下的罚款，对个人处1500元以上2000元以下罚款。</w:t>
            </w:r>
          </w:p>
        </w:tc>
      </w:tr>
      <w:tr w14:paraId="19D454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restart"/>
            <w:tcBorders>
              <w:tl2br w:val="nil"/>
              <w:tr2bl w:val="nil"/>
            </w:tcBorders>
            <w:shd w:val="clear" w:color="auto" w:fill="auto"/>
            <w:tcMar>
              <w:top w:w="15" w:type="dxa"/>
              <w:left w:w="15" w:type="dxa"/>
              <w:right w:w="15" w:type="dxa"/>
            </w:tcMar>
            <w:vAlign w:val="center"/>
          </w:tcPr>
          <w:p w14:paraId="53EAAA2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bidi="ar"/>
              </w:rPr>
              <w:t>2</w:t>
            </w:r>
            <w:del w:id="3192" w:author="LV" w:date="2026-07-14T17:17:44Z">
              <w:r>
                <w:rPr>
                  <w:rFonts w:hint="default" w:ascii="仿宋_GB2312" w:hAnsi="宋体" w:eastAsia="仿宋_GB2312" w:cs="仿宋_GB2312"/>
                  <w:kern w:val="0"/>
                  <w:sz w:val="18"/>
                  <w:szCs w:val="18"/>
                  <w:lang w:val="en-US" w:bidi="ar"/>
                </w:rPr>
                <w:delText>3</w:delText>
              </w:r>
            </w:del>
            <w:del w:id="3193" w:author="LV" w:date="2026-07-14T17:17:44Z">
              <w:r>
                <w:rPr>
                  <w:rFonts w:hint="default" w:ascii="仿宋_GB2312" w:hAnsi="宋体" w:eastAsia="仿宋_GB2312" w:cs="仿宋_GB2312"/>
                  <w:kern w:val="0"/>
                  <w:sz w:val="18"/>
                  <w:szCs w:val="18"/>
                  <w:lang w:val="en-US" w:eastAsia="zh-CN" w:bidi="ar"/>
                </w:rPr>
                <w:delText>8</w:delText>
              </w:r>
            </w:del>
            <w:ins w:id="3194" w:author="LV" w:date="2026-07-14T17:17:44Z">
              <w:r>
                <w:rPr>
                  <w:rFonts w:hint="eastAsia" w:ascii="仿宋_GB2312" w:hAnsi="宋体" w:eastAsia="仿宋_GB2312" w:cs="仿宋_GB2312"/>
                  <w:kern w:val="0"/>
                  <w:sz w:val="18"/>
                  <w:szCs w:val="18"/>
                  <w:lang w:val="en-US" w:eastAsia="zh-CN" w:bidi="ar"/>
                </w:rPr>
                <w:t>45</w:t>
              </w:r>
            </w:ins>
          </w:p>
        </w:tc>
        <w:tc>
          <w:tcPr>
            <w:tcW w:w="1006" w:type="dxa"/>
            <w:vMerge w:val="restart"/>
            <w:tcBorders>
              <w:tl2br w:val="nil"/>
              <w:tr2bl w:val="nil"/>
            </w:tcBorders>
            <w:shd w:val="clear" w:color="auto" w:fill="auto"/>
            <w:tcMar>
              <w:top w:w="15" w:type="dxa"/>
              <w:left w:w="15" w:type="dxa"/>
              <w:right w:w="15" w:type="dxa"/>
            </w:tcMar>
            <w:vAlign w:val="center"/>
          </w:tcPr>
          <w:p w14:paraId="5E0445D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r>
              <w:rPr>
                <w:rFonts w:hint="eastAsia" w:ascii="仿宋_GB2312" w:hAnsi="宋体" w:eastAsia="仿宋_GB2312" w:cs="仿宋_GB2312"/>
                <w:color w:val="auto"/>
                <w:kern w:val="0"/>
                <w:sz w:val="18"/>
                <w:szCs w:val="18"/>
                <w:lang w:bidi="ar"/>
                <w:rPrChange w:id="3195" w:author="LV" w:date="2026-07-14T17:17:48Z">
                  <w:rPr>
                    <w:rFonts w:hint="eastAsia" w:ascii="仿宋_GB2312" w:hAnsi="宋体" w:eastAsia="仿宋_GB2312" w:cs="仿宋_GB2312"/>
                    <w:color w:val="FF0000"/>
                    <w:kern w:val="0"/>
                    <w:sz w:val="18"/>
                    <w:szCs w:val="18"/>
                    <w:lang w:bidi="ar"/>
                  </w:rPr>
                </w:rPrChange>
              </w:rPr>
              <w:t>在管道线路中心线两侧各五米地域范围内实施危害管道安全的行为</w:t>
            </w:r>
          </w:p>
        </w:tc>
        <w:tc>
          <w:tcPr>
            <w:tcW w:w="3813" w:type="dxa"/>
            <w:vMerge w:val="restart"/>
            <w:tcBorders>
              <w:tl2br w:val="nil"/>
              <w:tr2bl w:val="nil"/>
            </w:tcBorders>
            <w:shd w:val="clear" w:color="auto" w:fill="auto"/>
            <w:tcMar>
              <w:top w:w="15" w:type="dxa"/>
              <w:left w:w="15" w:type="dxa"/>
              <w:right w:w="15" w:type="dxa"/>
            </w:tcMar>
            <w:vAlign w:val="center"/>
          </w:tcPr>
          <w:p w14:paraId="5713860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eastAsia="zh-CN" w:bidi="ar"/>
              </w:rPr>
              <w:t>《中华人民共和国石油天然气管道保护法》</w:t>
            </w:r>
            <w:r>
              <w:rPr>
                <w:rFonts w:hint="eastAsia" w:ascii="仿宋_GB2312" w:hAnsi="宋体" w:eastAsia="仿宋_GB2312" w:cs="仿宋_GB2312"/>
                <w:kern w:val="0"/>
                <w:sz w:val="18"/>
                <w:szCs w:val="18"/>
                <w:lang w:bidi="ar"/>
              </w:rPr>
              <w:t>第三十条</w:t>
            </w:r>
            <w:r>
              <w:rPr>
                <w:rFonts w:hint="eastAsia" w:ascii="仿宋_GB2312" w:hAnsi="宋体" w:eastAsia="仿宋_GB2312" w:cs="仿宋_GB2312"/>
                <w:kern w:val="0"/>
                <w:sz w:val="18"/>
                <w:szCs w:val="18"/>
                <w:lang w:val="en-US" w:eastAsia="zh-CN" w:bidi="ar"/>
              </w:rPr>
              <w:t xml:space="preserve"> </w:t>
            </w:r>
            <w:r>
              <w:rPr>
                <w:rFonts w:hint="eastAsia" w:ascii="仿宋_GB2312" w:hAnsi="宋体" w:eastAsia="仿宋_GB2312" w:cs="仿宋_GB2312"/>
                <w:kern w:val="0"/>
                <w:sz w:val="18"/>
                <w:szCs w:val="18"/>
                <w:lang w:bidi="ar"/>
              </w:rPr>
              <w:t>在管道线路中心线两侧各五米地域范围内，禁止下列危害管道安全的行为：（一）种植乔木、灌木、藤类、芦苇、竹子或者其他根系深达管道埋设部位可能损坏管道防腐层的深根植物；（二）取土、采石、用火、堆放重物、排放腐蚀性物质、使用机械工具进行挖掘施工；（三）挖塘、修渠、修晒场、修建水产养殖场、建温室、建家畜棚圈、建房以及修建其他建筑物、构筑物。</w:t>
            </w:r>
          </w:p>
        </w:tc>
        <w:tc>
          <w:tcPr>
            <w:tcW w:w="4081" w:type="dxa"/>
            <w:vMerge w:val="restart"/>
            <w:tcBorders>
              <w:tl2br w:val="nil"/>
              <w:tr2bl w:val="nil"/>
            </w:tcBorders>
            <w:shd w:val="clear" w:color="auto" w:fill="auto"/>
            <w:tcMar>
              <w:top w:w="15" w:type="dxa"/>
              <w:left w:w="15" w:type="dxa"/>
              <w:right w:w="15" w:type="dxa"/>
            </w:tcMar>
            <w:vAlign w:val="center"/>
          </w:tcPr>
          <w:p w14:paraId="3C2860B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eastAsia="zh-CN" w:bidi="ar"/>
              </w:rPr>
              <w:t>《中华人民共和国石油天然气管道保护法》</w:t>
            </w:r>
            <w:r>
              <w:rPr>
                <w:rFonts w:hint="eastAsia" w:ascii="仿宋_GB2312" w:hAnsi="宋体" w:eastAsia="仿宋_GB2312" w:cs="仿宋_GB2312"/>
                <w:kern w:val="0"/>
                <w:sz w:val="18"/>
                <w:szCs w:val="18"/>
                <w:lang w:bidi="ar"/>
              </w:rPr>
              <w:t xml:space="preserve">第五十二条 违反本法第二十九条、第三十条、第三十二条或者第三十三条第一款的规定，实施危害管道安全行为的，由县级以上地方人民政府主管管道保护工作的部门责令停止违法行为；情节较重的，对单位处一万元以上十万元以下的罚款，对个人处二百元以上二千元以下的罚款；对违法修建的建筑物、构筑物或者其他设施限期拆除；逾期未拆除的，由县级以上地方人民政府主管管道保护工作的部门组织拆除，所需费用由违法行为人承担。 </w:t>
            </w:r>
          </w:p>
        </w:tc>
        <w:tc>
          <w:tcPr>
            <w:tcW w:w="472" w:type="dxa"/>
            <w:tcBorders>
              <w:tl2br w:val="nil"/>
              <w:tr2bl w:val="nil"/>
            </w:tcBorders>
            <w:shd w:val="clear" w:color="auto" w:fill="auto"/>
            <w:tcMar>
              <w:top w:w="15" w:type="dxa"/>
              <w:left w:w="15" w:type="dxa"/>
              <w:right w:w="15" w:type="dxa"/>
            </w:tcMar>
            <w:vAlign w:val="center"/>
          </w:tcPr>
          <w:p w14:paraId="663B7554">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不予处罚</w:t>
            </w:r>
          </w:p>
        </w:tc>
        <w:tc>
          <w:tcPr>
            <w:tcW w:w="1800" w:type="dxa"/>
            <w:tcBorders>
              <w:tl2br w:val="nil"/>
              <w:tr2bl w:val="nil"/>
            </w:tcBorders>
            <w:shd w:val="clear" w:color="auto" w:fill="auto"/>
            <w:tcMar>
              <w:top w:w="15" w:type="dxa"/>
              <w:left w:w="15" w:type="dxa"/>
              <w:right w:w="15" w:type="dxa"/>
            </w:tcMar>
            <w:vAlign w:val="center"/>
          </w:tcPr>
          <w:p w14:paraId="10E2AE9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01832F3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4392FB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0894FC6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7A5101C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77EEEF1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1DDBDD1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0CF1443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免予处罚</w:t>
            </w:r>
          </w:p>
        </w:tc>
        <w:tc>
          <w:tcPr>
            <w:tcW w:w="1800" w:type="dxa"/>
            <w:tcBorders>
              <w:tl2br w:val="nil"/>
              <w:tr2bl w:val="nil"/>
            </w:tcBorders>
            <w:shd w:val="clear" w:color="auto" w:fill="auto"/>
            <w:tcMar>
              <w:top w:w="15" w:type="dxa"/>
              <w:left w:w="15" w:type="dxa"/>
              <w:right w:w="15" w:type="dxa"/>
            </w:tcMar>
            <w:vAlign w:val="center"/>
          </w:tcPr>
          <w:p w14:paraId="4CAED04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0834D03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6387E4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33867BD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0BABA42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6F2AAB5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56537DF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bottom w:val="single" w:color="auto" w:sz="4" w:space="0"/>
              <w:tl2br w:val="nil"/>
              <w:tr2bl w:val="nil"/>
            </w:tcBorders>
            <w:shd w:val="clear" w:color="auto" w:fill="auto"/>
            <w:tcMar>
              <w:top w:w="15" w:type="dxa"/>
              <w:left w:w="15" w:type="dxa"/>
              <w:right w:w="15" w:type="dxa"/>
            </w:tcMar>
            <w:vAlign w:val="center"/>
          </w:tcPr>
          <w:p w14:paraId="1E791BB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减轻处罚</w:t>
            </w:r>
          </w:p>
        </w:tc>
        <w:tc>
          <w:tcPr>
            <w:tcW w:w="1800" w:type="dxa"/>
            <w:tcBorders>
              <w:bottom w:val="single" w:color="auto" w:sz="4" w:space="0"/>
              <w:tl2br w:val="nil"/>
              <w:tr2bl w:val="nil"/>
            </w:tcBorders>
            <w:shd w:val="clear" w:color="auto" w:fill="auto"/>
            <w:tcMar>
              <w:top w:w="15" w:type="dxa"/>
              <w:left w:w="15" w:type="dxa"/>
              <w:right w:w="15" w:type="dxa"/>
            </w:tcMar>
            <w:vAlign w:val="center"/>
          </w:tcPr>
          <w:p w14:paraId="4F1AA9E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bottom w:val="single" w:color="auto" w:sz="4" w:space="0"/>
              <w:tl2br w:val="nil"/>
              <w:tr2bl w:val="nil"/>
            </w:tcBorders>
            <w:shd w:val="clear" w:color="auto" w:fill="auto"/>
            <w:tcMar>
              <w:top w:w="15" w:type="dxa"/>
              <w:left w:w="15" w:type="dxa"/>
              <w:right w:w="15" w:type="dxa"/>
            </w:tcMar>
            <w:vAlign w:val="center"/>
          </w:tcPr>
          <w:p w14:paraId="2315A7E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left"/>
              <w:textAlignment w:val="center"/>
              <w:rPr>
                <w:rFonts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bidi="ar"/>
              </w:rPr>
              <w:t>对单位处</w:t>
            </w:r>
            <w:r>
              <w:rPr>
                <w:rFonts w:hint="eastAsia" w:ascii="仿宋_GB2312" w:hAnsi="宋体" w:eastAsia="仿宋_GB2312" w:cs="仿宋_GB2312"/>
                <w:kern w:val="0"/>
                <w:sz w:val="18"/>
                <w:szCs w:val="18"/>
                <w:lang w:val="en-US" w:eastAsia="zh-CN" w:bidi="ar"/>
              </w:rPr>
              <w:t>5000</w:t>
            </w:r>
            <w:r>
              <w:rPr>
                <w:rFonts w:hint="eastAsia" w:ascii="仿宋_GB2312" w:hAnsi="宋体" w:eastAsia="仿宋_GB2312" w:cs="仿宋_GB2312"/>
                <w:kern w:val="0"/>
                <w:sz w:val="18"/>
                <w:szCs w:val="18"/>
                <w:lang w:bidi="ar"/>
              </w:rPr>
              <w:t>元以上</w:t>
            </w:r>
            <w:r>
              <w:rPr>
                <w:rFonts w:hint="eastAsia" w:ascii="仿宋_GB2312" w:hAnsi="宋体" w:eastAsia="仿宋_GB2312" w:cs="仿宋_GB2312"/>
                <w:kern w:val="0"/>
                <w:sz w:val="18"/>
                <w:szCs w:val="18"/>
                <w:lang w:val="en-US" w:eastAsia="zh-CN" w:bidi="ar"/>
              </w:rPr>
              <w:t>1</w:t>
            </w:r>
            <w:r>
              <w:rPr>
                <w:rFonts w:hint="eastAsia" w:ascii="仿宋_GB2312" w:hAnsi="宋体" w:eastAsia="仿宋_GB2312" w:cs="仿宋_GB2312"/>
                <w:kern w:val="0"/>
                <w:sz w:val="18"/>
                <w:szCs w:val="18"/>
                <w:lang w:bidi="ar"/>
              </w:rPr>
              <w:t>万元以下罚款，对个人处</w:t>
            </w:r>
            <w:r>
              <w:rPr>
                <w:rFonts w:hint="eastAsia" w:ascii="仿宋_GB2312" w:hAnsi="宋体" w:eastAsia="仿宋_GB2312" w:cs="仿宋_GB2312"/>
                <w:kern w:val="0"/>
                <w:sz w:val="18"/>
                <w:szCs w:val="18"/>
                <w:lang w:val="en-US" w:eastAsia="zh-CN" w:bidi="ar"/>
              </w:rPr>
              <w:t>1</w:t>
            </w:r>
            <w:r>
              <w:rPr>
                <w:rFonts w:hint="eastAsia" w:ascii="仿宋_GB2312" w:hAnsi="宋体" w:eastAsia="仿宋_GB2312" w:cs="仿宋_GB2312"/>
                <w:kern w:val="0"/>
                <w:sz w:val="18"/>
                <w:szCs w:val="18"/>
                <w:lang w:bidi="ar"/>
              </w:rPr>
              <w:t>00元以上</w:t>
            </w:r>
            <w:del w:id="3196" w:author="LV" w:date="2026-07-20T19:27:41Z">
              <w:r>
                <w:rPr>
                  <w:rFonts w:hint="default" w:ascii="仿宋_GB2312" w:hAnsi="宋体" w:eastAsia="仿宋_GB2312" w:cs="仿宋_GB2312"/>
                  <w:kern w:val="0"/>
                  <w:sz w:val="18"/>
                  <w:szCs w:val="18"/>
                  <w:lang w:val="en-US" w:eastAsia="zh-CN" w:bidi="ar"/>
                </w:rPr>
                <w:delText>4</w:delText>
              </w:r>
            </w:del>
            <w:ins w:id="3197" w:author="LV" w:date="2026-07-20T19:27:41Z">
              <w:r>
                <w:rPr>
                  <w:rFonts w:hint="eastAsia" w:ascii="仿宋_GB2312" w:hAnsi="宋体" w:eastAsia="仿宋_GB2312" w:cs="仿宋_GB2312"/>
                  <w:kern w:val="0"/>
                  <w:sz w:val="18"/>
                  <w:szCs w:val="18"/>
                  <w:lang w:val="en-US" w:eastAsia="zh-CN" w:bidi="ar"/>
                </w:rPr>
                <w:t>2</w:t>
              </w:r>
            </w:ins>
            <w:r>
              <w:rPr>
                <w:rFonts w:hint="eastAsia" w:ascii="仿宋_GB2312" w:hAnsi="宋体" w:eastAsia="仿宋_GB2312" w:cs="仿宋_GB2312"/>
                <w:kern w:val="0"/>
                <w:sz w:val="18"/>
                <w:szCs w:val="18"/>
                <w:lang w:bidi="ar"/>
              </w:rPr>
              <w:t>00元以下罚款。</w:t>
            </w:r>
          </w:p>
        </w:tc>
      </w:tr>
      <w:tr w14:paraId="165097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612E884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225C290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2EBCE2D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68A4B31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op w:val="single" w:color="auto" w:sz="4" w:space="0"/>
              <w:tl2br w:val="nil"/>
              <w:tr2bl w:val="nil"/>
            </w:tcBorders>
            <w:shd w:val="clear" w:color="auto" w:fill="auto"/>
            <w:tcMar>
              <w:top w:w="15" w:type="dxa"/>
              <w:left w:w="15" w:type="dxa"/>
              <w:right w:w="15" w:type="dxa"/>
            </w:tcMar>
            <w:vAlign w:val="center"/>
          </w:tcPr>
          <w:p w14:paraId="78C5F9F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从轻处罚</w:t>
            </w:r>
          </w:p>
        </w:tc>
        <w:tc>
          <w:tcPr>
            <w:tcW w:w="1800" w:type="dxa"/>
            <w:tcBorders>
              <w:top w:val="single" w:color="auto" w:sz="4" w:space="0"/>
              <w:tl2br w:val="nil"/>
              <w:tr2bl w:val="nil"/>
            </w:tcBorders>
            <w:shd w:val="clear" w:color="auto" w:fill="auto"/>
            <w:tcMar>
              <w:top w:w="15" w:type="dxa"/>
              <w:left w:w="15" w:type="dxa"/>
              <w:right w:w="15" w:type="dxa"/>
            </w:tcMar>
            <w:vAlign w:val="center"/>
          </w:tcPr>
          <w:p w14:paraId="723ACA3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立即停止违法行为并改正，且主动采取措施消除违法行为危害后果的。</w:t>
            </w:r>
          </w:p>
        </w:tc>
        <w:tc>
          <w:tcPr>
            <w:tcW w:w="2557" w:type="dxa"/>
            <w:tcBorders>
              <w:top w:val="single" w:color="auto" w:sz="4" w:space="0"/>
              <w:tl2br w:val="nil"/>
              <w:tr2bl w:val="nil"/>
            </w:tcBorders>
            <w:shd w:val="clear" w:color="auto" w:fill="auto"/>
            <w:tcMar>
              <w:top w:w="15" w:type="dxa"/>
              <w:left w:w="15" w:type="dxa"/>
              <w:right w:w="15" w:type="dxa"/>
            </w:tcMar>
            <w:vAlign w:val="center"/>
          </w:tcPr>
          <w:p w14:paraId="72DD41E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对单位处1万元以上3万元以下罚款，对个人处200元以上800元以下罚款。</w:t>
            </w:r>
          </w:p>
        </w:tc>
      </w:tr>
      <w:tr w14:paraId="61D77A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72BF617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0EC6E9C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166FFF8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205B729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21E2007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一般处罚</w:t>
            </w:r>
          </w:p>
        </w:tc>
        <w:tc>
          <w:tcPr>
            <w:tcW w:w="1800" w:type="dxa"/>
            <w:tcBorders>
              <w:tl2br w:val="nil"/>
              <w:tr2bl w:val="nil"/>
            </w:tcBorders>
            <w:shd w:val="clear" w:color="auto" w:fill="auto"/>
            <w:tcMar>
              <w:top w:w="15" w:type="dxa"/>
              <w:left w:w="15" w:type="dxa"/>
              <w:right w:w="15" w:type="dxa"/>
            </w:tcMar>
            <w:vAlign w:val="center"/>
          </w:tcPr>
          <w:p w14:paraId="443DA81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责令停止违法行为后继续实施违法行为的。</w:t>
            </w:r>
          </w:p>
        </w:tc>
        <w:tc>
          <w:tcPr>
            <w:tcW w:w="2557" w:type="dxa"/>
            <w:tcBorders>
              <w:tl2br w:val="nil"/>
              <w:tr2bl w:val="nil"/>
            </w:tcBorders>
            <w:shd w:val="clear" w:color="auto" w:fill="auto"/>
            <w:tcMar>
              <w:top w:w="15" w:type="dxa"/>
              <w:left w:w="15" w:type="dxa"/>
              <w:right w:w="15" w:type="dxa"/>
            </w:tcMar>
            <w:vAlign w:val="center"/>
          </w:tcPr>
          <w:p w14:paraId="014C8A3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对单位处3万元以上7万元以下罚款，对个人处800元以上1500元以下罚款。</w:t>
            </w:r>
          </w:p>
          <w:p w14:paraId="4DFC34E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对违法修建的建筑物、构筑物或者其他设施限期拆除；逾期未拆除的，强制拆除。</w:t>
            </w:r>
          </w:p>
        </w:tc>
      </w:tr>
      <w:tr w14:paraId="68B002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3A6CE6F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04DF5BF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1F425F5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485215E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2C2F039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从重处罚</w:t>
            </w:r>
          </w:p>
        </w:tc>
        <w:tc>
          <w:tcPr>
            <w:tcW w:w="1800" w:type="dxa"/>
            <w:tcBorders>
              <w:tl2br w:val="nil"/>
              <w:tr2bl w:val="nil"/>
            </w:tcBorders>
            <w:shd w:val="clear" w:color="auto" w:fill="auto"/>
            <w:tcMar>
              <w:top w:w="15" w:type="dxa"/>
              <w:left w:w="15" w:type="dxa"/>
              <w:right w:w="15" w:type="dxa"/>
            </w:tcMar>
            <w:vAlign w:val="center"/>
          </w:tcPr>
          <w:p w14:paraId="61BD834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损坏管道的，构成安全隐患的，或者引发管道事故的。</w:t>
            </w:r>
          </w:p>
        </w:tc>
        <w:tc>
          <w:tcPr>
            <w:tcW w:w="2557" w:type="dxa"/>
            <w:tcBorders>
              <w:tl2br w:val="nil"/>
              <w:tr2bl w:val="nil"/>
            </w:tcBorders>
            <w:shd w:val="clear" w:color="auto" w:fill="auto"/>
            <w:tcMar>
              <w:top w:w="15" w:type="dxa"/>
              <w:left w:w="15" w:type="dxa"/>
              <w:right w:w="15" w:type="dxa"/>
            </w:tcMar>
            <w:vAlign w:val="center"/>
          </w:tcPr>
          <w:p w14:paraId="311635F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对单位处7万元以上10万元以下罚款，对个人处1500元以上2000元以下罚款。</w:t>
            </w:r>
          </w:p>
        </w:tc>
      </w:tr>
      <w:tr w14:paraId="490A87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restart"/>
            <w:tcBorders>
              <w:tl2br w:val="nil"/>
              <w:tr2bl w:val="nil"/>
            </w:tcBorders>
            <w:shd w:val="clear" w:color="auto" w:fill="auto"/>
            <w:tcMar>
              <w:top w:w="15" w:type="dxa"/>
              <w:left w:w="15" w:type="dxa"/>
              <w:right w:w="15" w:type="dxa"/>
            </w:tcMar>
            <w:vAlign w:val="center"/>
          </w:tcPr>
          <w:p w14:paraId="1DEFDC8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bidi="ar"/>
              </w:rPr>
              <w:t>2</w:t>
            </w:r>
            <w:del w:id="3198" w:author="LV" w:date="2026-07-14T17:17:52Z">
              <w:r>
                <w:rPr>
                  <w:rFonts w:hint="default" w:ascii="仿宋_GB2312" w:hAnsi="宋体" w:eastAsia="仿宋_GB2312" w:cs="仿宋_GB2312"/>
                  <w:kern w:val="0"/>
                  <w:sz w:val="18"/>
                  <w:szCs w:val="18"/>
                  <w:lang w:val="en-US" w:bidi="ar"/>
                </w:rPr>
                <w:delText>3</w:delText>
              </w:r>
            </w:del>
            <w:del w:id="3199" w:author="LV" w:date="2026-07-14T17:17:52Z">
              <w:r>
                <w:rPr>
                  <w:rFonts w:hint="default" w:ascii="仿宋_GB2312" w:hAnsi="宋体" w:eastAsia="仿宋_GB2312" w:cs="仿宋_GB2312"/>
                  <w:kern w:val="0"/>
                  <w:sz w:val="18"/>
                  <w:szCs w:val="18"/>
                  <w:lang w:val="en-US" w:eastAsia="zh-CN" w:bidi="ar"/>
                </w:rPr>
                <w:delText>9</w:delText>
              </w:r>
            </w:del>
            <w:ins w:id="3200" w:author="LV" w:date="2026-07-14T17:17:52Z">
              <w:r>
                <w:rPr>
                  <w:rFonts w:hint="eastAsia" w:ascii="仿宋_GB2312" w:hAnsi="宋体" w:eastAsia="仿宋_GB2312" w:cs="仿宋_GB2312"/>
                  <w:kern w:val="0"/>
                  <w:sz w:val="18"/>
                  <w:szCs w:val="18"/>
                  <w:lang w:val="en-US" w:eastAsia="zh-CN" w:bidi="ar"/>
                </w:rPr>
                <w:t>4</w:t>
              </w:r>
            </w:ins>
            <w:ins w:id="3201" w:author="LV" w:date="2026-07-14T17:17:53Z">
              <w:r>
                <w:rPr>
                  <w:rFonts w:hint="eastAsia" w:ascii="仿宋_GB2312" w:hAnsi="宋体" w:eastAsia="仿宋_GB2312" w:cs="仿宋_GB2312"/>
                  <w:kern w:val="0"/>
                  <w:sz w:val="18"/>
                  <w:szCs w:val="18"/>
                  <w:lang w:val="en-US" w:eastAsia="zh-CN" w:bidi="ar"/>
                </w:rPr>
                <w:t>6</w:t>
              </w:r>
            </w:ins>
          </w:p>
        </w:tc>
        <w:tc>
          <w:tcPr>
            <w:tcW w:w="1006" w:type="dxa"/>
            <w:vMerge w:val="restart"/>
            <w:tcBorders>
              <w:tl2br w:val="nil"/>
              <w:tr2bl w:val="nil"/>
            </w:tcBorders>
            <w:shd w:val="clear" w:color="auto" w:fill="auto"/>
            <w:tcMar>
              <w:top w:w="15" w:type="dxa"/>
              <w:left w:w="15" w:type="dxa"/>
              <w:right w:w="15" w:type="dxa"/>
            </w:tcMar>
            <w:vAlign w:val="center"/>
          </w:tcPr>
          <w:p w14:paraId="7067D5D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为防洪和航道通畅而进行的养护疏浚作业除外，在穿越河流的管道线路中心线两侧各五百米地域范围内，抛锚、拖锚、挖砂、挖泥、采石、水下爆破</w:t>
            </w:r>
          </w:p>
        </w:tc>
        <w:tc>
          <w:tcPr>
            <w:tcW w:w="3813" w:type="dxa"/>
            <w:vMerge w:val="restart"/>
            <w:tcBorders>
              <w:tl2br w:val="nil"/>
              <w:tr2bl w:val="nil"/>
            </w:tcBorders>
            <w:shd w:val="clear" w:color="auto" w:fill="auto"/>
            <w:tcMar>
              <w:top w:w="15" w:type="dxa"/>
              <w:left w:w="15" w:type="dxa"/>
              <w:right w:w="15" w:type="dxa"/>
            </w:tcMar>
            <w:vAlign w:val="center"/>
          </w:tcPr>
          <w:p w14:paraId="1B0C1458">
            <w:pPr>
              <w:keepNext w:val="0"/>
              <w:keepLines w:val="0"/>
              <w:pageBreakBefore w:val="0"/>
              <w:widowControl w:val="0"/>
              <w:kinsoku/>
              <w:wordWrap/>
              <w:overflowPunct w:val="0"/>
              <w:topLinePunct w:val="0"/>
              <w:autoSpaceDE/>
              <w:autoSpaceDN/>
              <w:bidi w:val="0"/>
              <w:adjustRightInd/>
              <w:snapToGrid/>
              <w:spacing w:line="280" w:lineRule="exact"/>
              <w:jc w:val="lef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 xml:space="preserve"> </w:t>
            </w:r>
            <w:r>
              <w:rPr>
                <w:rFonts w:hint="eastAsia" w:ascii="仿宋_GB2312" w:hAnsi="宋体" w:eastAsia="仿宋_GB2312" w:cs="仿宋_GB2312"/>
                <w:kern w:val="0"/>
                <w:sz w:val="18"/>
                <w:szCs w:val="18"/>
                <w:lang w:eastAsia="zh-CN" w:bidi="ar"/>
              </w:rPr>
              <w:t>《中华人民共和国石油天然气管道保护法》</w:t>
            </w:r>
            <w:r>
              <w:rPr>
                <w:rFonts w:hint="eastAsia" w:ascii="仿宋_GB2312" w:hAnsi="宋体" w:eastAsia="仿宋_GB2312" w:cs="仿宋_GB2312"/>
                <w:kern w:val="0"/>
                <w:sz w:val="18"/>
                <w:szCs w:val="18"/>
                <w:lang w:bidi="ar"/>
              </w:rPr>
              <w:t>第三十二条</w:t>
            </w:r>
            <w:r>
              <w:rPr>
                <w:rFonts w:hint="eastAsia" w:ascii="仿宋_GB2312" w:hAnsi="宋体" w:eastAsia="仿宋_GB2312" w:cs="仿宋_GB2312"/>
                <w:kern w:val="0"/>
                <w:sz w:val="18"/>
                <w:szCs w:val="18"/>
                <w:lang w:val="en-US" w:eastAsia="zh-CN" w:bidi="ar"/>
              </w:rPr>
              <w:t xml:space="preserve"> </w:t>
            </w:r>
            <w:r>
              <w:rPr>
                <w:rFonts w:hint="eastAsia" w:ascii="仿宋_GB2312" w:hAnsi="宋体" w:eastAsia="仿宋_GB2312" w:cs="仿宋_GB2312"/>
                <w:kern w:val="0"/>
                <w:sz w:val="18"/>
                <w:szCs w:val="18"/>
                <w:lang w:bidi="ar"/>
              </w:rPr>
              <w:t>在穿越河流的管道线路中心线两侧各五百米地域范围内，禁止抛锚、拖锚、挖砂、挖泥、采石、水下爆破。但是，在保障管道安全的条件下，为防洪和航道通畅而进行的养护疏浚作业除外。</w:t>
            </w:r>
          </w:p>
        </w:tc>
        <w:tc>
          <w:tcPr>
            <w:tcW w:w="4081" w:type="dxa"/>
            <w:vMerge w:val="restart"/>
            <w:tcBorders>
              <w:tl2br w:val="nil"/>
              <w:tr2bl w:val="nil"/>
            </w:tcBorders>
            <w:shd w:val="clear" w:color="auto" w:fill="auto"/>
            <w:tcMar>
              <w:top w:w="15" w:type="dxa"/>
              <w:left w:w="15" w:type="dxa"/>
              <w:right w:w="15" w:type="dxa"/>
            </w:tcMar>
            <w:vAlign w:val="center"/>
          </w:tcPr>
          <w:p w14:paraId="332340D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eastAsia="zh-CN" w:bidi="ar"/>
              </w:rPr>
              <w:t>《中华人民共和国石油天然气管道保护法》</w:t>
            </w:r>
            <w:r>
              <w:rPr>
                <w:rFonts w:hint="eastAsia" w:ascii="仿宋_GB2312" w:hAnsi="宋体" w:eastAsia="仿宋_GB2312" w:cs="仿宋_GB2312"/>
                <w:kern w:val="0"/>
                <w:sz w:val="18"/>
                <w:szCs w:val="18"/>
                <w:lang w:bidi="ar"/>
              </w:rPr>
              <w:t>第五十二条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 xml:space="preserve">违反本法第二十九条、第三十条、第三十二条或者第三十三条第一款的规定，实施危害管道安全行为的，由县级以上地方人民政府主管管道保护工作的部门责令停止违法行为；情节较重的，对单位处一万元以上十万元以下的罚款，对个人处二百元以上二千元以下的罚款；对违法修建的建筑物、构筑物或者其他设施限期拆除；逾期未拆除的，由县级以上地方人民政府主管管道保护工作的部门组织拆除，所需费用由违法行为人承担。 </w:t>
            </w:r>
          </w:p>
        </w:tc>
        <w:tc>
          <w:tcPr>
            <w:tcW w:w="472" w:type="dxa"/>
            <w:tcBorders>
              <w:tl2br w:val="nil"/>
              <w:tr2bl w:val="nil"/>
            </w:tcBorders>
            <w:shd w:val="clear" w:color="auto" w:fill="auto"/>
            <w:tcMar>
              <w:top w:w="15" w:type="dxa"/>
              <w:left w:w="15" w:type="dxa"/>
              <w:right w:w="15" w:type="dxa"/>
            </w:tcMar>
            <w:vAlign w:val="center"/>
          </w:tcPr>
          <w:p w14:paraId="3F20E66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不予处罚</w:t>
            </w:r>
          </w:p>
        </w:tc>
        <w:tc>
          <w:tcPr>
            <w:tcW w:w="1800" w:type="dxa"/>
            <w:tcBorders>
              <w:tl2br w:val="nil"/>
              <w:tr2bl w:val="nil"/>
            </w:tcBorders>
            <w:shd w:val="clear" w:color="auto" w:fill="auto"/>
            <w:tcMar>
              <w:top w:w="15" w:type="dxa"/>
              <w:left w:w="15" w:type="dxa"/>
              <w:right w:w="15" w:type="dxa"/>
            </w:tcMar>
            <w:vAlign w:val="center"/>
          </w:tcPr>
          <w:p w14:paraId="03EA43D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51C9461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27BE90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2ABE8F1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6E80072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2542A85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1958023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7B07A55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免予处罚</w:t>
            </w:r>
          </w:p>
        </w:tc>
        <w:tc>
          <w:tcPr>
            <w:tcW w:w="1800" w:type="dxa"/>
            <w:tcBorders>
              <w:tl2br w:val="nil"/>
              <w:tr2bl w:val="nil"/>
            </w:tcBorders>
            <w:shd w:val="clear" w:color="auto" w:fill="auto"/>
            <w:tcMar>
              <w:top w:w="15" w:type="dxa"/>
              <w:left w:w="15" w:type="dxa"/>
              <w:right w:w="15" w:type="dxa"/>
            </w:tcMar>
            <w:vAlign w:val="center"/>
          </w:tcPr>
          <w:p w14:paraId="6CDCFB9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7B01551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5225D1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30EC4DE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3BA3C36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6598FE3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5A4674F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568E76C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减轻处罚</w:t>
            </w:r>
          </w:p>
        </w:tc>
        <w:tc>
          <w:tcPr>
            <w:tcW w:w="1800" w:type="dxa"/>
            <w:tcBorders>
              <w:tl2br w:val="nil"/>
              <w:tr2bl w:val="nil"/>
            </w:tcBorders>
            <w:shd w:val="clear" w:color="auto" w:fill="auto"/>
            <w:tcMar>
              <w:top w:w="15" w:type="dxa"/>
              <w:left w:w="15" w:type="dxa"/>
              <w:right w:w="15" w:type="dxa"/>
            </w:tcMar>
            <w:vAlign w:val="center"/>
          </w:tcPr>
          <w:p w14:paraId="394F437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58DAAE8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left"/>
              <w:textAlignment w:val="center"/>
              <w:rPr>
                <w:rFonts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bidi="ar"/>
              </w:rPr>
              <w:t>对单位处</w:t>
            </w:r>
            <w:r>
              <w:rPr>
                <w:rFonts w:hint="eastAsia" w:ascii="仿宋_GB2312" w:hAnsi="宋体" w:eastAsia="仿宋_GB2312" w:cs="仿宋_GB2312"/>
                <w:kern w:val="0"/>
                <w:sz w:val="18"/>
                <w:szCs w:val="18"/>
                <w:lang w:val="en-US" w:eastAsia="zh-CN" w:bidi="ar"/>
              </w:rPr>
              <w:t>5000</w:t>
            </w:r>
            <w:r>
              <w:rPr>
                <w:rFonts w:hint="eastAsia" w:ascii="仿宋_GB2312" w:hAnsi="宋体" w:eastAsia="仿宋_GB2312" w:cs="仿宋_GB2312"/>
                <w:kern w:val="0"/>
                <w:sz w:val="18"/>
                <w:szCs w:val="18"/>
                <w:lang w:bidi="ar"/>
              </w:rPr>
              <w:t>元以上</w:t>
            </w:r>
            <w:r>
              <w:rPr>
                <w:rFonts w:hint="eastAsia" w:ascii="仿宋_GB2312" w:hAnsi="宋体" w:eastAsia="仿宋_GB2312" w:cs="仿宋_GB2312"/>
                <w:kern w:val="0"/>
                <w:sz w:val="18"/>
                <w:szCs w:val="18"/>
                <w:lang w:val="en-US" w:eastAsia="zh-CN" w:bidi="ar"/>
              </w:rPr>
              <w:t>1</w:t>
            </w:r>
            <w:r>
              <w:rPr>
                <w:rFonts w:hint="eastAsia" w:ascii="仿宋_GB2312" w:hAnsi="宋体" w:eastAsia="仿宋_GB2312" w:cs="仿宋_GB2312"/>
                <w:kern w:val="0"/>
                <w:sz w:val="18"/>
                <w:szCs w:val="18"/>
                <w:lang w:bidi="ar"/>
              </w:rPr>
              <w:t>万元以下罚款，对个人处</w:t>
            </w:r>
            <w:r>
              <w:rPr>
                <w:rFonts w:hint="eastAsia" w:ascii="仿宋_GB2312" w:hAnsi="宋体" w:eastAsia="仿宋_GB2312" w:cs="仿宋_GB2312"/>
                <w:kern w:val="0"/>
                <w:sz w:val="18"/>
                <w:szCs w:val="18"/>
                <w:lang w:val="en-US" w:eastAsia="zh-CN" w:bidi="ar"/>
              </w:rPr>
              <w:t>1</w:t>
            </w:r>
            <w:r>
              <w:rPr>
                <w:rFonts w:hint="eastAsia" w:ascii="仿宋_GB2312" w:hAnsi="宋体" w:eastAsia="仿宋_GB2312" w:cs="仿宋_GB2312"/>
                <w:kern w:val="0"/>
                <w:sz w:val="18"/>
                <w:szCs w:val="18"/>
                <w:lang w:bidi="ar"/>
              </w:rPr>
              <w:t>00元以上</w:t>
            </w:r>
            <w:del w:id="3202" w:author="LV" w:date="2026-07-20T19:28:01Z">
              <w:r>
                <w:rPr>
                  <w:rFonts w:hint="default" w:ascii="仿宋_GB2312" w:hAnsi="宋体" w:eastAsia="仿宋_GB2312" w:cs="仿宋_GB2312"/>
                  <w:kern w:val="0"/>
                  <w:sz w:val="18"/>
                  <w:szCs w:val="18"/>
                  <w:lang w:val="en-US" w:eastAsia="zh-CN" w:bidi="ar"/>
                </w:rPr>
                <w:delText>4</w:delText>
              </w:r>
            </w:del>
            <w:ins w:id="3203" w:author="LV" w:date="2026-07-20T19:28:01Z">
              <w:r>
                <w:rPr>
                  <w:rFonts w:hint="eastAsia" w:ascii="仿宋_GB2312" w:hAnsi="宋体" w:eastAsia="仿宋_GB2312" w:cs="仿宋_GB2312"/>
                  <w:kern w:val="0"/>
                  <w:sz w:val="18"/>
                  <w:szCs w:val="18"/>
                  <w:lang w:val="en-US" w:eastAsia="zh-CN" w:bidi="ar"/>
                </w:rPr>
                <w:t>2</w:t>
              </w:r>
            </w:ins>
            <w:r>
              <w:rPr>
                <w:rFonts w:hint="eastAsia" w:ascii="仿宋_GB2312" w:hAnsi="宋体" w:eastAsia="仿宋_GB2312" w:cs="仿宋_GB2312"/>
                <w:kern w:val="0"/>
                <w:sz w:val="18"/>
                <w:szCs w:val="18"/>
                <w:lang w:bidi="ar"/>
              </w:rPr>
              <w:t>00元以下罚款。</w:t>
            </w:r>
          </w:p>
        </w:tc>
      </w:tr>
      <w:tr w14:paraId="128BCD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632B266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53CEF42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008CD91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3378375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65688F3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从轻处罚</w:t>
            </w:r>
          </w:p>
        </w:tc>
        <w:tc>
          <w:tcPr>
            <w:tcW w:w="1800" w:type="dxa"/>
            <w:tcBorders>
              <w:tl2br w:val="nil"/>
              <w:tr2bl w:val="nil"/>
            </w:tcBorders>
            <w:shd w:val="clear" w:color="auto" w:fill="auto"/>
            <w:tcMar>
              <w:top w:w="15" w:type="dxa"/>
              <w:left w:w="15" w:type="dxa"/>
              <w:right w:w="15" w:type="dxa"/>
            </w:tcMar>
            <w:vAlign w:val="center"/>
          </w:tcPr>
          <w:p w14:paraId="6760BC1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立即停止违法行为并改正，且主动采取措施消除违法行为危害后果的。</w:t>
            </w:r>
          </w:p>
        </w:tc>
        <w:tc>
          <w:tcPr>
            <w:tcW w:w="2557" w:type="dxa"/>
            <w:tcBorders>
              <w:tl2br w:val="nil"/>
              <w:tr2bl w:val="nil"/>
            </w:tcBorders>
            <w:shd w:val="clear" w:color="auto" w:fill="auto"/>
            <w:tcMar>
              <w:top w:w="15" w:type="dxa"/>
              <w:left w:w="15" w:type="dxa"/>
              <w:right w:w="15" w:type="dxa"/>
            </w:tcMar>
            <w:vAlign w:val="center"/>
          </w:tcPr>
          <w:p w14:paraId="6B8FF1D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对单位处1万元以上3万元以下罚款，对个人处200元以上800元以下罚款。</w:t>
            </w:r>
          </w:p>
        </w:tc>
      </w:tr>
      <w:tr w14:paraId="186EBF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727809F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46AA986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26DBD8B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2577F9C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27FE79C4">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一般处罚</w:t>
            </w:r>
          </w:p>
        </w:tc>
        <w:tc>
          <w:tcPr>
            <w:tcW w:w="1800" w:type="dxa"/>
            <w:tcBorders>
              <w:tl2br w:val="nil"/>
              <w:tr2bl w:val="nil"/>
            </w:tcBorders>
            <w:shd w:val="clear" w:color="auto" w:fill="auto"/>
            <w:tcMar>
              <w:top w:w="15" w:type="dxa"/>
              <w:left w:w="15" w:type="dxa"/>
              <w:right w:w="15" w:type="dxa"/>
            </w:tcMar>
            <w:vAlign w:val="center"/>
          </w:tcPr>
          <w:p w14:paraId="0351FF6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责令停止违法行为后继续实施违法行为的。</w:t>
            </w:r>
          </w:p>
        </w:tc>
        <w:tc>
          <w:tcPr>
            <w:tcW w:w="2557" w:type="dxa"/>
            <w:tcBorders>
              <w:tl2br w:val="nil"/>
              <w:tr2bl w:val="nil"/>
            </w:tcBorders>
            <w:shd w:val="clear" w:color="auto" w:fill="auto"/>
            <w:tcMar>
              <w:top w:w="15" w:type="dxa"/>
              <w:left w:w="15" w:type="dxa"/>
              <w:right w:w="15" w:type="dxa"/>
            </w:tcMar>
            <w:vAlign w:val="center"/>
          </w:tcPr>
          <w:p w14:paraId="2E088D7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对单位处3万元以上7万元以下罚款，对个人处800元以上1500元以下罚款。</w:t>
            </w:r>
          </w:p>
          <w:p w14:paraId="3971CC4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对违法修建的建筑物、构筑物或者其他设施限期拆除；逾期未拆除的，强制拆除。</w:t>
            </w:r>
          </w:p>
        </w:tc>
      </w:tr>
      <w:tr w14:paraId="174896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69A7EEE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6D5B208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3BC3E98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453D916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7FA3685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从重处罚</w:t>
            </w:r>
          </w:p>
        </w:tc>
        <w:tc>
          <w:tcPr>
            <w:tcW w:w="1800" w:type="dxa"/>
            <w:tcBorders>
              <w:tl2br w:val="nil"/>
              <w:tr2bl w:val="nil"/>
            </w:tcBorders>
            <w:shd w:val="clear" w:color="auto" w:fill="auto"/>
            <w:tcMar>
              <w:top w:w="15" w:type="dxa"/>
              <w:left w:w="15" w:type="dxa"/>
              <w:right w:w="15" w:type="dxa"/>
            </w:tcMar>
            <w:vAlign w:val="center"/>
          </w:tcPr>
          <w:p w14:paraId="46C811D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损坏管道的，构成安全隐患的，或者引发管道事故的。</w:t>
            </w:r>
          </w:p>
        </w:tc>
        <w:tc>
          <w:tcPr>
            <w:tcW w:w="2557" w:type="dxa"/>
            <w:tcBorders>
              <w:tl2br w:val="nil"/>
              <w:tr2bl w:val="nil"/>
            </w:tcBorders>
            <w:shd w:val="clear" w:color="auto" w:fill="auto"/>
            <w:tcMar>
              <w:top w:w="15" w:type="dxa"/>
              <w:left w:w="15" w:type="dxa"/>
              <w:right w:w="15" w:type="dxa"/>
            </w:tcMar>
            <w:vAlign w:val="center"/>
          </w:tcPr>
          <w:p w14:paraId="7CD028B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对单位处7万元以上10万元以下罚款，对个人处1500元以上2000元以下罚款。</w:t>
            </w:r>
          </w:p>
        </w:tc>
      </w:tr>
      <w:tr w14:paraId="1B6D39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restart"/>
            <w:tcBorders>
              <w:tl2br w:val="nil"/>
              <w:tr2bl w:val="nil"/>
            </w:tcBorders>
            <w:shd w:val="clear" w:color="auto" w:fill="auto"/>
            <w:tcMar>
              <w:top w:w="15" w:type="dxa"/>
              <w:left w:w="15" w:type="dxa"/>
              <w:right w:w="15" w:type="dxa"/>
            </w:tcMar>
            <w:vAlign w:val="center"/>
          </w:tcPr>
          <w:p w14:paraId="786E113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bidi="ar"/>
              </w:rPr>
              <w:t>2</w:t>
            </w:r>
            <w:r>
              <w:rPr>
                <w:rFonts w:hint="eastAsia" w:ascii="仿宋_GB2312" w:hAnsi="宋体" w:eastAsia="仿宋_GB2312" w:cs="仿宋_GB2312"/>
                <w:kern w:val="0"/>
                <w:sz w:val="18"/>
                <w:szCs w:val="18"/>
                <w:lang w:val="en-US" w:eastAsia="zh-CN" w:bidi="ar"/>
              </w:rPr>
              <w:t>4</w:t>
            </w:r>
            <w:del w:id="3204" w:author="LV" w:date="2026-07-14T17:17:59Z">
              <w:r>
                <w:rPr>
                  <w:rFonts w:hint="default" w:ascii="仿宋_GB2312" w:hAnsi="宋体" w:eastAsia="仿宋_GB2312" w:cs="仿宋_GB2312"/>
                  <w:kern w:val="0"/>
                  <w:sz w:val="18"/>
                  <w:szCs w:val="18"/>
                  <w:lang w:val="en-US" w:eastAsia="zh-CN" w:bidi="ar"/>
                </w:rPr>
                <w:delText>0</w:delText>
              </w:r>
            </w:del>
            <w:ins w:id="3205" w:author="LV" w:date="2026-07-14T17:17:59Z">
              <w:r>
                <w:rPr>
                  <w:rFonts w:hint="eastAsia" w:ascii="仿宋_GB2312" w:hAnsi="宋体" w:eastAsia="仿宋_GB2312" w:cs="仿宋_GB2312"/>
                  <w:kern w:val="0"/>
                  <w:sz w:val="18"/>
                  <w:szCs w:val="18"/>
                  <w:lang w:val="en-US" w:eastAsia="zh-CN" w:bidi="ar"/>
                </w:rPr>
                <w:t>7</w:t>
              </w:r>
            </w:ins>
          </w:p>
        </w:tc>
        <w:tc>
          <w:tcPr>
            <w:tcW w:w="1006" w:type="dxa"/>
            <w:vMerge w:val="restart"/>
            <w:tcBorders>
              <w:tl2br w:val="nil"/>
              <w:tr2bl w:val="nil"/>
            </w:tcBorders>
            <w:shd w:val="clear" w:color="auto" w:fill="auto"/>
            <w:tcMar>
              <w:top w:w="15" w:type="dxa"/>
              <w:left w:w="15" w:type="dxa"/>
              <w:right w:w="15" w:type="dxa"/>
            </w:tcMar>
            <w:vAlign w:val="center"/>
          </w:tcPr>
          <w:p w14:paraId="24B243B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非经管道所在地县级人民政府主管管道保护工作的部门批准的，因修建铁路、公路、水利工程等公共工程在管道专用隧道中心线两侧各一千米地域范围内采石、采矿、爆破</w:t>
            </w:r>
          </w:p>
        </w:tc>
        <w:tc>
          <w:tcPr>
            <w:tcW w:w="3813" w:type="dxa"/>
            <w:vMerge w:val="restart"/>
            <w:tcBorders>
              <w:tl2br w:val="nil"/>
              <w:tr2bl w:val="nil"/>
            </w:tcBorders>
            <w:shd w:val="clear" w:color="auto" w:fill="auto"/>
            <w:tcMar>
              <w:top w:w="15" w:type="dxa"/>
              <w:left w:w="15" w:type="dxa"/>
              <w:right w:w="15" w:type="dxa"/>
            </w:tcMar>
            <w:vAlign w:val="center"/>
          </w:tcPr>
          <w:p w14:paraId="4545D6B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 xml:space="preserve"> </w:t>
            </w:r>
            <w:r>
              <w:rPr>
                <w:rFonts w:hint="eastAsia" w:ascii="仿宋_GB2312" w:hAnsi="宋体" w:eastAsia="仿宋_GB2312" w:cs="仿宋_GB2312"/>
                <w:kern w:val="0"/>
                <w:sz w:val="18"/>
                <w:szCs w:val="18"/>
                <w:lang w:eastAsia="zh-CN" w:bidi="ar"/>
              </w:rPr>
              <w:t>《中华人民共和国石油天然气管道保护法》</w:t>
            </w:r>
            <w:r>
              <w:rPr>
                <w:rFonts w:hint="eastAsia" w:ascii="仿宋_GB2312" w:hAnsi="宋体" w:eastAsia="仿宋_GB2312" w:cs="仿宋_GB2312"/>
                <w:kern w:val="0"/>
                <w:sz w:val="18"/>
                <w:szCs w:val="18"/>
                <w:lang w:bidi="ar"/>
              </w:rPr>
              <w:t>第三十三条</w:t>
            </w:r>
            <w:r>
              <w:rPr>
                <w:rFonts w:hint="eastAsia" w:ascii="仿宋_GB2312" w:hAnsi="宋体" w:eastAsia="仿宋_GB2312" w:cs="仿宋_GB2312"/>
                <w:kern w:val="0"/>
                <w:sz w:val="18"/>
                <w:szCs w:val="18"/>
                <w:lang w:val="en-US" w:eastAsia="zh-CN" w:bidi="ar"/>
              </w:rPr>
              <w:t xml:space="preserve"> </w:t>
            </w:r>
            <w:r>
              <w:rPr>
                <w:rFonts w:hint="eastAsia" w:ascii="仿宋_GB2312" w:hAnsi="宋体" w:eastAsia="仿宋_GB2312" w:cs="仿宋_GB2312"/>
                <w:kern w:val="0"/>
                <w:sz w:val="18"/>
                <w:szCs w:val="18"/>
                <w:lang w:bidi="ar"/>
              </w:rPr>
              <w:t>在管道专用隧道中心线两侧各一千米地域范围内，除本条第二款规定的情形外，禁止采石、采矿、爆破。</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 xml:space="preserve"> 在前款规定的地域范围内，因修建铁路、公路、水利工程等公共工程，确需实施采石、爆破作业的，应当经管道所在地县级人民政府主管管道保护工作的部门批准，并采取必要的安全防护措施，方可实施。</w:t>
            </w:r>
          </w:p>
        </w:tc>
        <w:tc>
          <w:tcPr>
            <w:tcW w:w="4081" w:type="dxa"/>
            <w:vMerge w:val="restart"/>
            <w:tcBorders>
              <w:tl2br w:val="nil"/>
              <w:tr2bl w:val="nil"/>
            </w:tcBorders>
            <w:shd w:val="clear" w:color="auto" w:fill="auto"/>
            <w:tcMar>
              <w:top w:w="15" w:type="dxa"/>
              <w:left w:w="15" w:type="dxa"/>
              <w:right w:w="15" w:type="dxa"/>
            </w:tcMar>
            <w:vAlign w:val="center"/>
          </w:tcPr>
          <w:p w14:paraId="1963F21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eastAsia="zh-CN" w:bidi="ar"/>
              </w:rPr>
              <w:t>《中华人民共和国石油天然气管道保护法》</w:t>
            </w:r>
            <w:r>
              <w:rPr>
                <w:rFonts w:hint="eastAsia" w:ascii="仿宋_GB2312" w:hAnsi="宋体" w:eastAsia="仿宋_GB2312" w:cs="仿宋_GB2312"/>
                <w:kern w:val="0"/>
                <w:sz w:val="18"/>
                <w:szCs w:val="18"/>
                <w:lang w:bidi="ar"/>
              </w:rPr>
              <w:t>第五十二条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违反本法第二十九条、第三十条、第三十二条或者第三十三条第一款的规定，实施危害管道安全行为的，由县级以上地方人民政府主管管道保护工作的部门责令停止违法行为；情节较重的，对单位处一万元以上十万元以下的罚款，对个人处二百元以上二千元以下的罚款；对违法修建的建筑物、构筑物或者其他设施限期拆除；逾期未拆除的，由县级以上地方人民政府主管管道保护工作的部门组织拆除，所需费用由违法行为人承担。</w:t>
            </w:r>
          </w:p>
        </w:tc>
        <w:tc>
          <w:tcPr>
            <w:tcW w:w="472" w:type="dxa"/>
            <w:tcBorders>
              <w:tl2br w:val="nil"/>
              <w:tr2bl w:val="nil"/>
            </w:tcBorders>
            <w:shd w:val="clear" w:color="auto" w:fill="auto"/>
            <w:tcMar>
              <w:top w:w="15" w:type="dxa"/>
              <w:left w:w="15" w:type="dxa"/>
              <w:right w:w="15" w:type="dxa"/>
            </w:tcMar>
            <w:vAlign w:val="center"/>
          </w:tcPr>
          <w:p w14:paraId="0F0A3A7D">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不予处罚</w:t>
            </w:r>
          </w:p>
        </w:tc>
        <w:tc>
          <w:tcPr>
            <w:tcW w:w="1800" w:type="dxa"/>
            <w:tcBorders>
              <w:tl2br w:val="nil"/>
              <w:tr2bl w:val="nil"/>
            </w:tcBorders>
            <w:shd w:val="clear" w:color="auto" w:fill="auto"/>
            <w:tcMar>
              <w:top w:w="15" w:type="dxa"/>
              <w:left w:w="15" w:type="dxa"/>
              <w:right w:w="15" w:type="dxa"/>
            </w:tcMar>
            <w:vAlign w:val="center"/>
          </w:tcPr>
          <w:p w14:paraId="44C4087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66272C2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18BAD7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081956B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50FD57F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7077CB1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7FDCC73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3E6C659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免予处罚</w:t>
            </w:r>
          </w:p>
        </w:tc>
        <w:tc>
          <w:tcPr>
            <w:tcW w:w="1800" w:type="dxa"/>
            <w:tcBorders>
              <w:tl2br w:val="nil"/>
              <w:tr2bl w:val="nil"/>
            </w:tcBorders>
            <w:shd w:val="clear" w:color="auto" w:fill="auto"/>
            <w:tcMar>
              <w:top w:w="15" w:type="dxa"/>
              <w:left w:w="15" w:type="dxa"/>
              <w:right w:w="15" w:type="dxa"/>
            </w:tcMar>
            <w:vAlign w:val="center"/>
          </w:tcPr>
          <w:p w14:paraId="135CA51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3A8EFCE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52C0D4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27CB238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323A8EA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0E3CCE4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3182BC8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21B0657E">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减轻处罚</w:t>
            </w:r>
          </w:p>
        </w:tc>
        <w:tc>
          <w:tcPr>
            <w:tcW w:w="1800" w:type="dxa"/>
            <w:tcBorders>
              <w:tl2br w:val="nil"/>
              <w:tr2bl w:val="nil"/>
            </w:tcBorders>
            <w:shd w:val="clear" w:color="auto" w:fill="auto"/>
            <w:tcMar>
              <w:top w:w="15" w:type="dxa"/>
              <w:left w:w="15" w:type="dxa"/>
              <w:right w:w="15" w:type="dxa"/>
            </w:tcMar>
            <w:vAlign w:val="center"/>
          </w:tcPr>
          <w:p w14:paraId="53F7D3F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01CA4AF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lef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对单位处</w:t>
            </w:r>
            <w:r>
              <w:rPr>
                <w:rFonts w:hint="eastAsia" w:ascii="仿宋_GB2312" w:hAnsi="宋体" w:eastAsia="仿宋_GB2312" w:cs="仿宋_GB2312"/>
                <w:kern w:val="0"/>
                <w:sz w:val="18"/>
                <w:szCs w:val="18"/>
                <w:lang w:val="en-US" w:eastAsia="zh-CN" w:bidi="ar"/>
              </w:rPr>
              <w:t>5000</w:t>
            </w:r>
            <w:r>
              <w:rPr>
                <w:rFonts w:hint="eastAsia" w:ascii="仿宋_GB2312" w:hAnsi="宋体" w:eastAsia="仿宋_GB2312" w:cs="仿宋_GB2312"/>
                <w:kern w:val="0"/>
                <w:sz w:val="18"/>
                <w:szCs w:val="18"/>
                <w:lang w:bidi="ar"/>
              </w:rPr>
              <w:t>元以上</w:t>
            </w:r>
            <w:r>
              <w:rPr>
                <w:rFonts w:hint="eastAsia" w:ascii="仿宋_GB2312" w:hAnsi="宋体" w:eastAsia="仿宋_GB2312" w:cs="仿宋_GB2312"/>
                <w:kern w:val="0"/>
                <w:sz w:val="18"/>
                <w:szCs w:val="18"/>
                <w:lang w:val="en-US" w:eastAsia="zh-CN" w:bidi="ar"/>
              </w:rPr>
              <w:t>1</w:t>
            </w:r>
            <w:r>
              <w:rPr>
                <w:rFonts w:hint="eastAsia" w:ascii="仿宋_GB2312" w:hAnsi="宋体" w:eastAsia="仿宋_GB2312" w:cs="仿宋_GB2312"/>
                <w:kern w:val="0"/>
                <w:sz w:val="18"/>
                <w:szCs w:val="18"/>
                <w:lang w:bidi="ar"/>
              </w:rPr>
              <w:t>万元以下罚款，对个人处</w:t>
            </w:r>
            <w:r>
              <w:rPr>
                <w:rFonts w:hint="eastAsia" w:ascii="仿宋_GB2312" w:hAnsi="宋体" w:eastAsia="仿宋_GB2312" w:cs="仿宋_GB2312"/>
                <w:kern w:val="0"/>
                <w:sz w:val="18"/>
                <w:szCs w:val="18"/>
                <w:lang w:val="en-US" w:eastAsia="zh-CN" w:bidi="ar"/>
              </w:rPr>
              <w:t>1</w:t>
            </w:r>
            <w:r>
              <w:rPr>
                <w:rFonts w:hint="eastAsia" w:ascii="仿宋_GB2312" w:hAnsi="宋体" w:eastAsia="仿宋_GB2312" w:cs="仿宋_GB2312"/>
                <w:kern w:val="0"/>
                <w:sz w:val="18"/>
                <w:szCs w:val="18"/>
                <w:lang w:bidi="ar"/>
              </w:rPr>
              <w:t>00元以上</w:t>
            </w:r>
            <w:del w:id="3206" w:author="LV" w:date="2026-07-20T19:28:08Z">
              <w:r>
                <w:rPr>
                  <w:rFonts w:hint="default" w:ascii="仿宋_GB2312" w:hAnsi="宋体" w:eastAsia="仿宋_GB2312" w:cs="仿宋_GB2312"/>
                  <w:kern w:val="0"/>
                  <w:sz w:val="18"/>
                  <w:szCs w:val="18"/>
                  <w:lang w:val="en-US" w:eastAsia="zh-CN" w:bidi="ar"/>
                </w:rPr>
                <w:delText>4</w:delText>
              </w:r>
            </w:del>
            <w:ins w:id="3207" w:author="LV" w:date="2026-07-20T19:28:08Z">
              <w:r>
                <w:rPr>
                  <w:rFonts w:hint="eastAsia" w:ascii="仿宋_GB2312" w:hAnsi="宋体" w:eastAsia="仿宋_GB2312" w:cs="仿宋_GB2312"/>
                  <w:kern w:val="0"/>
                  <w:sz w:val="18"/>
                  <w:szCs w:val="18"/>
                  <w:lang w:val="en-US" w:eastAsia="zh-CN" w:bidi="ar"/>
                </w:rPr>
                <w:t>2</w:t>
              </w:r>
            </w:ins>
            <w:r>
              <w:rPr>
                <w:rFonts w:hint="eastAsia" w:ascii="仿宋_GB2312" w:hAnsi="宋体" w:eastAsia="仿宋_GB2312" w:cs="仿宋_GB2312"/>
                <w:kern w:val="0"/>
                <w:sz w:val="18"/>
                <w:szCs w:val="18"/>
                <w:lang w:bidi="ar"/>
              </w:rPr>
              <w:t>00元以下罚款。</w:t>
            </w:r>
          </w:p>
        </w:tc>
      </w:tr>
      <w:tr w14:paraId="7CDBD9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62FB295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3CF4109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60134D2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0CCBDB8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77F8D2D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从轻处罚</w:t>
            </w:r>
          </w:p>
        </w:tc>
        <w:tc>
          <w:tcPr>
            <w:tcW w:w="1800" w:type="dxa"/>
            <w:tcBorders>
              <w:tl2br w:val="nil"/>
              <w:tr2bl w:val="nil"/>
            </w:tcBorders>
            <w:shd w:val="clear" w:color="auto" w:fill="auto"/>
            <w:tcMar>
              <w:top w:w="15" w:type="dxa"/>
              <w:left w:w="15" w:type="dxa"/>
              <w:right w:w="15" w:type="dxa"/>
            </w:tcMar>
            <w:vAlign w:val="center"/>
          </w:tcPr>
          <w:p w14:paraId="11D512B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立即停止违法行为并改正，且主动采取措施消除违法行为危害后果的。</w:t>
            </w:r>
          </w:p>
        </w:tc>
        <w:tc>
          <w:tcPr>
            <w:tcW w:w="2557" w:type="dxa"/>
            <w:tcBorders>
              <w:tl2br w:val="nil"/>
              <w:tr2bl w:val="nil"/>
            </w:tcBorders>
            <w:shd w:val="clear" w:color="auto" w:fill="auto"/>
            <w:tcMar>
              <w:top w:w="15" w:type="dxa"/>
              <w:left w:w="15" w:type="dxa"/>
              <w:right w:w="15" w:type="dxa"/>
            </w:tcMar>
            <w:vAlign w:val="center"/>
          </w:tcPr>
          <w:p w14:paraId="0015CC5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对单位处1万元以上3万元以下罚款，对个人处200元以上800元以下罚款。</w:t>
            </w:r>
          </w:p>
          <w:p w14:paraId="70C5951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对违法修建的建筑物、构筑物或者其他设施限期拆除；逾期未拆除的，强制拆除。</w:t>
            </w:r>
          </w:p>
        </w:tc>
      </w:tr>
      <w:tr w14:paraId="5FB029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1E82F83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4D19A05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550960F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27AB47D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100432AD">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一般处罚</w:t>
            </w:r>
          </w:p>
        </w:tc>
        <w:tc>
          <w:tcPr>
            <w:tcW w:w="1800" w:type="dxa"/>
            <w:tcBorders>
              <w:tl2br w:val="nil"/>
              <w:tr2bl w:val="nil"/>
            </w:tcBorders>
            <w:shd w:val="clear" w:color="auto" w:fill="auto"/>
            <w:tcMar>
              <w:top w:w="15" w:type="dxa"/>
              <w:left w:w="15" w:type="dxa"/>
              <w:right w:w="15" w:type="dxa"/>
            </w:tcMar>
            <w:vAlign w:val="center"/>
          </w:tcPr>
          <w:p w14:paraId="6C67234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责令停止违法行为后继续实施违法行为的。</w:t>
            </w:r>
          </w:p>
        </w:tc>
        <w:tc>
          <w:tcPr>
            <w:tcW w:w="2557" w:type="dxa"/>
            <w:tcBorders>
              <w:tl2br w:val="nil"/>
              <w:tr2bl w:val="nil"/>
            </w:tcBorders>
            <w:shd w:val="clear" w:color="auto" w:fill="auto"/>
            <w:tcMar>
              <w:top w:w="15" w:type="dxa"/>
              <w:left w:w="15" w:type="dxa"/>
              <w:right w:w="15" w:type="dxa"/>
            </w:tcMar>
            <w:vAlign w:val="center"/>
          </w:tcPr>
          <w:p w14:paraId="51DCE7A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对单位处3万元以上7万元以下罚款，对个人处800元以上1500元以下罚款。</w:t>
            </w:r>
          </w:p>
          <w:p w14:paraId="7B97CBE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对违法修建的建筑物、构筑物或者其他设施限期拆除；逾期未拆除的，强制拆除。</w:t>
            </w:r>
          </w:p>
        </w:tc>
      </w:tr>
      <w:tr w14:paraId="1908AB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6AEB8C1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347F746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478C283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3F0045A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009926EF">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从重处罚</w:t>
            </w:r>
          </w:p>
        </w:tc>
        <w:tc>
          <w:tcPr>
            <w:tcW w:w="1800" w:type="dxa"/>
            <w:tcBorders>
              <w:tl2br w:val="nil"/>
              <w:tr2bl w:val="nil"/>
            </w:tcBorders>
            <w:shd w:val="clear" w:color="auto" w:fill="auto"/>
            <w:tcMar>
              <w:top w:w="15" w:type="dxa"/>
              <w:left w:w="15" w:type="dxa"/>
              <w:right w:w="15" w:type="dxa"/>
            </w:tcMar>
            <w:vAlign w:val="center"/>
          </w:tcPr>
          <w:p w14:paraId="1B5E74A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损坏管道专用隧道的，构成安全隐患的，或者引发管道事故的</w:t>
            </w:r>
          </w:p>
        </w:tc>
        <w:tc>
          <w:tcPr>
            <w:tcW w:w="2557" w:type="dxa"/>
            <w:tcBorders>
              <w:tl2br w:val="nil"/>
              <w:tr2bl w:val="nil"/>
            </w:tcBorders>
            <w:shd w:val="clear" w:color="auto" w:fill="auto"/>
            <w:tcMar>
              <w:top w:w="15" w:type="dxa"/>
              <w:left w:w="15" w:type="dxa"/>
              <w:right w:w="15" w:type="dxa"/>
            </w:tcMar>
            <w:vAlign w:val="center"/>
          </w:tcPr>
          <w:p w14:paraId="11F74E5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对单位处7万元以上10万元以下罚款，对个人处1500元以上2000元以下罚款。</w:t>
            </w:r>
          </w:p>
          <w:p w14:paraId="2571E57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对违法修建的建筑物、构筑物或者其他设施限期拆除；逾期未拆除的，强制拆除。</w:t>
            </w:r>
          </w:p>
          <w:p w14:paraId="1EE7F0F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r>
      <w:tr w14:paraId="639867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29" w:type="dxa"/>
            <w:vMerge w:val="restart"/>
            <w:tcBorders>
              <w:tl2br w:val="nil"/>
              <w:tr2bl w:val="nil"/>
            </w:tcBorders>
            <w:shd w:val="clear" w:color="auto" w:fill="auto"/>
            <w:tcMar>
              <w:top w:w="15" w:type="dxa"/>
              <w:left w:w="15" w:type="dxa"/>
              <w:right w:w="15" w:type="dxa"/>
            </w:tcMar>
            <w:vAlign w:val="center"/>
          </w:tcPr>
          <w:p w14:paraId="2BAB4E1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bidi="ar"/>
              </w:rPr>
              <w:t>2</w:t>
            </w:r>
            <w:r>
              <w:rPr>
                <w:rFonts w:hint="eastAsia" w:ascii="仿宋_GB2312" w:hAnsi="宋体" w:eastAsia="仿宋_GB2312" w:cs="仿宋_GB2312"/>
                <w:kern w:val="0"/>
                <w:sz w:val="18"/>
                <w:szCs w:val="18"/>
                <w:lang w:val="en-US" w:eastAsia="zh-CN" w:bidi="ar"/>
              </w:rPr>
              <w:t>4</w:t>
            </w:r>
            <w:del w:id="3208" w:author="LV" w:date="2026-07-14T17:18:02Z">
              <w:r>
                <w:rPr>
                  <w:rFonts w:hint="default" w:ascii="仿宋_GB2312" w:hAnsi="宋体" w:eastAsia="仿宋_GB2312" w:cs="仿宋_GB2312"/>
                  <w:kern w:val="0"/>
                  <w:sz w:val="18"/>
                  <w:szCs w:val="18"/>
                  <w:lang w:val="en-US" w:eastAsia="zh-CN" w:bidi="ar"/>
                </w:rPr>
                <w:delText>1</w:delText>
              </w:r>
            </w:del>
            <w:ins w:id="3209" w:author="LV" w:date="2026-07-14T17:18:02Z">
              <w:r>
                <w:rPr>
                  <w:rFonts w:hint="eastAsia" w:ascii="仿宋_GB2312" w:hAnsi="宋体" w:eastAsia="仿宋_GB2312" w:cs="仿宋_GB2312"/>
                  <w:kern w:val="0"/>
                  <w:sz w:val="18"/>
                  <w:szCs w:val="18"/>
                  <w:lang w:val="en-US" w:eastAsia="zh-CN" w:bidi="ar"/>
                </w:rPr>
                <w:t>8</w:t>
              </w:r>
            </w:ins>
          </w:p>
        </w:tc>
        <w:tc>
          <w:tcPr>
            <w:tcW w:w="1006" w:type="dxa"/>
            <w:vMerge w:val="restart"/>
            <w:tcBorders>
              <w:tl2br w:val="nil"/>
              <w:tr2bl w:val="nil"/>
            </w:tcBorders>
            <w:shd w:val="clear" w:color="auto" w:fill="auto"/>
            <w:tcMar>
              <w:top w:w="15" w:type="dxa"/>
              <w:left w:w="15" w:type="dxa"/>
              <w:right w:w="15" w:type="dxa"/>
            </w:tcMar>
            <w:vAlign w:val="center"/>
          </w:tcPr>
          <w:p w14:paraId="4EC8946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擅自开启、关闭管道阀门</w:t>
            </w:r>
          </w:p>
        </w:tc>
        <w:tc>
          <w:tcPr>
            <w:tcW w:w="3813" w:type="dxa"/>
            <w:vMerge w:val="restart"/>
            <w:tcBorders>
              <w:tl2br w:val="nil"/>
              <w:tr2bl w:val="nil"/>
            </w:tcBorders>
            <w:shd w:val="clear" w:color="auto" w:fill="auto"/>
            <w:tcMar>
              <w:top w:w="15" w:type="dxa"/>
              <w:left w:w="15" w:type="dxa"/>
              <w:right w:w="15" w:type="dxa"/>
            </w:tcMar>
            <w:vAlign w:val="center"/>
          </w:tcPr>
          <w:p w14:paraId="69FEA57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《中华人民共和国石油天然气管道保护法》第二十七条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禁止下列危害管道安全的行为：（一）擅自开启或者关闭管道阀门；</w:t>
            </w:r>
          </w:p>
        </w:tc>
        <w:tc>
          <w:tcPr>
            <w:tcW w:w="4081" w:type="dxa"/>
            <w:vMerge w:val="restart"/>
            <w:tcBorders>
              <w:tl2br w:val="nil"/>
              <w:tr2bl w:val="nil"/>
            </w:tcBorders>
            <w:shd w:val="clear" w:color="auto" w:fill="auto"/>
            <w:tcMar>
              <w:top w:w="15" w:type="dxa"/>
              <w:left w:w="15" w:type="dxa"/>
              <w:right w:w="15" w:type="dxa"/>
            </w:tcMar>
            <w:vAlign w:val="center"/>
          </w:tcPr>
          <w:p w14:paraId="629157F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《中华人民共和国石油天然气管道保护法》第五十四条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违反本法规定，有下列行为之一的，由县级以上地方人民政府主管管道保护工作的部门责令改正；情节严重的，处二百元以上一千元以下的罚款： （一）擅自开启、关闭管道阀门的；</w:t>
            </w:r>
          </w:p>
        </w:tc>
        <w:tc>
          <w:tcPr>
            <w:tcW w:w="472" w:type="dxa"/>
            <w:tcBorders>
              <w:tl2br w:val="nil"/>
              <w:tr2bl w:val="nil"/>
            </w:tcBorders>
            <w:shd w:val="clear" w:color="auto" w:fill="auto"/>
            <w:tcMar>
              <w:top w:w="15" w:type="dxa"/>
              <w:left w:w="15" w:type="dxa"/>
              <w:right w:w="15" w:type="dxa"/>
            </w:tcMar>
            <w:vAlign w:val="center"/>
          </w:tcPr>
          <w:p w14:paraId="3EDDAFD6">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不予处罚</w:t>
            </w:r>
          </w:p>
        </w:tc>
        <w:tc>
          <w:tcPr>
            <w:tcW w:w="1800" w:type="dxa"/>
            <w:tcBorders>
              <w:tl2br w:val="nil"/>
              <w:tr2bl w:val="nil"/>
            </w:tcBorders>
            <w:shd w:val="clear" w:color="auto" w:fill="auto"/>
            <w:tcMar>
              <w:top w:w="15" w:type="dxa"/>
              <w:left w:w="15" w:type="dxa"/>
              <w:right w:w="15" w:type="dxa"/>
            </w:tcMar>
            <w:vAlign w:val="center"/>
          </w:tcPr>
          <w:p w14:paraId="641AF99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0FA922C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4AC538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3D6FBAA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77CCD60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06A6695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4B208B1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45764B9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免予处罚</w:t>
            </w:r>
          </w:p>
        </w:tc>
        <w:tc>
          <w:tcPr>
            <w:tcW w:w="1800" w:type="dxa"/>
            <w:tcBorders>
              <w:tl2br w:val="nil"/>
              <w:tr2bl w:val="nil"/>
            </w:tcBorders>
            <w:shd w:val="clear" w:color="auto" w:fill="auto"/>
            <w:tcMar>
              <w:top w:w="15" w:type="dxa"/>
              <w:left w:w="15" w:type="dxa"/>
              <w:right w:w="15" w:type="dxa"/>
            </w:tcMar>
            <w:vAlign w:val="center"/>
          </w:tcPr>
          <w:p w14:paraId="1F2FB75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3B42918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5BBE28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3365769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49395CE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67E15D4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096EC01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71E81F3F">
            <w:pPr>
              <w:keepNext w:val="0"/>
              <w:keepLines w:val="0"/>
              <w:pageBreakBefore w:val="0"/>
              <w:widowControl w:val="0"/>
              <w:kinsoku/>
              <w:wordWrap/>
              <w:overflowPunct w:val="0"/>
              <w:topLinePunct w:val="0"/>
              <w:autoSpaceDE/>
              <w:autoSpaceDN/>
              <w:bidi w:val="0"/>
              <w:adjustRightInd/>
              <w:snapToGrid/>
              <w:spacing w:line="280" w:lineRule="exact"/>
              <w:jc w:val="both"/>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减轻处罚</w:t>
            </w:r>
          </w:p>
        </w:tc>
        <w:tc>
          <w:tcPr>
            <w:tcW w:w="1800" w:type="dxa"/>
            <w:tcBorders>
              <w:tl2br w:val="nil"/>
              <w:tr2bl w:val="nil"/>
            </w:tcBorders>
            <w:shd w:val="clear" w:color="auto" w:fill="auto"/>
            <w:tcMar>
              <w:top w:w="15" w:type="dxa"/>
              <w:left w:w="15" w:type="dxa"/>
              <w:right w:w="15" w:type="dxa"/>
            </w:tcMar>
            <w:vAlign w:val="center"/>
          </w:tcPr>
          <w:p w14:paraId="53B5025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43AE88E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w:t>
            </w:r>
            <w:r>
              <w:rPr>
                <w:rFonts w:hint="eastAsia" w:ascii="仿宋_GB2312" w:hAnsi="宋体" w:eastAsia="仿宋_GB2312" w:cs="仿宋_GB2312"/>
                <w:kern w:val="0"/>
                <w:sz w:val="18"/>
                <w:szCs w:val="18"/>
                <w:lang w:val="en-US" w:eastAsia="zh-CN" w:bidi="ar"/>
              </w:rPr>
              <w:t>1</w:t>
            </w:r>
            <w:r>
              <w:rPr>
                <w:rFonts w:hint="eastAsia" w:ascii="仿宋_GB2312" w:hAnsi="宋体" w:eastAsia="仿宋_GB2312" w:cs="仿宋_GB2312"/>
                <w:kern w:val="0"/>
                <w:sz w:val="18"/>
                <w:szCs w:val="18"/>
                <w:lang w:bidi="ar"/>
              </w:rPr>
              <w:t>00元以上</w:t>
            </w:r>
            <w:r>
              <w:rPr>
                <w:rFonts w:hint="eastAsia" w:ascii="仿宋_GB2312" w:hAnsi="宋体" w:eastAsia="仿宋_GB2312" w:cs="仿宋_GB2312"/>
                <w:kern w:val="0"/>
                <w:sz w:val="18"/>
                <w:szCs w:val="18"/>
                <w:lang w:val="en-US" w:eastAsia="zh-CN" w:bidi="ar"/>
              </w:rPr>
              <w:t>2</w:t>
            </w:r>
            <w:r>
              <w:rPr>
                <w:rFonts w:hint="eastAsia" w:ascii="仿宋_GB2312" w:hAnsi="宋体" w:eastAsia="仿宋_GB2312" w:cs="仿宋_GB2312"/>
                <w:kern w:val="0"/>
                <w:sz w:val="18"/>
                <w:szCs w:val="18"/>
                <w:lang w:bidi="ar"/>
              </w:rPr>
              <w:t>00元以下罚款。</w:t>
            </w:r>
          </w:p>
        </w:tc>
      </w:tr>
      <w:tr w14:paraId="68C3DB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7DDBF7B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3AEF498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1061926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7E0AF70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2226655D">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从轻处罚</w:t>
            </w:r>
          </w:p>
        </w:tc>
        <w:tc>
          <w:tcPr>
            <w:tcW w:w="1800" w:type="dxa"/>
            <w:tcBorders>
              <w:tl2br w:val="nil"/>
              <w:tr2bl w:val="nil"/>
            </w:tcBorders>
            <w:shd w:val="clear" w:color="auto" w:fill="auto"/>
            <w:tcMar>
              <w:top w:w="15" w:type="dxa"/>
              <w:left w:w="15" w:type="dxa"/>
              <w:right w:w="15" w:type="dxa"/>
            </w:tcMar>
            <w:vAlign w:val="center"/>
          </w:tcPr>
          <w:p w14:paraId="186BE60B">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bidi="ar"/>
              </w:rPr>
              <w:t>立即停止违法行为并改正，主动采取措施消除违法行为危害后果的</w:t>
            </w:r>
            <w:r>
              <w:rPr>
                <w:rFonts w:hint="eastAsia" w:ascii="仿宋_GB2312" w:hAnsi="宋体" w:eastAsia="仿宋_GB2312" w:cs="仿宋_GB2312"/>
                <w:kern w:val="0"/>
                <w:sz w:val="18"/>
                <w:szCs w:val="18"/>
                <w:lang w:eastAsia="zh-CN" w:bidi="ar"/>
              </w:rPr>
              <w:t>。</w:t>
            </w:r>
          </w:p>
        </w:tc>
        <w:tc>
          <w:tcPr>
            <w:tcW w:w="2557" w:type="dxa"/>
            <w:tcBorders>
              <w:tl2br w:val="nil"/>
              <w:tr2bl w:val="nil"/>
            </w:tcBorders>
            <w:shd w:val="clear" w:color="auto" w:fill="auto"/>
            <w:tcMar>
              <w:top w:w="15" w:type="dxa"/>
              <w:left w:w="15" w:type="dxa"/>
              <w:right w:w="15" w:type="dxa"/>
            </w:tcMar>
            <w:vAlign w:val="center"/>
          </w:tcPr>
          <w:p w14:paraId="724EA859">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0"/>
                <w:sz w:val="18"/>
                <w:szCs w:val="18"/>
                <w:lang w:eastAsia="zh-CN" w:bidi="ar"/>
              </w:rPr>
            </w:pPr>
            <w:r>
              <w:rPr>
                <w:rFonts w:hint="eastAsia" w:ascii="仿宋_GB2312" w:hAnsi="宋体" w:eastAsia="仿宋_GB2312" w:cs="仿宋_GB2312"/>
                <w:kern w:val="0"/>
                <w:sz w:val="18"/>
                <w:szCs w:val="18"/>
                <w:lang w:bidi="ar"/>
              </w:rPr>
              <w:t>处200元以上400元以下罚款</w:t>
            </w:r>
            <w:r>
              <w:rPr>
                <w:rFonts w:hint="eastAsia" w:ascii="仿宋_GB2312" w:hAnsi="宋体" w:eastAsia="仿宋_GB2312" w:cs="仿宋_GB2312"/>
                <w:kern w:val="0"/>
                <w:sz w:val="18"/>
                <w:szCs w:val="18"/>
                <w:lang w:eastAsia="zh-CN" w:bidi="ar"/>
              </w:rPr>
              <w:t>。</w:t>
            </w:r>
          </w:p>
        </w:tc>
      </w:tr>
      <w:tr w14:paraId="598AF6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5E3E0B9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13C8180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41C4698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7B6045F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6EAF8401">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一般处罚</w:t>
            </w:r>
          </w:p>
        </w:tc>
        <w:tc>
          <w:tcPr>
            <w:tcW w:w="1800" w:type="dxa"/>
            <w:tcBorders>
              <w:tl2br w:val="nil"/>
              <w:tr2bl w:val="nil"/>
            </w:tcBorders>
            <w:shd w:val="clear" w:color="auto" w:fill="auto"/>
            <w:tcMar>
              <w:top w:w="15" w:type="dxa"/>
              <w:left w:w="15" w:type="dxa"/>
              <w:right w:w="15" w:type="dxa"/>
            </w:tcMar>
            <w:vAlign w:val="center"/>
          </w:tcPr>
          <w:p w14:paraId="5D59B1B0">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0"/>
                <w:sz w:val="18"/>
                <w:szCs w:val="18"/>
                <w:lang w:eastAsia="zh-CN" w:bidi="ar"/>
              </w:rPr>
            </w:pPr>
            <w:r>
              <w:rPr>
                <w:rFonts w:hint="eastAsia" w:ascii="仿宋_GB2312" w:hAnsi="宋体" w:eastAsia="仿宋_GB2312" w:cs="仿宋_GB2312"/>
                <w:kern w:val="0"/>
                <w:sz w:val="18"/>
                <w:szCs w:val="18"/>
                <w:lang w:bidi="ar"/>
              </w:rPr>
              <w:t>立即停止违法行为并改正，造成危害后果轻微的</w:t>
            </w:r>
            <w:r>
              <w:rPr>
                <w:rFonts w:hint="eastAsia" w:ascii="仿宋_GB2312" w:hAnsi="宋体" w:eastAsia="仿宋_GB2312" w:cs="仿宋_GB2312"/>
                <w:kern w:val="0"/>
                <w:sz w:val="18"/>
                <w:szCs w:val="18"/>
                <w:lang w:eastAsia="zh-CN" w:bidi="ar"/>
              </w:rPr>
              <w:t>。</w:t>
            </w:r>
          </w:p>
        </w:tc>
        <w:tc>
          <w:tcPr>
            <w:tcW w:w="2557" w:type="dxa"/>
            <w:tcBorders>
              <w:tl2br w:val="nil"/>
              <w:tr2bl w:val="nil"/>
            </w:tcBorders>
            <w:shd w:val="clear" w:color="auto" w:fill="auto"/>
            <w:tcMar>
              <w:top w:w="15" w:type="dxa"/>
              <w:left w:w="15" w:type="dxa"/>
              <w:right w:w="15" w:type="dxa"/>
            </w:tcMar>
            <w:vAlign w:val="center"/>
          </w:tcPr>
          <w:p w14:paraId="5E78779E">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0"/>
                <w:sz w:val="18"/>
                <w:szCs w:val="18"/>
                <w:lang w:eastAsia="zh-CN" w:bidi="ar"/>
              </w:rPr>
            </w:pPr>
            <w:r>
              <w:rPr>
                <w:rFonts w:hint="eastAsia" w:ascii="仿宋_GB2312" w:hAnsi="宋体" w:eastAsia="仿宋_GB2312" w:cs="仿宋_GB2312"/>
                <w:kern w:val="0"/>
                <w:sz w:val="18"/>
                <w:szCs w:val="18"/>
                <w:lang w:bidi="ar"/>
              </w:rPr>
              <w:t>处400元以上600元以下罚款</w:t>
            </w:r>
            <w:r>
              <w:rPr>
                <w:rFonts w:hint="eastAsia" w:ascii="仿宋_GB2312" w:hAnsi="宋体" w:eastAsia="仿宋_GB2312" w:cs="仿宋_GB2312"/>
                <w:kern w:val="0"/>
                <w:sz w:val="18"/>
                <w:szCs w:val="18"/>
                <w:lang w:eastAsia="zh-CN" w:bidi="ar"/>
              </w:rPr>
              <w:t>。</w:t>
            </w:r>
          </w:p>
        </w:tc>
      </w:tr>
      <w:tr w14:paraId="6F2714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2BAF168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6C694BC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31A3652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07452F8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1AFBAF24">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从重处罚</w:t>
            </w:r>
          </w:p>
        </w:tc>
        <w:tc>
          <w:tcPr>
            <w:tcW w:w="1800" w:type="dxa"/>
            <w:tcBorders>
              <w:tl2br w:val="nil"/>
              <w:tr2bl w:val="nil"/>
            </w:tcBorders>
            <w:shd w:val="clear" w:color="auto" w:fill="auto"/>
            <w:tcMar>
              <w:top w:w="15" w:type="dxa"/>
              <w:left w:w="15" w:type="dxa"/>
              <w:right w:w="15" w:type="dxa"/>
            </w:tcMar>
            <w:vAlign w:val="center"/>
          </w:tcPr>
          <w:p w14:paraId="6BD68CE6">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0"/>
                <w:sz w:val="18"/>
                <w:szCs w:val="18"/>
                <w:lang w:eastAsia="zh-CN" w:bidi="ar"/>
              </w:rPr>
            </w:pPr>
            <w:r>
              <w:rPr>
                <w:rFonts w:hint="eastAsia" w:ascii="仿宋_GB2312" w:hAnsi="宋体" w:eastAsia="仿宋_GB2312" w:cs="仿宋_GB2312"/>
                <w:kern w:val="0"/>
                <w:sz w:val="18"/>
                <w:szCs w:val="18"/>
                <w:lang w:bidi="ar"/>
              </w:rPr>
              <w:t>构成管道安全隐患的，或者引发管道事故的，或者拒不改正的</w:t>
            </w:r>
            <w:r>
              <w:rPr>
                <w:rFonts w:hint="eastAsia" w:ascii="仿宋_GB2312" w:hAnsi="宋体" w:eastAsia="仿宋_GB2312" w:cs="仿宋_GB2312"/>
                <w:kern w:val="0"/>
                <w:sz w:val="18"/>
                <w:szCs w:val="18"/>
                <w:lang w:eastAsia="zh-CN" w:bidi="ar"/>
              </w:rPr>
              <w:t>。</w:t>
            </w:r>
          </w:p>
        </w:tc>
        <w:tc>
          <w:tcPr>
            <w:tcW w:w="2557" w:type="dxa"/>
            <w:tcBorders>
              <w:tl2br w:val="nil"/>
              <w:tr2bl w:val="nil"/>
            </w:tcBorders>
            <w:shd w:val="clear" w:color="auto" w:fill="auto"/>
            <w:tcMar>
              <w:top w:w="15" w:type="dxa"/>
              <w:left w:w="15" w:type="dxa"/>
              <w:right w:w="15" w:type="dxa"/>
            </w:tcMar>
            <w:vAlign w:val="center"/>
          </w:tcPr>
          <w:p w14:paraId="0681FF5E">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0"/>
                <w:sz w:val="18"/>
                <w:szCs w:val="18"/>
                <w:lang w:eastAsia="zh-CN" w:bidi="ar"/>
              </w:rPr>
            </w:pPr>
            <w:r>
              <w:rPr>
                <w:rFonts w:hint="eastAsia" w:ascii="仿宋_GB2312" w:hAnsi="宋体" w:eastAsia="仿宋_GB2312" w:cs="仿宋_GB2312"/>
                <w:kern w:val="0"/>
                <w:sz w:val="18"/>
                <w:szCs w:val="18"/>
                <w:lang w:bidi="ar"/>
              </w:rPr>
              <w:t>处600元以上1000元以下罚款</w:t>
            </w:r>
            <w:r>
              <w:rPr>
                <w:rFonts w:hint="eastAsia" w:ascii="仿宋_GB2312" w:hAnsi="宋体" w:eastAsia="仿宋_GB2312" w:cs="仿宋_GB2312"/>
                <w:kern w:val="0"/>
                <w:sz w:val="18"/>
                <w:szCs w:val="18"/>
                <w:lang w:eastAsia="zh-CN" w:bidi="ar"/>
              </w:rPr>
              <w:t>。</w:t>
            </w:r>
          </w:p>
        </w:tc>
      </w:tr>
      <w:tr w14:paraId="06BDB6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29" w:type="dxa"/>
            <w:vMerge w:val="restart"/>
            <w:tcBorders>
              <w:tl2br w:val="nil"/>
              <w:tr2bl w:val="nil"/>
            </w:tcBorders>
            <w:shd w:val="clear" w:color="auto" w:fill="auto"/>
            <w:tcMar>
              <w:top w:w="15" w:type="dxa"/>
              <w:left w:w="15" w:type="dxa"/>
              <w:right w:w="15" w:type="dxa"/>
            </w:tcMar>
            <w:vAlign w:val="center"/>
          </w:tcPr>
          <w:p w14:paraId="3382920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bidi="ar"/>
              </w:rPr>
              <w:t>2</w:t>
            </w:r>
            <w:r>
              <w:rPr>
                <w:rFonts w:hint="eastAsia" w:ascii="仿宋_GB2312" w:hAnsi="宋体" w:eastAsia="仿宋_GB2312" w:cs="仿宋_GB2312"/>
                <w:kern w:val="0"/>
                <w:sz w:val="18"/>
                <w:szCs w:val="18"/>
                <w:lang w:val="en-US" w:eastAsia="zh-CN" w:bidi="ar"/>
              </w:rPr>
              <w:t>4</w:t>
            </w:r>
            <w:del w:id="3210" w:author="LV" w:date="2026-07-14T17:18:13Z">
              <w:r>
                <w:rPr>
                  <w:rFonts w:hint="default" w:ascii="仿宋_GB2312" w:hAnsi="宋体" w:eastAsia="仿宋_GB2312" w:cs="仿宋_GB2312"/>
                  <w:kern w:val="0"/>
                  <w:sz w:val="18"/>
                  <w:szCs w:val="18"/>
                  <w:lang w:val="en-US" w:eastAsia="zh-CN" w:bidi="ar"/>
                </w:rPr>
                <w:delText>2</w:delText>
              </w:r>
            </w:del>
            <w:ins w:id="3211" w:author="LV" w:date="2026-07-14T17:18:13Z">
              <w:r>
                <w:rPr>
                  <w:rFonts w:hint="eastAsia" w:ascii="仿宋_GB2312" w:hAnsi="宋体" w:eastAsia="仿宋_GB2312" w:cs="仿宋_GB2312"/>
                  <w:kern w:val="0"/>
                  <w:sz w:val="18"/>
                  <w:szCs w:val="18"/>
                  <w:lang w:val="en-US" w:eastAsia="zh-CN" w:bidi="ar"/>
                </w:rPr>
                <w:t>9</w:t>
              </w:r>
            </w:ins>
          </w:p>
        </w:tc>
        <w:tc>
          <w:tcPr>
            <w:tcW w:w="1006" w:type="dxa"/>
            <w:vMerge w:val="restart"/>
            <w:tcBorders>
              <w:tl2br w:val="nil"/>
              <w:tr2bl w:val="nil"/>
            </w:tcBorders>
            <w:shd w:val="clear" w:color="auto" w:fill="auto"/>
            <w:tcMar>
              <w:top w:w="15" w:type="dxa"/>
              <w:left w:w="15" w:type="dxa"/>
              <w:right w:w="15" w:type="dxa"/>
            </w:tcMar>
            <w:vAlign w:val="center"/>
          </w:tcPr>
          <w:p w14:paraId="4DCB134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移动、毁损、涂改管道标志</w:t>
            </w:r>
          </w:p>
        </w:tc>
        <w:tc>
          <w:tcPr>
            <w:tcW w:w="3813" w:type="dxa"/>
            <w:vMerge w:val="restart"/>
            <w:tcBorders>
              <w:tl2br w:val="nil"/>
              <w:tr2bl w:val="nil"/>
            </w:tcBorders>
            <w:shd w:val="clear" w:color="auto" w:fill="auto"/>
            <w:tcMar>
              <w:top w:w="15" w:type="dxa"/>
              <w:left w:w="15" w:type="dxa"/>
              <w:right w:w="15" w:type="dxa"/>
            </w:tcMar>
            <w:vAlign w:val="center"/>
          </w:tcPr>
          <w:p w14:paraId="4743B03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eastAsia="zh-CN" w:bidi="ar"/>
              </w:rPr>
              <w:t>《中华人民共和国石油天然气管道保护法》</w:t>
            </w:r>
            <w:r>
              <w:rPr>
                <w:rFonts w:hint="eastAsia" w:ascii="仿宋_GB2312" w:hAnsi="宋体" w:eastAsia="仿宋_GB2312" w:cs="仿宋_GB2312"/>
                <w:kern w:val="0"/>
                <w:sz w:val="18"/>
                <w:szCs w:val="18"/>
                <w:lang w:bidi="ar"/>
              </w:rPr>
              <w:t>第二十七条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禁止下列危害管道安全的行为：（三）移动、毁损或者涂改管道标志；</w:t>
            </w:r>
          </w:p>
        </w:tc>
        <w:tc>
          <w:tcPr>
            <w:tcW w:w="4081" w:type="dxa"/>
            <w:vMerge w:val="restart"/>
            <w:tcBorders>
              <w:tl2br w:val="nil"/>
              <w:tr2bl w:val="nil"/>
            </w:tcBorders>
            <w:shd w:val="clear" w:color="auto" w:fill="auto"/>
            <w:tcMar>
              <w:top w:w="15" w:type="dxa"/>
              <w:left w:w="15" w:type="dxa"/>
              <w:right w:w="15" w:type="dxa"/>
            </w:tcMar>
            <w:vAlign w:val="center"/>
          </w:tcPr>
          <w:p w14:paraId="485A4F5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eastAsia="zh-CN" w:bidi="ar"/>
              </w:rPr>
              <w:t>《中华人民共和国石油天然气管道保护法》</w:t>
            </w:r>
            <w:r>
              <w:rPr>
                <w:rFonts w:hint="eastAsia" w:ascii="仿宋_GB2312" w:hAnsi="宋体" w:eastAsia="仿宋_GB2312" w:cs="仿宋_GB2312"/>
                <w:kern w:val="0"/>
                <w:sz w:val="18"/>
                <w:szCs w:val="18"/>
                <w:lang w:bidi="ar"/>
              </w:rPr>
              <w:t>第五十四条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违反本法规定，有下列行为之一的，由县级以上地方人民政府主管管道保护工作的部门责令改正；情节严重的，处二百元以上一千元以下的罚款： （二）移动、毁损、涂改管道标志的；</w:t>
            </w:r>
          </w:p>
        </w:tc>
        <w:tc>
          <w:tcPr>
            <w:tcW w:w="472" w:type="dxa"/>
            <w:tcBorders>
              <w:tl2br w:val="nil"/>
              <w:tr2bl w:val="nil"/>
            </w:tcBorders>
            <w:shd w:val="clear" w:color="auto" w:fill="auto"/>
            <w:tcMar>
              <w:top w:w="15" w:type="dxa"/>
              <w:left w:w="15" w:type="dxa"/>
              <w:right w:w="15" w:type="dxa"/>
            </w:tcMar>
            <w:vAlign w:val="center"/>
          </w:tcPr>
          <w:p w14:paraId="1B7BADC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不予处罚</w:t>
            </w:r>
          </w:p>
        </w:tc>
        <w:tc>
          <w:tcPr>
            <w:tcW w:w="1800" w:type="dxa"/>
            <w:tcBorders>
              <w:tl2br w:val="nil"/>
              <w:tr2bl w:val="nil"/>
            </w:tcBorders>
            <w:shd w:val="clear" w:color="auto" w:fill="auto"/>
            <w:tcMar>
              <w:top w:w="15" w:type="dxa"/>
              <w:left w:w="15" w:type="dxa"/>
              <w:right w:w="15" w:type="dxa"/>
            </w:tcMar>
            <w:vAlign w:val="center"/>
          </w:tcPr>
          <w:p w14:paraId="2C478AE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2F8298F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7B7600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6E25B05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6DCA0C9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67504A8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434AD30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7E5E115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免予处罚</w:t>
            </w:r>
          </w:p>
        </w:tc>
        <w:tc>
          <w:tcPr>
            <w:tcW w:w="1800" w:type="dxa"/>
            <w:tcBorders>
              <w:tl2br w:val="nil"/>
              <w:tr2bl w:val="nil"/>
            </w:tcBorders>
            <w:shd w:val="clear" w:color="auto" w:fill="auto"/>
            <w:tcMar>
              <w:top w:w="15" w:type="dxa"/>
              <w:left w:w="15" w:type="dxa"/>
              <w:right w:w="15" w:type="dxa"/>
            </w:tcMar>
            <w:vAlign w:val="center"/>
          </w:tcPr>
          <w:p w14:paraId="2C225B7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3BC95DF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740FB6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39A0657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502DC81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71B84E0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11707A5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2D25900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减轻处罚</w:t>
            </w:r>
          </w:p>
        </w:tc>
        <w:tc>
          <w:tcPr>
            <w:tcW w:w="1800" w:type="dxa"/>
            <w:tcBorders>
              <w:tl2br w:val="nil"/>
              <w:tr2bl w:val="nil"/>
            </w:tcBorders>
            <w:shd w:val="clear" w:color="auto" w:fill="auto"/>
            <w:tcMar>
              <w:top w:w="15" w:type="dxa"/>
              <w:left w:w="15" w:type="dxa"/>
              <w:right w:w="15" w:type="dxa"/>
            </w:tcMar>
            <w:vAlign w:val="center"/>
          </w:tcPr>
          <w:p w14:paraId="23E4B28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5A2835D3">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w:t>
            </w:r>
            <w:r>
              <w:rPr>
                <w:rFonts w:hint="eastAsia" w:ascii="仿宋_GB2312" w:hAnsi="宋体" w:eastAsia="仿宋_GB2312" w:cs="仿宋_GB2312"/>
                <w:kern w:val="0"/>
                <w:sz w:val="18"/>
                <w:szCs w:val="18"/>
                <w:lang w:val="en-US" w:eastAsia="zh-CN" w:bidi="ar"/>
              </w:rPr>
              <w:t>1</w:t>
            </w:r>
            <w:r>
              <w:rPr>
                <w:rFonts w:hint="eastAsia" w:ascii="仿宋_GB2312" w:hAnsi="宋体" w:eastAsia="仿宋_GB2312" w:cs="仿宋_GB2312"/>
                <w:kern w:val="0"/>
                <w:sz w:val="18"/>
                <w:szCs w:val="18"/>
                <w:lang w:bidi="ar"/>
              </w:rPr>
              <w:t>00元以上</w:t>
            </w:r>
            <w:r>
              <w:rPr>
                <w:rFonts w:hint="eastAsia" w:ascii="仿宋_GB2312" w:hAnsi="宋体" w:eastAsia="仿宋_GB2312" w:cs="仿宋_GB2312"/>
                <w:kern w:val="0"/>
                <w:sz w:val="18"/>
                <w:szCs w:val="18"/>
                <w:lang w:val="en-US" w:eastAsia="zh-CN" w:bidi="ar"/>
              </w:rPr>
              <w:t>2</w:t>
            </w:r>
            <w:r>
              <w:rPr>
                <w:rFonts w:hint="eastAsia" w:ascii="仿宋_GB2312" w:hAnsi="宋体" w:eastAsia="仿宋_GB2312" w:cs="仿宋_GB2312"/>
                <w:kern w:val="0"/>
                <w:sz w:val="18"/>
                <w:szCs w:val="18"/>
                <w:lang w:bidi="ar"/>
              </w:rPr>
              <w:t>00元以下罚款。</w:t>
            </w:r>
          </w:p>
        </w:tc>
      </w:tr>
      <w:tr w14:paraId="070A7B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0E49744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4865F8D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7305C19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6321EC1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61F36D60">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从轻处罚</w:t>
            </w:r>
          </w:p>
        </w:tc>
        <w:tc>
          <w:tcPr>
            <w:tcW w:w="1800" w:type="dxa"/>
            <w:tcBorders>
              <w:tl2br w:val="nil"/>
              <w:tr2bl w:val="nil"/>
            </w:tcBorders>
            <w:shd w:val="clear" w:color="auto" w:fill="auto"/>
            <w:tcMar>
              <w:top w:w="15" w:type="dxa"/>
              <w:left w:w="15" w:type="dxa"/>
              <w:right w:w="15" w:type="dxa"/>
            </w:tcMar>
            <w:vAlign w:val="center"/>
          </w:tcPr>
          <w:p w14:paraId="23BD27C3">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立即停止违法行为并改正，造成危害后果轻微的。</w:t>
            </w:r>
          </w:p>
        </w:tc>
        <w:tc>
          <w:tcPr>
            <w:tcW w:w="2557" w:type="dxa"/>
            <w:tcBorders>
              <w:tl2br w:val="nil"/>
              <w:tr2bl w:val="nil"/>
            </w:tcBorders>
            <w:shd w:val="clear" w:color="auto" w:fill="auto"/>
            <w:tcMar>
              <w:top w:w="15" w:type="dxa"/>
              <w:left w:w="15" w:type="dxa"/>
              <w:right w:w="15" w:type="dxa"/>
            </w:tcMar>
            <w:vAlign w:val="center"/>
          </w:tcPr>
          <w:p w14:paraId="21E4233B">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处200元以上400元以下罚款。</w:t>
            </w:r>
          </w:p>
        </w:tc>
      </w:tr>
      <w:tr w14:paraId="3C2772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2A0114B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7892560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196D1C4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1330FD1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2EA605C8">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一般处罚</w:t>
            </w:r>
          </w:p>
        </w:tc>
        <w:tc>
          <w:tcPr>
            <w:tcW w:w="1800" w:type="dxa"/>
            <w:tcBorders>
              <w:tl2br w:val="nil"/>
              <w:tr2bl w:val="nil"/>
            </w:tcBorders>
            <w:shd w:val="clear" w:color="auto" w:fill="auto"/>
            <w:tcMar>
              <w:top w:w="15" w:type="dxa"/>
              <w:left w:w="15" w:type="dxa"/>
              <w:right w:w="15" w:type="dxa"/>
            </w:tcMar>
            <w:vAlign w:val="center"/>
          </w:tcPr>
          <w:p w14:paraId="11A748F9">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导致管道无法定位的。</w:t>
            </w:r>
          </w:p>
        </w:tc>
        <w:tc>
          <w:tcPr>
            <w:tcW w:w="2557" w:type="dxa"/>
            <w:tcBorders>
              <w:tl2br w:val="nil"/>
              <w:tr2bl w:val="nil"/>
            </w:tcBorders>
            <w:shd w:val="clear" w:color="auto" w:fill="auto"/>
            <w:tcMar>
              <w:top w:w="15" w:type="dxa"/>
              <w:left w:w="15" w:type="dxa"/>
              <w:right w:w="15" w:type="dxa"/>
            </w:tcMar>
            <w:vAlign w:val="center"/>
          </w:tcPr>
          <w:p w14:paraId="5DA2DCA2">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处400元以上600元以下罚款。</w:t>
            </w:r>
          </w:p>
        </w:tc>
      </w:tr>
      <w:tr w14:paraId="40DDC3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1C27AC0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37148B8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27AFDD1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5D7DEEC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5E22DEBA">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从重处罚</w:t>
            </w:r>
          </w:p>
        </w:tc>
        <w:tc>
          <w:tcPr>
            <w:tcW w:w="1800" w:type="dxa"/>
            <w:tcBorders>
              <w:tl2br w:val="nil"/>
              <w:tr2bl w:val="nil"/>
            </w:tcBorders>
            <w:shd w:val="clear" w:color="auto" w:fill="auto"/>
            <w:tcMar>
              <w:top w:w="15" w:type="dxa"/>
              <w:left w:w="15" w:type="dxa"/>
              <w:right w:w="15" w:type="dxa"/>
            </w:tcMar>
            <w:vAlign w:val="center"/>
          </w:tcPr>
          <w:p w14:paraId="4514738F">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影响管道维修、抢修的，或者拒不改正的，或者引发事故隐患的。</w:t>
            </w:r>
          </w:p>
        </w:tc>
        <w:tc>
          <w:tcPr>
            <w:tcW w:w="2557" w:type="dxa"/>
            <w:tcBorders>
              <w:tl2br w:val="nil"/>
              <w:tr2bl w:val="nil"/>
            </w:tcBorders>
            <w:shd w:val="clear" w:color="auto" w:fill="auto"/>
            <w:tcMar>
              <w:top w:w="15" w:type="dxa"/>
              <w:left w:w="15" w:type="dxa"/>
              <w:right w:w="15" w:type="dxa"/>
            </w:tcMar>
            <w:vAlign w:val="center"/>
          </w:tcPr>
          <w:p w14:paraId="31091923">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处600元以上1000元以下罚款</w:t>
            </w:r>
          </w:p>
        </w:tc>
      </w:tr>
      <w:tr w14:paraId="2AFF6F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29" w:type="dxa"/>
            <w:vMerge w:val="restart"/>
            <w:tcBorders>
              <w:tl2br w:val="nil"/>
              <w:tr2bl w:val="nil"/>
            </w:tcBorders>
            <w:shd w:val="clear" w:color="auto" w:fill="auto"/>
            <w:tcMar>
              <w:top w:w="15" w:type="dxa"/>
              <w:left w:w="15" w:type="dxa"/>
              <w:right w:w="15" w:type="dxa"/>
            </w:tcMar>
            <w:vAlign w:val="center"/>
          </w:tcPr>
          <w:p w14:paraId="4107D32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bidi="ar"/>
              </w:rPr>
              <w:t>2</w:t>
            </w:r>
            <w:del w:id="3212" w:author="LV" w:date="2026-07-14T17:18:17Z">
              <w:r>
                <w:rPr>
                  <w:rFonts w:hint="default" w:ascii="仿宋_GB2312" w:hAnsi="宋体" w:eastAsia="仿宋_GB2312" w:cs="仿宋_GB2312"/>
                  <w:kern w:val="0"/>
                  <w:sz w:val="18"/>
                  <w:szCs w:val="18"/>
                  <w:lang w:val="en-US" w:bidi="ar"/>
                </w:rPr>
                <w:delText>4</w:delText>
              </w:r>
            </w:del>
            <w:del w:id="3213" w:author="LV" w:date="2026-07-14T17:18:17Z">
              <w:r>
                <w:rPr>
                  <w:rFonts w:hint="default" w:ascii="仿宋_GB2312" w:hAnsi="宋体" w:eastAsia="仿宋_GB2312" w:cs="仿宋_GB2312"/>
                  <w:kern w:val="0"/>
                  <w:sz w:val="18"/>
                  <w:szCs w:val="18"/>
                  <w:lang w:val="en-US" w:eastAsia="zh-CN" w:bidi="ar"/>
                </w:rPr>
                <w:delText>3</w:delText>
              </w:r>
            </w:del>
            <w:ins w:id="3214" w:author="LV" w:date="2026-07-14T17:18:17Z">
              <w:r>
                <w:rPr>
                  <w:rFonts w:hint="eastAsia" w:ascii="仿宋_GB2312" w:hAnsi="宋体" w:eastAsia="仿宋_GB2312" w:cs="仿宋_GB2312"/>
                  <w:kern w:val="0"/>
                  <w:sz w:val="18"/>
                  <w:szCs w:val="18"/>
                  <w:lang w:val="en-US" w:eastAsia="zh-CN" w:bidi="ar"/>
                </w:rPr>
                <w:t>50</w:t>
              </w:r>
            </w:ins>
          </w:p>
        </w:tc>
        <w:tc>
          <w:tcPr>
            <w:tcW w:w="1006" w:type="dxa"/>
            <w:vMerge w:val="restart"/>
            <w:tcBorders>
              <w:tl2br w:val="nil"/>
              <w:tr2bl w:val="nil"/>
            </w:tcBorders>
            <w:shd w:val="clear" w:color="auto" w:fill="auto"/>
            <w:tcMar>
              <w:top w:w="15" w:type="dxa"/>
              <w:left w:w="15" w:type="dxa"/>
              <w:right w:w="15" w:type="dxa"/>
            </w:tcMar>
            <w:vAlign w:val="center"/>
          </w:tcPr>
          <w:p w14:paraId="191347F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在埋地管道上方巡查便道上行驶重型车辆</w:t>
            </w:r>
          </w:p>
        </w:tc>
        <w:tc>
          <w:tcPr>
            <w:tcW w:w="3813" w:type="dxa"/>
            <w:vMerge w:val="restart"/>
            <w:tcBorders>
              <w:tl2br w:val="nil"/>
              <w:tr2bl w:val="nil"/>
            </w:tcBorders>
            <w:shd w:val="clear" w:color="auto" w:fill="auto"/>
            <w:tcMar>
              <w:top w:w="15" w:type="dxa"/>
              <w:left w:w="15" w:type="dxa"/>
              <w:right w:w="15" w:type="dxa"/>
            </w:tcMar>
            <w:vAlign w:val="center"/>
          </w:tcPr>
          <w:p w14:paraId="5FBB920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eastAsia="zh-CN" w:bidi="ar"/>
              </w:rPr>
              <w:t>《中华人民共和国石油天然气管道保护法》</w:t>
            </w:r>
            <w:r>
              <w:rPr>
                <w:rFonts w:hint="eastAsia" w:ascii="仿宋_GB2312" w:hAnsi="宋体" w:eastAsia="仿宋_GB2312" w:cs="仿宋_GB2312"/>
                <w:kern w:val="0"/>
                <w:sz w:val="18"/>
                <w:szCs w:val="18"/>
                <w:lang w:bidi="ar"/>
              </w:rPr>
              <w:t>第二十七条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禁止下列危害管道安全的行为：</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（四）在埋地管道上方巡查便道上行驶重型车辆；</w:t>
            </w:r>
          </w:p>
        </w:tc>
        <w:tc>
          <w:tcPr>
            <w:tcW w:w="4081" w:type="dxa"/>
            <w:vMerge w:val="restart"/>
            <w:tcBorders>
              <w:tl2br w:val="nil"/>
              <w:tr2bl w:val="nil"/>
            </w:tcBorders>
            <w:shd w:val="clear" w:color="auto" w:fill="auto"/>
            <w:tcMar>
              <w:top w:w="15" w:type="dxa"/>
              <w:left w:w="15" w:type="dxa"/>
              <w:right w:w="15" w:type="dxa"/>
            </w:tcMar>
            <w:vAlign w:val="center"/>
          </w:tcPr>
          <w:p w14:paraId="04CA7E6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eastAsia="zh-CN" w:bidi="ar"/>
              </w:rPr>
              <w:t>《中华人民共和国石油天然气管道保护法》</w:t>
            </w:r>
            <w:r>
              <w:rPr>
                <w:rFonts w:hint="eastAsia" w:ascii="仿宋_GB2312" w:hAnsi="宋体" w:eastAsia="仿宋_GB2312" w:cs="仿宋_GB2312"/>
                <w:kern w:val="0"/>
                <w:sz w:val="18"/>
                <w:szCs w:val="18"/>
                <w:lang w:bidi="ar"/>
              </w:rPr>
              <w:t>第五十四条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违反本法规定，有下列行为之一的，由县级以上地方人民政府主管管道保护工作的部门责令改正；情节严重的，处二百元以上一千元以下的罚款：（三）在埋地管道上方巡查便道上行驶重型车辆的；</w:t>
            </w:r>
          </w:p>
        </w:tc>
        <w:tc>
          <w:tcPr>
            <w:tcW w:w="472" w:type="dxa"/>
            <w:tcBorders>
              <w:tl2br w:val="nil"/>
              <w:tr2bl w:val="nil"/>
            </w:tcBorders>
            <w:shd w:val="clear" w:color="auto" w:fill="auto"/>
            <w:tcMar>
              <w:top w:w="15" w:type="dxa"/>
              <w:left w:w="15" w:type="dxa"/>
              <w:right w:w="15" w:type="dxa"/>
            </w:tcMar>
            <w:vAlign w:val="center"/>
          </w:tcPr>
          <w:p w14:paraId="4FA4CE8C">
            <w:pPr>
              <w:keepNext w:val="0"/>
              <w:keepLines w:val="0"/>
              <w:pageBreakBefore w:val="0"/>
              <w:widowControl w:val="0"/>
              <w:kinsoku/>
              <w:wordWrap/>
              <w:overflowPunct w:val="0"/>
              <w:topLinePunct w:val="0"/>
              <w:autoSpaceDE/>
              <w:autoSpaceDN/>
              <w:bidi w:val="0"/>
              <w:adjustRightInd/>
              <w:snapToGrid/>
              <w:spacing w:line="24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不予处罚</w:t>
            </w:r>
          </w:p>
        </w:tc>
        <w:tc>
          <w:tcPr>
            <w:tcW w:w="1800" w:type="dxa"/>
            <w:tcBorders>
              <w:tl2br w:val="nil"/>
              <w:tr2bl w:val="nil"/>
            </w:tcBorders>
            <w:shd w:val="clear" w:color="auto" w:fill="auto"/>
            <w:tcMar>
              <w:top w:w="15" w:type="dxa"/>
              <w:left w:w="15" w:type="dxa"/>
              <w:right w:w="15" w:type="dxa"/>
            </w:tcMar>
            <w:vAlign w:val="center"/>
          </w:tcPr>
          <w:p w14:paraId="4F0310AF">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64FBC119">
            <w:pPr>
              <w:keepNext w:val="0"/>
              <w:keepLines w:val="0"/>
              <w:pageBreakBefore w:val="0"/>
              <w:widowControl w:val="0"/>
              <w:kinsoku/>
              <w:wordWrap/>
              <w:overflowPunct w:val="0"/>
              <w:topLinePunct w:val="0"/>
              <w:autoSpaceDE/>
              <w:autoSpaceDN/>
              <w:bidi w:val="0"/>
              <w:adjustRightInd/>
              <w:snapToGrid/>
              <w:spacing w:line="24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30925E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09601F9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7CCC9DF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48A830D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3484678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5D7C6723">
            <w:pPr>
              <w:keepNext w:val="0"/>
              <w:keepLines w:val="0"/>
              <w:pageBreakBefore w:val="0"/>
              <w:widowControl w:val="0"/>
              <w:kinsoku/>
              <w:wordWrap/>
              <w:overflowPunct w:val="0"/>
              <w:topLinePunct w:val="0"/>
              <w:autoSpaceDE/>
              <w:autoSpaceDN/>
              <w:bidi w:val="0"/>
              <w:adjustRightInd/>
              <w:snapToGrid/>
              <w:spacing w:line="24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免予处罚</w:t>
            </w:r>
          </w:p>
        </w:tc>
        <w:tc>
          <w:tcPr>
            <w:tcW w:w="1800" w:type="dxa"/>
            <w:tcBorders>
              <w:tl2br w:val="nil"/>
              <w:tr2bl w:val="nil"/>
            </w:tcBorders>
            <w:shd w:val="clear" w:color="auto" w:fill="auto"/>
            <w:tcMar>
              <w:top w:w="15" w:type="dxa"/>
              <w:left w:w="15" w:type="dxa"/>
              <w:right w:w="15" w:type="dxa"/>
            </w:tcMar>
            <w:vAlign w:val="center"/>
          </w:tcPr>
          <w:p w14:paraId="2D8E947A">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090CD6A6">
            <w:pPr>
              <w:keepNext w:val="0"/>
              <w:keepLines w:val="0"/>
              <w:pageBreakBefore w:val="0"/>
              <w:widowControl w:val="0"/>
              <w:kinsoku/>
              <w:wordWrap/>
              <w:overflowPunct w:val="0"/>
              <w:topLinePunct w:val="0"/>
              <w:autoSpaceDE/>
              <w:autoSpaceDN/>
              <w:bidi w:val="0"/>
              <w:adjustRightInd/>
              <w:snapToGrid/>
              <w:spacing w:line="24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1070A5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43216DB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1D3F7D8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3F5651B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4907867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3E0784F0">
            <w:pPr>
              <w:keepNext w:val="0"/>
              <w:keepLines w:val="0"/>
              <w:pageBreakBefore w:val="0"/>
              <w:widowControl w:val="0"/>
              <w:kinsoku/>
              <w:wordWrap/>
              <w:overflowPunct w:val="0"/>
              <w:topLinePunct w:val="0"/>
              <w:autoSpaceDE/>
              <w:autoSpaceDN/>
              <w:bidi w:val="0"/>
              <w:adjustRightInd/>
              <w:snapToGrid/>
              <w:spacing w:line="24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减轻处罚</w:t>
            </w:r>
          </w:p>
        </w:tc>
        <w:tc>
          <w:tcPr>
            <w:tcW w:w="1800" w:type="dxa"/>
            <w:tcBorders>
              <w:tl2br w:val="nil"/>
              <w:tr2bl w:val="nil"/>
            </w:tcBorders>
            <w:shd w:val="clear" w:color="auto" w:fill="auto"/>
            <w:tcMar>
              <w:top w:w="15" w:type="dxa"/>
              <w:left w:w="15" w:type="dxa"/>
              <w:right w:w="15" w:type="dxa"/>
            </w:tcMar>
            <w:vAlign w:val="center"/>
          </w:tcPr>
          <w:p w14:paraId="48EC75A7">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2FC19261">
            <w:pPr>
              <w:keepNext w:val="0"/>
              <w:keepLines w:val="0"/>
              <w:pageBreakBefore w:val="0"/>
              <w:widowControl w:val="0"/>
              <w:kinsoku/>
              <w:wordWrap/>
              <w:overflowPunct w:val="0"/>
              <w:topLinePunct w:val="0"/>
              <w:autoSpaceDE/>
              <w:autoSpaceDN/>
              <w:bidi w:val="0"/>
              <w:adjustRightInd/>
              <w:snapToGrid/>
              <w:spacing w:line="24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w:t>
            </w:r>
            <w:r>
              <w:rPr>
                <w:rFonts w:hint="eastAsia" w:ascii="仿宋_GB2312" w:hAnsi="宋体" w:eastAsia="仿宋_GB2312" w:cs="仿宋_GB2312"/>
                <w:kern w:val="0"/>
                <w:sz w:val="18"/>
                <w:szCs w:val="18"/>
                <w:lang w:val="en-US" w:eastAsia="zh-CN" w:bidi="ar"/>
              </w:rPr>
              <w:t>1</w:t>
            </w:r>
            <w:r>
              <w:rPr>
                <w:rFonts w:hint="eastAsia" w:ascii="仿宋_GB2312" w:hAnsi="宋体" w:eastAsia="仿宋_GB2312" w:cs="仿宋_GB2312"/>
                <w:kern w:val="0"/>
                <w:sz w:val="18"/>
                <w:szCs w:val="18"/>
                <w:lang w:bidi="ar"/>
              </w:rPr>
              <w:t>00元以上</w:t>
            </w:r>
            <w:r>
              <w:rPr>
                <w:rFonts w:hint="eastAsia" w:ascii="仿宋_GB2312" w:hAnsi="宋体" w:eastAsia="仿宋_GB2312" w:cs="仿宋_GB2312"/>
                <w:kern w:val="0"/>
                <w:sz w:val="18"/>
                <w:szCs w:val="18"/>
                <w:lang w:val="en-US" w:eastAsia="zh-CN" w:bidi="ar"/>
              </w:rPr>
              <w:t>2</w:t>
            </w:r>
            <w:r>
              <w:rPr>
                <w:rFonts w:hint="eastAsia" w:ascii="仿宋_GB2312" w:hAnsi="宋体" w:eastAsia="仿宋_GB2312" w:cs="仿宋_GB2312"/>
                <w:kern w:val="0"/>
                <w:sz w:val="18"/>
                <w:szCs w:val="18"/>
                <w:lang w:bidi="ar"/>
              </w:rPr>
              <w:t>00元以下罚款。</w:t>
            </w:r>
          </w:p>
        </w:tc>
      </w:tr>
      <w:tr w14:paraId="5031B1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6778FDA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38E5BD5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6E54311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2011048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64CCE60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从轻处罚</w:t>
            </w:r>
          </w:p>
        </w:tc>
        <w:tc>
          <w:tcPr>
            <w:tcW w:w="1800" w:type="dxa"/>
            <w:tcBorders>
              <w:tl2br w:val="nil"/>
              <w:tr2bl w:val="nil"/>
            </w:tcBorders>
            <w:shd w:val="clear" w:color="auto" w:fill="auto"/>
            <w:tcMar>
              <w:top w:w="15" w:type="dxa"/>
              <w:left w:w="15" w:type="dxa"/>
              <w:right w:w="15" w:type="dxa"/>
            </w:tcMar>
            <w:vAlign w:val="center"/>
          </w:tcPr>
          <w:p w14:paraId="7EA4A16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立即停止违法行为并改正，造成危害后果轻微的。</w:t>
            </w:r>
          </w:p>
        </w:tc>
        <w:tc>
          <w:tcPr>
            <w:tcW w:w="2557" w:type="dxa"/>
            <w:tcBorders>
              <w:tl2br w:val="nil"/>
              <w:tr2bl w:val="nil"/>
            </w:tcBorders>
            <w:shd w:val="clear" w:color="auto" w:fill="auto"/>
            <w:tcMar>
              <w:top w:w="15" w:type="dxa"/>
              <w:left w:w="15" w:type="dxa"/>
              <w:right w:w="15" w:type="dxa"/>
            </w:tcMar>
            <w:vAlign w:val="center"/>
          </w:tcPr>
          <w:p w14:paraId="6C0FF5E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处200元以上400元以下罚款。</w:t>
            </w:r>
          </w:p>
        </w:tc>
      </w:tr>
      <w:tr w14:paraId="7C3F1D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02A7706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6163D15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0279E07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3E4A174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72949E7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一般处罚</w:t>
            </w:r>
          </w:p>
        </w:tc>
        <w:tc>
          <w:tcPr>
            <w:tcW w:w="1800" w:type="dxa"/>
            <w:tcBorders>
              <w:tl2br w:val="nil"/>
              <w:tr2bl w:val="nil"/>
            </w:tcBorders>
            <w:shd w:val="clear" w:color="auto" w:fill="auto"/>
            <w:tcMar>
              <w:top w:w="15" w:type="dxa"/>
              <w:left w:w="15" w:type="dxa"/>
              <w:right w:w="15" w:type="dxa"/>
            </w:tcMar>
            <w:vAlign w:val="center"/>
          </w:tcPr>
          <w:p w14:paraId="3217442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拒不改正的。</w:t>
            </w:r>
          </w:p>
        </w:tc>
        <w:tc>
          <w:tcPr>
            <w:tcW w:w="2557" w:type="dxa"/>
            <w:tcBorders>
              <w:tl2br w:val="nil"/>
              <w:tr2bl w:val="nil"/>
            </w:tcBorders>
            <w:shd w:val="clear" w:color="auto" w:fill="auto"/>
            <w:tcMar>
              <w:top w:w="15" w:type="dxa"/>
              <w:left w:w="15" w:type="dxa"/>
              <w:right w:w="15" w:type="dxa"/>
            </w:tcMar>
            <w:vAlign w:val="center"/>
          </w:tcPr>
          <w:p w14:paraId="6C70ABE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处400元以上600元以下罚款。</w:t>
            </w:r>
          </w:p>
        </w:tc>
      </w:tr>
      <w:tr w14:paraId="2E401F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416DDD8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0118B4C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23BF844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447FE91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4499EFCE">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从重处罚</w:t>
            </w:r>
          </w:p>
        </w:tc>
        <w:tc>
          <w:tcPr>
            <w:tcW w:w="1800" w:type="dxa"/>
            <w:tcBorders>
              <w:tl2br w:val="nil"/>
              <w:tr2bl w:val="nil"/>
            </w:tcBorders>
            <w:shd w:val="clear" w:color="auto" w:fill="auto"/>
            <w:tcMar>
              <w:top w:w="15" w:type="dxa"/>
              <w:left w:w="15" w:type="dxa"/>
              <w:right w:w="15" w:type="dxa"/>
            </w:tcMar>
            <w:vAlign w:val="center"/>
          </w:tcPr>
          <w:p w14:paraId="01D7887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导致管道损坏或者巡查便道损坏的。</w:t>
            </w:r>
          </w:p>
        </w:tc>
        <w:tc>
          <w:tcPr>
            <w:tcW w:w="2557" w:type="dxa"/>
            <w:tcBorders>
              <w:tl2br w:val="nil"/>
              <w:tr2bl w:val="nil"/>
            </w:tcBorders>
            <w:shd w:val="clear" w:color="auto" w:fill="auto"/>
            <w:tcMar>
              <w:top w:w="15" w:type="dxa"/>
              <w:left w:w="15" w:type="dxa"/>
              <w:right w:w="15" w:type="dxa"/>
            </w:tcMar>
            <w:vAlign w:val="center"/>
          </w:tcPr>
          <w:p w14:paraId="44BCCD4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处600元以上1000元以下罚款。</w:t>
            </w:r>
          </w:p>
        </w:tc>
      </w:tr>
      <w:tr w14:paraId="3579CB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29" w:type="dxa"/>
            <w:vMerge w:val="restart"/>
            <w:tcBorders>
              <w:tl2br w:val="nil"/>
              <w:tr2bl w:val="nil"/>
            </w:tcBorders>
            <w:shd w:val="clear" w:color="auto" w:fill="auto"/>
            <w:tcMar>
              <w:top w:w="15" w:type="dxa"/>
              <w:left w:w="15" w:type="dxa"/>
              <w:right w:w="15" w:type="dxa"/>
            </w:tcMar>
            <w:vAlign w:val="center"/>
          </w:tcPr>
          <w:p w14:paraId="1B1303F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bidi="ar"/>
              </w:rPr>
              <w:t>2</w:t>
            </w:r>
            <w:del w:id="3215" w:author="LV" w:date="2026-07-14T17:18:20Z">
              <w:r>
                <w:rPr>
                  <w:rFonts w:hint="default" w:ascii="仿宋_GB2312" w:hAnsi="宋体" w:eastAsia="仿宋_GB2312" w:cs="仿宋_GB2312"/>
                  <w:kern w:val="0"/>
                  <w:sz w:val="18"/>
                  <w:szCs w:val="18"/>
                  <w:lang w:val="en-US" w:bidi="ar"/>
                </w:rPr>
                <w:delText>4</w:delText>
              </w:r>
            </w:del>
            <w:del w:id="3216" w:author="LV" w:date="2026-07-14T17:18:20Z">
              <w:r>
                <w:rPr>
                  <w:rFonts w:hint="default" w:ascii="仿宋_GB2312" w:hAnsi="宋体" w:eastAsia="仿宋_GB2312" w:cs="仿宋_GB2312"/>
                  <w:kern w:val="0"/>
                  <w:sz w:val="18"/>
                  <w:szCs w:val="18"/>
                  <w:lang w:val="en-US" w:eastAsia="zh-CN" w:bidi="ar"/>
                </w:rPr>
                <w:delText>4</w:delText>
              </w:r>
            </w:del>
            <w:ins w:id="3217" w:author="LV" w:date="2026-07-14T17:18:20Z">
              <w:r>
                <w:rPr>
                  <w:rFonts w:hint="eastAsia" w:ascii="仿宋_GB2312" w:hAnsi="宋体" w:eastAsia="仿宋_GB2312" w:cs="仿宋_GB2312"/>
                  <w:kern w:val="0"/>
                  <w:sz w:val="18"/>
                  <w:szCs w:val="18"/>
                  <w:lang w:val="en-US" w:eastAsia="zh-CN" w:bidi="ar"/>
                </w:rPr>
                <w:t>51</w:t>
              </w:r>
            </w:ins>
          </w:p>
        </w:tc>
        <w:tc>
          <w:tcPr>
            <w:tcW w:w="1006" w:type="dxa"/>
            <w:vMerge w:val="restart"/>
            <w:tcBorders>
              <w:tl2br w:val="nil"/>
              <w:tr2bl w:val="nil"/>
            </w:tcBorders>
            <w:shd w:val="clear" w:color="auto" w:fill="auto"/>
            <w:tcMar>
              <w:top w:w="15" w:type="dxa"/>
              <w:left w:w="15" w:type="dxa"/>
              <w:right w:w="15" w:type="dxa"/>
            </w:tcMar>
            <w:vAlign w:val="center"/>
          </w:tcPr>
          <w:p w14:paraId="0887BFA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在地面管道线路、架空管道线路和管桥上行走或者放置重物</w:t>
            </w:r>
          </w:p>
        </w:tc>
        <w:tc>
          <w:tcPr>
            <w:tcW w:w="3813" w:type="dxa"/>
            <w:vMerge w:val="restart"/>
            <w:tcBorders>
              <w:tl2br w:val="nil"/>
              <w:tr2bl w:val="nil"/>
            </w:tcBorders>
            <w:shd w:val="clear" w:color="auto" w:fill="auto"/>
            <w:tcMar>
              <w:top w:w="15" w:type="dxa"/>
              <w:left w:w="15" w:type="dxa"/>
              <w:right w:w="15" w:type="dxa"/>
            </w:tcMar>
            <w:vAlign w:val="center"/>
          </w:tcPr>
          <w:p w14:paraId="4043494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eastAsia="zh-CN" w:bidi="ar"/>
              </w:rPr>
              <w:t>《中华人民共和国石油天然气管道保护法》</w:t>
            </w:r>
            <w:r>
              <w:rPr>
                <w:rFonts w:hint="eastAsia" w:ascii="仿宋_GB2312" w:hAnsi="宋体" w:eastAsia="仿宋_GB2312" w:cs="仿宋_GB2312"/>
                <w:kern w:val="0"/>
                <w:sz w:val="18"/>
                <w:szCs w:val="18"/>
                <w:lang w:bidi="ar"/>
              </w:rPr>
              <w:t>第二十七条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 xml:space="preserve">禁止下列危害管道安全的行为：（五）在地面管道线路、架空管道线路和管桥上行走或者放置重物； </w:t>
            </w:r>
          </w:p>
        </w:tc>
        <w:tc>
          <w:tcPr>
            <w:tcW w:w="4081" w:type="dxa"/>
            <w:vMerge w:val="restart"/>
            <w:tcBorders>
              <w:tl2br w:val="nil"/>
              <w:tr2bl w:val="nil"/>
            </w:tcBorders>
            <w:shd w:val="clear" w:color="auto" w:fill="auto"/>
            <w:tcMar>
              <w:top w:w="15" w:type="dxa"/>
              <w:left w:w="15" w:type="dxa"/>
              <w:right w:w="15" w:type="dxa"/>
            </w:tcMar>
            <w:vAlign w:val="center"/>
          </w:tcPr>
          <w:p w14:paraId="0BCACFF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eastAsia="zh-CN" w:bidi="ar"/>
              </w:rPr>
              <w:t>《中华人民共和国石油天然气管道保护法》</w:t>
            </w:r>
            <w:r>
              <w:rPr>
                <w:rFonts w:hint="eastAsia" w:ascii="仿宋_GB2312" w:hAnsi="宋体" w:eastAsia="仿宋_GB2312" w:cs="仿宋_GB2312"/>
                <w:kern w:val="0"/>
                <w:sz w:val="18"/>
                <w:szCs w:val="18"/>
                <w:lang w:bidi="ar"/>
              </w:rPr>
              <w:t>第五十四条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 xml:space="preserve">违反本法规定，有下列行为之一的，由县级以上地方人民政府主管管道保护工作的部门责令改正；情节严重的，处二百元以上一千元以下的罚款： （四）在地面管道线路、架空管道线路和管桥上行走或者放置重物的； </w:t>
            </w:r>
          </w:p>
        </w:tc>
        <w:tc>
          <w:tcPr>
            <w:tcW w:w="472" w:type="dxa"/>
            <w:tcBorders>
              <w:tl2br w:val="nil"/>
              <w:tr2bl w:val="nil"/>
            </w:tcBorders>
            <w:shd w:val="clear" w:color="auto" w:fill="auto"/>
            <w:tcMar>
              <w:top w:w="15" w:type="dxa"/>
              <w:left w:w="15" w:type="dxa"/>
              <w:right w:w="15" w:type="dxa"/>
            </w:tcMar>
            <w:vAlign w:val="center"/>
          </w:tcPr>
          <w:p w14:paraId="7C604D9B">
            <w:pPr>
              <w:keepNext w:val="0"/>
              <w:keepLines w:val="0"/>
              <w:pageBreakBefore w:val="0"/>
              <w:widowControl w:val="0"/>
              <w:kinsoku/>
              <w:wordWrap/>
              <w:overflowPunct w:val="0"/>
              <w:topLinePunct w:val="0"/>
              <w:autoSpaceDE/>
              <w:autoSpaceDN/>
              <w:bidi w:val="0"/>
              <w:adjustRightInd/>
              <w:snapToGrid/>
              <w:spacing w:line="24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不予处罚</w:t>
            </w:r>
          </w:p>
        </w:tc>
        <w:tc>
          <w:tcPr>
            <w:tcW w:w="1800" w:type="dxa"/>
            <w:tcBorders>
              <w:tl2br w:val="nil"/>
              <w:tr2bl w:val="nil"/>
            </w:tcBorders>
            <w:shd w:val="clear" w:color="auto" w:fill="auto"/>
            <w:tcMar>
              <w:top w:w="15" w:type="dxa"/>
              <w:left w:w="15" w:type="dxa"/>
              <w:right w:w="15" w:type="dxa"/>
            </w:tcMar>
            <w:vAlign w:val="center"/>
          </w:tcPr>
          <w:p w14:paraId="403D178B">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6B42CFFE">
            <w:pPr>
              <w:keepNext w:val="0"/>
              <w:keepLines w:val="0"/>
              <w:pageBreakBefore w:val="0"/>
              <w:widowControl w:val="0"/>
              <w:kinsoku/>
              <w:wordWrap/>
              <w:overflowPunct w:val="0"/>
              <w:topLinePunct w:val="0"/>
              <w:autoSpaceDE/>
              <w:autoSpaceDN/>
              <w:bidi w:val="0"/>
              <w:adjustRightInd/>
              <w:snapToGrid/>
              <w:spacing w:line="24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13D903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31C4045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78ECB47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67CDAF4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1DBE36C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5FBFCA91">
            <w:pPr>
              <w:keepNext w:val="0"/>
              <w:keepLines w:val="0"/>
              <w:pageBreakBefore w:val="0"/>
              <w:widowControl w:val="0"/>
              <w:kinsoku/>
              <w:wordWrap/>
              <w:overflowPunct w:val="0"/>
              <w:topLinePunct w:val="0"/>
              <w:autoSpaceDE/>
              <w:autoSpaceDN/>
              <w:bidi w:val="0"/>
              <w:adjustRightInd/>
              <w:snapToGrid/>
              <w:spacing w:line="24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免予处罚</w:t>
            </w:r>
          </w:p>
        </w:tc>
        <w:tc>
          <w:tcPr>
            <w:tcW w:w="1800" w:type="dxa"/>
            <w:tcBorders>
              <w:tl2br w:val="nil"/>
              <w:tr2bl w:val="nil"/>
            </w:tcBorders>
            <w:shd w:val="clear" w:color="auto" w:fill="auto"/>
            <w:tcMar>
              <w:top w:w="15" w:type="dxa"/>
              <w:left w:w="15" w:type="dxa"/>
              <w:right w:w="15" w:type="dxa"/>
            </w:tcMar>
            <w:vAlign w:val="center"/>
          </w:tcPr>
          <w:p w14:paraId="702C9E5F">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16FBA520">
            <w:pPr>
              <w:keepNext w:val="0"/>
              <w:keepLines w:val="0"/>
              <w:pageBreakBefore w:val="0"/>
              <w:widowControl w:val="0"/>
              <w:kinsoku/>
              <w:wordWrap/>
              <w:overflowPunct w:val="0"/>
              <w:topLinePunct w:val="0"/>
              <w:autoSpaceDE/>
              <w:autoSpaceDN/>
              <w:bidi w:val="0"/>
              <w:adjustRightInd/>
              <w:snapToGrid/>
              <w:spacing w:line="24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015B6E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21AB5F8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2C53E90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481C7BF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503FAB1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59C7AA75">
            <w:pPr>
              <w:keepNext w:val="0"/>
              <w:keepLines w:val="0"/>
              <w:pageBreakBefore w:val="0"/>
              <w:widowControl w:val="0"/>
              <w:kinsoku/>
              <w:wordWrap/>
              <w:overflowPunct w:val="0"/>
              <w:topLinePunct w:val="0"/>
              <w:autoSpaceDE/>
              <w:autoSpaceDN/>
              <w:bidi w:val="0"/>
              <w:adjustRightInd/>
              <w:snapToGrid/>
              <w:spacing w:line="24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减轻处罚</w:t>
            </w:r>
          </w:p>
        </w:tc>
        <w:tc>
          <w:tcPr>
            <w:tcW w:w="1800" w:type="dxa"/>
            <w:tcBorders>
              <w:tl2br w:val="nil"/>
              <w:tr2bl w:val="nil"/>
            </w:tcBorders>
            <w:shd w:val="clear" w:color="auto" w:fill="auto"/>
            <w:tcMar>
              <w:top w:w="15" w:type="dxa"/>
              <w:left w:w="15" w:type="dxa"/>
              <w:right w:w="15" w:type="dxa"/>
            </w:tcMar>
            <w:vAlign w:val="center"/>
          </w:tcPr>
          <w:p w14:paraId="7935F6E3">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3B685D21">
            <w:pPr>
              <w:keepNext w:val="0"/>
              <w:keepLines w:val="0"/>
              <w:pageBreakBefore w:val="0"/>
              <w:widowControl w:val="0"/>
              <w:kinsoku/>
              <w:wordWrap/>
              <w:overflowPunct w:val="0"/>
              <w:topLinePunct w:val="0"/>
              <w:autoSpaceDE/>
              <w:autoSpaceDN/>
              <w:bidi w:val="0"/>
              <w:adjustRightInd/>
              <w:snapToGrid/>
              <w:spacing w:line="24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w:t>
            </w:r>
            <w:r>
              <w:rPr>
                <w:rFonts w:hint="eastAsia" w:ascii="仿宋_GB2312" w:hAnsi="宋体" w:eastAsia="仿宋_GB2312" w:cs="仿宋_GB2312"/>
                <w:kern w:val="0"/>
                <w:sz w:val="18"/>
                <w:szCs w:val="18"/>
                <w:lang w:val="en-US" w:eastAsia="zh-CN" w:bidi="ar"/>
              </w:rPr>
              <w:t>1</w:t>
            </w:r>
            <w:r>
              <w:rPr>
                <w:rFonts w:hint="eastAsia" w:ascii="仿宋_GB2312" w:hAnsi="宋体" w:eastAsia="仿宋_GB2312" w:cs="仿宋_GB2312"/>
                <w:kern w:val="0"/>
                <w:sz w:val="18"/>
                <w:szCs w:val="18"/>
                <w:lang w:bidi="ar"/>
              </w:rPr>
              <w:t>00元以上</w:t>
            </w:r>
            <w:r>
              <w:rPr>
                <w:rFonts w:hint="eastAsia" w:ascii="仿宋_GB2312" w:hAnsi="宋体" w:eastAsia="仿宋_GB2312" w:cs="仿宋_GB2312"/>
                <w:kern w:val="0"/>
                <w:sz w:val="18"/>
                <w:szCs w:val="18"/>
                <w:lang w:val="en-US" w:eastAsia="zh-CN" w:bidi="ar"/>
              </w:rPr>
              <w:t>2</w:t>
            </w:r>
            <w:r>
              <w:rPr>
                <w:rFonts w:hint="eastAsia" w:ascii="仿宋_GB2312" w:hAnsi="宋体" w:eastAsia="仿宋_GB2312" w:cs="仿宋_GB2312"/>
                <w:kern w:val="0"/>
                <w:sz w:val="18"/>
                <w:szCs w:val="18"/>
                <w:lang w:bidi="ar"/>
              </w:rPr>
              <w:t>00元以下罚款。</w:t>
            </w:r>
          </w:p>
        </w:tc>
      </w:tr>
      <w:tr w14:paraId="29067C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429" w:type="dxa"/>
            <w:vMerge w:val="continue"/>
            <w:tcBorders>
              <w:tl2br w:val="nil"/>
              <w:tr2bl w:val="nil"/>
            </w:tcBorders>
            <w:shd w:val="clear" w:color="auto" w:fill="auto"/>
            <w:tcMar>
              <w:top w:w="15" w:type="dxa"/>
              <w:left w:w="15" w:type="dxa"/>
              <w:right w:w="15" w:type="dxa"/>
            </w:tcMar>
            <w:vAlign w:val="center"/>
          </w:tcPr>
          <w:p w14:paraId="7C6C40A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05CF70A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3AB59D5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040D55E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6B5ADD3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从轻处罚</w:t>
            </w:r>
          </w:p>
        </w:tc>
        <w:tc>
          <w:tcPr>
            <w:tcW w:w="1800" w:type="dxa"/>
            <w:tcBorders>
              <w:tl2br w:val="nil"/>
              <w:tr2bl w:val="nil"/>
            </w:tcBorders>
            <w:shd w:val="clear" w:color="auto" w:fill="auto"/>
            <w:tcMar>
              <w:top w:w="15" w:type="dxa"/>
              <w:left w:w="15" w:type="dxa"/>
              <w:right w:w="15" w:type="dxa"/>
            </w:tcMar>
            <w:vAlign w:val="center"/>
          </w:tcPr>
          <w:p w14:paraId="09E4BF3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立即停止违法行为并改正，造成危害后果轻微的。</w:t>
            </w:r>
          </w:p>
        </w:tc>
        <w:tc>
          <w:tcPr>
            <w:tcW w:w="2557" w:type="dxa"/>
            <w:tcBorders>
              <w:tl2br w:val="nil"/>
              <w:tr2bl w:val="nil"/>
            </w:tcBorders>
            <w:shd w:val="clear" w:color="auto" w:fill="auto"/>
            <w:tcMar>
              <w:top w:w="15" w:type="dxa"/>
              <w:left w:w="15" w:type="dxa"/>
              <w:right w:w="15" w:type="dxa"/>
            </w:tcMar>
            <w:vAlign w:val="center"/>
          </w:tcPr>
          <w:p w14:paraId="40900B3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处200元以上400元以下罚款。</w:t>
            </w:r>
          </w:p>
        </w:tc>
      </w:tr>
      <w:tr w14:paraId="739512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429" w:type="dxa"/>
            <w:vMerge w:val="continue"/>
            <w:tcBorders>
              <w:tl2br w:val="nil"/>
              <w:tr2bl w:val="nil"/>
            </w:tcBorders>
            <w:shd w:val="clear" w:color="auto" w:fill="auto"/>
            <w:tcMar>
              <w:top w:w="15" w:type="dxa"/>
              <w:left w:w="15" w:type="dxa"/>
              <w:right w:w="15" w:type="dxa"/>
            </w:tcMar>
            <w:vAlign w:val="center"/>
          </w:tcPr>
          <w:p w14:paraId="617CC6D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7C47086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45A611D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542657F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38120CF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一般处罚</w:t>
            </w:r>
          </w:p>
        </w:tc>
        <w:tc>
          <w:tcPr>
            <w:tcW w:w="1800" w:type="dxa"/>
            <w:tcBorders>
              <w:tl2br w:val="nil"/>
              <w:tr2bl w:val="nil"/>
            </w:tcBorders>
            <w:shd w:val="clear" w:color="auto" w:fill="auto"/>
            <w:tcMar>
              <w:top w:w="15" w:type="dxa"/>
              <w:left w:w="15" w:type="dxa"/>
              <w:right w:w="15" w:type="dxa"/>
            </w:tcMar>
            <w:vAlign w:val="center"/>
          </w:tcPr>
          <w:p w14:paraId="04F218B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拒不改正的。</w:t>
            </w:r>
          </w:p>
        </w:tc>
        <w:tc>
          <w:tcPr>
            <w:tcW w:w="2557" w:type="dxa"/>
            <w:tcBorders>
              <w:tl2br w:val="nil"/>
              <w:tr2bl w:val="nil"/>
            </w:tcBorders>
            <w:shd w:val="clear" w:color="auto" w:fill="auto"/>
            <w:tcMar>
              <w:top w:w="15" w:type="dxa"/>
              <w:left w:w="15" w:type="dxa"/>
              <w:right w:w="15" w:type="dxa"/>
            </w:tcMar>
            <w:vAlign w:val="center"/>
          </w:tcPr>
          <w:p w14:paraId="5D50D60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处400元以上600元以下罚款。</w:t>
            </w:r>
          </w:p>
        </w:tc>
      </w:tr>
      <w:tr w14:paraId="27698E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429" w:type="dxa"/>
            <w:vMerge w:val="continue"/>
            <w:tcBorders>
              <w:tl2br w:val="nil"/>
              <w:tr2bl w:val="nil"/>
            </w:tcBorders>
            <w:shd w:val="clear" w:color="auto" w:fill="auto"/>
            <w:tcMar>
              <w:top w:w="15" w:type="dxa"/>
              <w:left w:w="15" w:type="dxa"/>
              <w:right w:w="15" w:type="dxa"/>
            </w:tcMar>
            <w:vAlign w:val="center"/>
          </w:tcPr>
          <w:p w14:paraId="0A78CBB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3B84DCD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727B96D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30C8FA8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6F33067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从重处罚</w:t>
            </w:r>
          </w:p>
        </w:tc>
        <w:tc>
          <w:tcPr>
            <w:tcW w:w="1800" w:type="dxa"/>
            <w:tcBorders>
              <w:tl2br w:val="nil"/>
              <w:tr2bl w:val="nil"/>
            </w:tcBorders>
            <w:shd w:val="clear" w:color="auto" w:fill="auto"/>
            <w:tcMar>
              <w:top w:w="15" w:type="dxa"/>
              <w:left w:w="15" w:type="dxa"/>
              <w:right w:w="15" w:type="dxa"/>
            </w:tcMar>
            <w:vAlign w:val="center"/>
          </w:tcPr>
          <w:p w14:paraId="224F30F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损坏管道构成安全隐患的，或者引发管道事故的。</w:t>
            </w:r>
          </w:p>
        </w:tc>
        <w:tc>
          <w:tcPr>
            <w:tcW w:w="2557" w:type="dxa"/>
            <w:tcBorders>
              <w:tl2br w:val="nil"/>
              <w:tr2bl w:val="nil"/>
            </w:tcBorders>
            <w:shd w:val="clear" w:color="auto" w:fill="auto"/>
            <w:tcMar>
              <w:top w:w="15" w:type="dxa"/>
              <w:left w:w="15" w:type="dxa"/>
              <w:right w:w="15" w:type="dxa"/>
            </w:tcMar>
            <w:vAlign w:val="center"/>
          </w:tcPr>
          <w:p w14:paraId="7C7E2DF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处600元以上1000元以下罚款。</w:t>
            </w:r>
          </w:p>
        </w:tc>
      </w:tr>
      <w:tr w14:paraId="531515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restart"/>
            <w:tcBorders>
              <w:tl2br w:val="nil"/>
              <w:tr2bl w:val="nil"/>
            </w:tcBorders>
            <w:shd w:val="clear" w:color="auto" w:fill="auto"/>
            <w:tcMar>
              <w:top w:w="15" w:type="dxa"/>
              <w:left w:w="15" w:type="dxa"/>
              <w:right w:w="15" w:type="dxa"/>
            </w:tcMar>
            <w:vAlign w:val="center"/>
          </w:tcPr>
          <w:p w14:paraId="42B9B62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bidi="ar"/>
              </w:rPr>
              <w:t>2</w:t>
            </w:r>
            <w:del w:id="3218" w:author="LV" w:date="2026-07-14T17:18:23Z">
              <w:r>
                <w:rPr>
                  <w:rFonts w:hint="default" w:ascii="仿宋_GB2312" w:hAnsi="宋体" w:eastAsia="仿宋_GB2312" w:cs="仿宋_GB2312"/>
                  <w:kern w:val="0"/>
                  <w:sz w:val="18"/>
                  <w:szCs w:val="18"/>
                  <w:lang w:val="en-US" w:bidi="ar"/>
                </w:rPr>
                <w:delText>4</w:delText>
              </w:r>
            </w:del>
            <w:del w:id="3219" w:author="LV" w:date="2026-07-14T17:18:23Z">
              <w:r>
                <w:rPr>
                  <w:rFonts w:hint="default" w:ascii="仿宋_GB2312" w:hAnsi="宋体" w:eastAsia="仿宋_GB2312" w:cs="仿宋_GB2312"/>
                  <w:kern w:val="0"/>
                  <w:sz w:val="18"/>
                  <w:szCs w:val="18"/>
                  <w:lang w:val="en-US" w:eastAsia="zh-CN" w:bidi="ar"/>
                </w:rPr>
                <w:delText>5</w:delText>
              </w:r>
            </w:del>
            <w:ins w:id="3220" w:author="LV" w:date="2026-07-14T17:18:23Z">
              <w:r>
                <w:rPr>
                  <w:rFonts w:hint="eastAsia" w:ascii="仿宋_GB2312" w:hAnsi="宋体" w:eastAsia="仿宋_GB2312" w:cs="仿宋_GB2312"/>
                  <w:kern w:val="0"/>
                  <w:sz w:val="18"/>
                  <w:szCs w:val="18"/>
                  <w:lang w:val="en-US" w:eastAsia="zh-CN" w:bidi="ar"/>
                </w:rPr>
                <w:t>5</w:t>
              </w:r>
            </w:ins>
            <w:ins w:id="3221" w:author="LV" w:date="2026-07-14T17:18:24Z">
              <w:r>
                <w:rPr>
                  <w:rFonts w:hint="eastAsia" w:ascii="仿宋_GB2312" w:hAnsi="宋体" w:eastAsia="仿宋_GB2312" w:cs="仿宋_GB2312"/>
                  <w:kern w:val="0"/>
                  <w:sz w:val="18"/>
                  <w:szCs w:val="18"/>
                  <w:lang w:val="en-US" w:eastAsia="zh-CN" w:bidi="ar"/>
                </w:rPr>
                <w:t>2</w:t>
              </w:r>
            </w:ins>
          </w:p>
        </w:tc>
        <w:tc>
          <w:tcPr>
            <w:tcW w:w="1006" w:type="dxa"/>
            <w:vMerge w:val="restart"/>
            <w:tcBorders>
              <w:tl2br w:val="nil"/>
              <w:tr2bl w:val="nil"/>
            </w:tcBorders>
            <w:shd w:val="clear" w:color="auto" w:fill="auto"/>
            <w:tcMar>
              <w:top w:w="15" w:type="dxa"/>
              <w:left w:w="15" w:type="dxa"/>
              <w:right w:w="15" w:type="dxa"/>
            </w:tcMar>
            <w:vAlign w:val="center"/>
          </w:tcPr>
          <w:p w14:paraId="38F15BB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阻碍依法进行的管道建设</w:t>
            </w:r>
          </w:p>
        </w:tc>
        <w:tc>
          <w:tcPr>
            <w:tcW w:w="3813" w:type="dxa"/>
            <w:vMerge w:val="restart"/>
            <w:tcBorders>
              <w:tl2br w:val="nil"/>
              <w:tr2bl w:val="nil"/>
            </w:tcBorders>
            <w:shd w:val="clear" w:color="auto" w:fill="auto"/>
            <w:tcMar>
              <w:top w:w="15" w:type="dxa"/>
              <w:left w:w="15" w:type="dxa"/>
              <w:right w:w="15" w:type="dxa"/>
            </w:tcMar>
            <w:vAlign w:val="center"/>
          </w:tcPr>
          <w:p w14:paraId="4093A97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default"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eastAsia="zh-CN" w:bidi="ar"/>
              </w:rPr>
              <w:t>《中华人民共和国石油天然气管道保护法》</w:t>
            </w:r>
            <w:r>
              <w:rPr>
                <w:rFonts w:hint="eastAsia" w:ascii="仿宋_GB2312" w:hAnsi="宋体" w:eastAsia="仿宋_GB2312" w:cs="仿宋_GB2312"/>
                <w:i w:val="0"/>
                <w:iCs w:val="0"/>
                <w:caps w:val="0"/>
                <w:color w:val="auto"/>
                <w:spacing w:val="0"/>
                <w:kern w:val="0"/>
                <w:sz w:val="18"/>
                <w:szCs w:val="18"/>
                <w:shd w:val="clear" w:fill="auto"/>
                <w:lang w:bidi="ar"/>
              </w:rPr>
              <w:t>第十五条 依照法律和国务院的规定，取得行政许可或者已报送备案并符合开工条件的管道项目的建设，任何单位和个人不得阻碍。</w:t>
            </w:r>
          </w:p>
        </w:tc>
        <w:tc>
          <w:tcPr>
            <w:tcW w:w="4081" w:type="dxa"/>
            <w:vMerge w:val="restart"/>
            <w:tcBorders>
              <w:tl2br w:val="nil"/>
              <w:tr2bl w:val="nil"/>
            </w:tcBorders>
            <w:shd w:val="clear" w:color="auto" w:fill="auto"/>
            <w:tcMar>
              <w:top w:w="15" w:type="dxa"/>
              <w:left w:w="15" w:type="dxa"/>
              <w:right w:w="15" w:type="dxa"/>
            </w:tcMar>
            <w:vAlign w:val="center"/>
          </w:tcPr>
          <w:p w14:paraId="55EB1F7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eastAsia="zh-CN" w:bidi="ar"/>
              </w:rPr>
              <w:t>《中华人民共和国石油天然气管道保护法》</w:t>
            </w:r>
            <w:r>
              <w:rPr>
                <w:rFonts w:hint="eastAsia" w:ascii="仿宋_GB2312" w:hAnsi="宋体" w:eastAsia="仿宋_GB2312" w:cs="仿宋_GB2312"/>
                <w:kern w:val="0"/>
                <w:sz w:val="18"/>
                <w:szCs w:val="18"/>
                <w:lang w:bidi="ar"/>
              </w:rPr>
              <w:t>第五十四条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违反本法规定，有下列行为之一的，由县级以上地方人民政府主管管道保护工作的部门责令改正；情节严重的，处二百元以上一千元以下的罚款：（五）阻碍依法进行的管道建设的。</w:t>
            </w:r>
          </w:p>
        </w:tc>
        <w:tc>
          <w:tcPr>
            <w:tcW w:w="472" w:type="dxa"/>
            <w:tcBorders>
              <w:tl2br w:val="nil"/>
              <w:tr2bl w:val="nil"/>
            </w:tcBorders>
            <w:shd w:val="clear" w:color="auto" w:fill="auto"/>
            <w:tcMar>
              <w:top w:w="15" w:type="dxa"/>
              <w:left w:w="15" w:type="dxa"/>
              <w:right w:w="15" w:type="dxa"/>
            </w:tcMar>
            <w:vAlign w:val="center"/>
          </w:tcPr>
          <w:p w14:paraId="56BC1A9A">
            <w:pPr>
              <w:keepNext w:val="0"/>
              <w:keepLines w:val="0"/>
              <w:pageBreakBefore w:val="0"/>
              <w:widowControl w:val="0"/>
              <w:kinsoku/>
              <w:wordWrap/>
              <w:overflowPunct w:val="0"/>
              <w:topLinePunct w:val="0"/>
              <w:autoSpaceDE/>
              <w:autoSpaceDN/>
              <w:bidi w:val="0"/>
              <w:adjustRightInd/>
              <w:snapToGrid/>
              <w:spacing w:line="26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不予处罚</w:t>
            </w:r>
          </w:p>
        </w:tc>
        <w:tc>
          <w:tcPr>
            <w:tcW w:w="1800" w:type="dxa"/>
            <w:tcBorders>
              <w:tl2br w:val="nil"/>
              <w:tr2bl w:val="nil"/>
            </w:tcBorders>
            <w:shd w:val="clear" w:color="auto" w:fill="auto"/>
            <w:tcMar>
              <w:top w:w="15" w:type="dxa"/>
              <w:left w:w="15" w:type="dxa"/>
              <w:right w:w="15" w:type="dxa"/>
            </w:tcMar>
            <w:vAlign w:val="center"/>
          </w:tcPr>
          <w:p w14:paraId="5166CAE4">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7FEF742C">
            <w:pPr>
              <w:keepNext w:val="0"/>
              <w:keepLines w:val="0"/>
              <w:pageBreakBefore w:val="0"/>
              <w:widowControl w:val="0"/>
              <w:kinsoku/>
              <w:wordWrap/>
              <w:overflowPunct w:val="0"/>
              <w:topLinePunct w:val="0"/>
              <w:autoSpaceDE/>
              <w:autoSpaceDN/>
              <w:bidi w:val="0"/>
              <w:adjustRightInd/>
              <w:snapToGrid/>
              <w:spacing w:line="26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551B04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09464FA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752A6B4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25840A4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75EB0D6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76775D49">
            <w:pPr>
              <w:keepNext w:val="0"/>
              <w:keepLines w:val="0"/>
              <w:pageBreakBefore w:val="0"/>
              <w:widowControl w:val="0"/>
              <w:kinsoku/>
              <w:wordWrap/>
              <w:overflowPunct w:val="0"/>
              <w:topLinePunct w:val="0"/>
              <w:autoSpaceDE/>
              <w:autoSpaceDN/>
              <w:bidi w:val="0"/>
              <w:adjustRightInd/>
              <w:snapToGrid/>
              <w:spacing w:line="26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免予处罚</w:t>
            </w:r>
          </w:p>
        </w:tc>
        <w:tc>
          <w:tcPr>
            <w:tcW w:w="1800" w:type="dxa"/>
            <w:tcBorders>
              <w:tl2br w:val="nil"/>
              <w:tr2bl w:val="nil"/>
            </w:tcBorders>
            <w:shd w:val="clear" w:color="auto" w:fill="auto"/>
            <w:tcMar>
              <w:top w:w="15" w:type="dxa"/>
              <w:left w:w="15" w:type="dxa"/>
              <w:right w:w="15" w:type="dxa"/>
            </w:tcMar>
            <w:vAlign w:val="center"/>
          </w:tcPr>
          <w:p w14:paraId="7139B3DE">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5E4C0D68">
            <w:pPr>
              <w:keepNext w:val="0"/>
              <w:keepLines w:val="0"/>
              <w:pageBreakBefore w:val="0"/>
              <w:widowControl w:val="0"/>
              <w:kinsoku/>
              <w:wordWrap/>
              <w:overflowPunct w:val="0"/>
              <w:topLinePunct w:val="0"/>
              <w:autoSpaceDE/>
              <w:autoSpaceDN/>
              <w:bidi w:val="0"/>
              <w:adjustRightInd/>
              <w:snapToGrid/>
              <w:spacing w:line="26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7DFA51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1F68ECD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5FC1B93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61AFD37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75ADB8D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68D971D7">
            <w:pPr>
              <w:keepNext w:val="0"/>
              <w:keepLines w:val="0"/>
              <w:pageBreakBefore w:val="0"/>
              <w:widowControl w:val="0"/>
              <w:kinsoku/>
              <w:wordWrap/>
              <w:overflowPunct w:val="0"/>
              <w:topLinePunct w:val="0"/>
              <w:autoSpaceDE/>
              <w:autoSpaceDN/>
              <w:bidi w:val="0"/>
              <w:adjustRightInd/>
              <w:snapToGrid/>
              <w:spacing w:line="26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减轻处罚</w:t>
            </w:r>
          </w:p>
        </w:tc>
        <w:tc>
          <w:tcPr>
            <w:tcW w:w="1800" w:type="dxa"/>
            <w:tcBorders>
              <w:tl2br w:val="nil"/>
              <w:tr2bl w:val="nil"/>
            </w:tcBorders>
            <w:shd w:val="clear" w:color="auto" w:fill="auto"/>
            <w:tcMar>
              <w:top w:w="15" w:type="dxa"/>
              <w:left w:w="15" w:type="dxa"/>
              <w:right w:w="15" w:type="dxa"/>
            </w:tcMar>
            <w:vAlign w:val="center"/>
          </w:tcPr>
          <w:p w14:paraId="7FF3E267">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42726E2D">
            <w:pPr>
              <w:keepNext w:val="0"/>
              <w:keepLines w:val="0"/>
              <w:pageBreakBefore w:val="0"/>
              <w:widowControl w:val="0"/>
              <w:kinsoku/>
              <w:wordWrap/>
              <w:overflowPunct w:val="0"/>
              <w:topLinePunct w:val="0"/>
              <w:autoSpaceDE/>
              <w:autoSpaceDN/>
              <w:bidi w:val="0"/>
              <w:adjustRightInd/>
              <w:snapToGrid/>
              <w:spacing w:line="26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w:t>
            </w:r>
            <w:r>
              <w:rPr>
                <w:rFonts w:hint="eastAsia" w:ascii="仿宋_GB2312" w:hAnsi="宋体" w:eastAsia="仿宋_GB2312" w:cs="仿宋_GB2312"/>
                <w:kern w:val="0"/>
                <w:sz w:val="18"/>
                <w:szCs w:val="18"/>
                <w:lang w:val="en-US" w:eastAsia="zh-CN" w:bidi="ar"/>
              </w:rPr>
              <w:t>1</w:t>
            </w:r>
            <w:r>
              <w:rPr>
                <w:rFonts w:hint="eastAsia" w:ascii="仿宋_GB2312" w:hAnsi="宋体" w:eastAsia="仿宋_GB2312" w:cs="仿宋_GB2312"/>
                <w:kern w:val="0"/>
                <w:sz w:val="18"/>
                <w:szCs w:val="18"/>
                <w:lang w:bidi="ar"/>
              </w:rPr>
              <w:t>00元以上</w:t>
            </w:r>
            <w:r>
              <w:rPr>
                <w:rFonts w:hint="eastAsia" w:ascii="仿宋_GB2312" w:hAnsi="宋体" w:eastAsia="仿宋_GB2312" w:cs="仿宋_GB2312"/>
                <w:kern w:val="0"/>
                <w:sz w:val="18"/>
                <w:szCs w:val="18"/>
                <w:lang w:val="en-US" w:eastAsia="zh-CN" w:bidi="ar"/>
              </w:rPr>
              <w:t>2</w:t>
            </w:r>
            <w:r>
              <w:rPr>
                <w:rFonts w:hint="eastAsia" w:ascii="仿宋_GB2312" w:hAnsi="宋体" w:eastAsia="仿宋_GB2312" w:cs="仿宋_GB2312"/>
                <w:kern w:val="0"/>
                <w:sz w:val="18"/>
                <w:szCs w:val="18"/>
                <w:lang w:bidi="ar"/>
              </w:rPr>
              <w:t>00元以下罚款。</w:t>
            </w:r>
          </w:p>
        </w:tc>
      </w:tr>
      <w:tr w14:paraId="54D9CF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429" w:type="dxa"/>
            <w:vMerge w:val="continue"/>
            <w:tcBorders>
              <w:tl2br w:val="nil"/>
              <w:tr2bl w:val="nil"/>
            </w:tcBorders>
            <w:shd w:val="clear" w:color="auto" w:fill="auto"/>
            <w:tcMar>
              <w:top w:w="15" w:type="dxa"/>
              <w:left w:w="15" w:type="dxa"/>
              <w:right w:w="15" w:type="dxa"/>
            </w:tcMar>
            <w:vAlign w:val="center"/>
          </w:tcPr>
          <w:p w14:paraId="6EE7D45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5224981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3B2046A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4864B0B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20447E2A">
            <w:pPr>
              <w:keepNext w:val="0"/>
              <w:keepLines w:val="0"/>
              <w:pageBreakBefore w:val="0"/>
              <w:widowControl w:val="0"/>
              <w:kinsoku/>
              <w:wordWrap/>
              <w:overflowPunct w:val="0"/>
              <w:topLinePunct w:val="0"/>
              <w:autoSpaceDE/>
              <w:autoSpaceDN/>
              <w:bidi w:val="0"/>
              <w:adjustRightInd/>
              <w:snapToGrid/>
              <w:spacing w:line="26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从轻处罚</w:t>
            </w:r>
          </w:p>
        </w:tc>
        <w:tc>
          <w:tcPr>
            <w:tcW w:w="1800" w:type="dxa"/>
            <w:tcBorders>
              <w:tl2br w:val="nil"/>
              <w:tr2bl w:val="nil"/>
            </w:tcBorders>
            <w:shd w:val="clear" w:color="auto" w:fill="auto"/>
            <w:tcMar>
              <w:top w:w="15" w:type="dxa"/>
              <w:left w:w="15" w:type="dxa"/>
              <w:right w:w="15" w:type="dxa"/>
            </w:tcMar>
            <w:vAlign w:val="center"/>
          </w:tcPr>
          <w:p w14:paraId="453025EF">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立即停止违法行为并改正，造成危害后果轻微的。</w:t>
            </w:r>
          </w:p>
        </w:tc>
        <w:tc>
          <w:tcPr>
            <w:tcW w:w="2557" w:type="dxa"/>
            <w:tcBorders>
              <w:tl2br w:val="nil"/>
              <w:tr2bl w:val="nil"/>
            </w:tcBorders>
            <w:shd w:val="clear" w:color="auto" w:fill="auto"/>
            <w:tcMar>
              <w:top w:w="15" w:type="dxa"/>
              <w:left w:w="15" w:type="dxa"/>
              <w:right w:w="15" w:type="dxa"/>
            </w:tcMar>
            <w:vAlign w:val="center"/>
          </w:tcPr>
          <w:p w14:paraId="5F8B54AD">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处200元以上400元以下罚款。</w:t>
            </w:r>
          </w:p>
        </w:tc>
      </w:tr>
      <w:tr w14:paraId="02617D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429" w:type="dxa"/>
            <w:vMerge w:val="continue"/>
            <w:tcBorders>
              <w:tl2br w:val="nil"/>
              <w:tr2bl w:val="nil"/>
            </w:tcBorders>
            <w:shd w:val="clear" w:color="auto" w:fill="auto"/>
            <w:tcMar>
              <w:top w:w="15" w:type="dxa"/>
              <w:left w:w="15" w:type="dxa"/>
              <w:right w:w="15" w:type="dxa"/>
            </w:tcMar>
            <w:vAlign w:val="center"/>
          </w:tcPr>
          <w:p w14:paraId="7215BD6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2BE6A72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1241ADA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12F0D17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11F677F5">
            <w:pPr>
              <w:keepNext w:val="0"/>
              <w:keepLines w:val="0"/>
              <w:pageBreakBefore w:val="0"/>
              <w:widowControl w:val="0"/>
              <w:kinsoku/>
              <w:wordWrap/>
              <w:overflowPunct w:val="0"/>
              <w:topLinePunct w:val="0"/>
              <w:autoSpaceDE/>
              <w:autoSpaceDN/>
              <w:bidi w:val="0"/>
              <w:adjustRightInd/>
              <w:snapToGrid/>
              <w:spacing w:line="26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一般处罚</w:t>
            </w:r>
          </w:p>
        </w:tc>
        <w:tc>
          <w:tcPr>
            <w:tcW w:w="1800" w:type="dxa"/>
            <w:tcBorders>
              <w:tl2br w:val="nil"/>
              <w:tr2bl w:val="nil"/>
            </w:tcBorders>
            <w:shd w:val="clear" w:color="auto" w:fill="auto"/>
            <w:tcMar>
              <w:top w:w="15" w:type="dxa"/>
              <w:left w:w="15" w:type="dxa"/>
              <w:right w:w="15" w:type="dxa"/>
            </w:tcMar>
            <w:vAlign w:val="center"/>
          </w:tcPr>
          <w:p w14:paraId="457D63CF">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拒不改正，阻碍期限累计不足7日的。</w:t>
            </w:r>
          </w:p>
        </w:tc>
        <w:tc>
          <w:tcPr>
            <w:tcW w:w="2557" w:type="dxa"/>
            <w:tcBorders>
              <w:tl2br w:val="nil"/>
              <w:tr2bl w:val="nil"/>
            </w:tcBorders>
            <w:shd w:val="clear" w:color="auto" w:fill="auto"/>
            <w:tcMar>
              <w:top w:w="15" w:type="dxa"/>
              <w:left w:w="15" w:type="dxa"/>
              <w:right w:w="15" w:type="dxa"/>
            </w:tcMar>
            <w:vAlign w:val="center"/>
          </w:tcPr>
          <w:p w14:paraId="29462DFF">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处400元以上600元以下罚款。</w:t>
            </w:r>
          </w:p>
        </w:tc>
      </w:tr>
      <w:tr w14:paraId="672607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429" w:type="dxa"/>
            <w:vMerge w:val="continue"/>
            <w:tcBorders>
              <w:tl2br w:val="nil"/>
              <w:tr2bl w:val="nil"/>
            </w:tcBorders>
            <w:shd w:val="clear" w:color="auto" w:fill="auto"/>
            <w:tcMar>
              <w:top w:w="15" w:type="dxa"/>
              <w:left w:w="15" w:type="dxa"/>
              <w:right w:w="15" w:type="dxa"/>
            </w:tcMar>
            <w:vAlign w:val="center"/>
          </w:tcPr>
          <w:p w14:paraId="4E1996C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6B38C1A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60198CF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4972867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2F00A8D4">
            <w:pPr>
              <w:keepNext w:val="0"/>
              <w:keepLines w:val="0"/>
              <w:pageBreakBefore w:val="0"/>
              <w:widowControl w:val="0"/>
              <w:kinsoku/>
              <w:wordWrap/>
              <w:overflowPunct w:val="0"/>
              <w:topLinePunct w:val="0"/>
              <w:autoSpaceDE/>
              <w:autoSpaceDN/>
              <w:bidi w:val="0"/>
              <w:adjustRightInd/>
              <w:snapToGrid/>
              <w:spacing w:line="26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从重处罚</w:t>
            </w:r>
          </w:p>
        </w:tc>
        <w:tc>
          <w:tcPr>
            <w:tcW w:w="1800" w:type="dxa"/>
            <w:tcBorders>
              <w:tl2br w:val="nil"/>
              <w:tr2bl w:val="nil"/>
            </w:tcBorders>
            <w:shd w:val="clear" w:color="auto" w:fill="auto"/>
            <w:tcMar>
              <w:top w:w="15" w:type="dxa"/>
              <w:left w:w="15" w:type="dxa"/>
              <w:right w:w="15" w:type="dxa"/>
            </w:tcMar>
            <w:vAlign w:val="center"/>
          </w:tcPr>
          <w:p w14:paraId="681561ED">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拒不改正，阻碍期限累计7日以上的。</w:t>
            </w:r>
          </w:p>
        </w:tc>
        <w:tc>
          <w:tcPr>
            <w:tcW w:w="2557" w:type="dxa"/>
            <w:tcBorders>
              <w:tl2br w:val="nil"/>
              <w:tr2bl w:val="nil"/>
            </w:tcBorders>
            <w:shd w:val="clear" w:color="auto" w:fill="auto"/>
            <w:tcMar>
              <w:top w:w="15" w:type="dxa"/>
              <w:left w:w="15" w:type="dxa"/>
              <w:right w:w="15" w:type="dxa"/>
            </w:tcMar>
            <w:vAlign w:val="center"/>
          </w:tcPr>
          <w:p w14:paraId="054E592D">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处600元以上1000</w:t>
            </w:r>
            <w:ins w:id="3222" w:author="LV" w:date="2026-07-23T15:52:28Z">
              <w:r>
                <w:rPr>
                  <w:rFonts w:hint="eastAsia" w:ascii="仿宋_GB2312" w:hAnsi="宋体" w:eastAsia="仿宋_GB2312" w:cs="仿宋_GB2312"/>
                  <w:kern w:val="0"/>
                  <w:sz w:val="18"/>
                  <w:szCs w:val="18"/>
                  <w:lang w:val="en-US" w:eastAsia="zh-CN" w:bidi="ar"/>
                </w:rPr>
                <w:t>元</w:t>
              </w:r>
            </w:ins>
            <w:r>
              <w:rPr>
                <w:rFonts w:hint="eastAsia" w:ascii="仿宋_GB2312" w:hAnsi="宋体" w:eastAsia="仿宋_GB2312" w:cs="仿宋_GB2312"/>
                <w:kern w:val="0"/>
                <w:sz w:val="18"/>
                <w:szCs w:val="18"/>
                <w:lang w:bidi="ar"/>
              </w:rPr>
              <w:t>以下罚款。</w:t>
            </w:r>
          </w:p>
        </w:tc>
      </w:tr>
      <w:tr w14:paraId="255BE8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restart"/>
            <w:tcBorders>
              <w:tl2br w:val="nil"/>
              <w:tr2bl w:val="nil"/>
            </w:tcBorders>
            <w:shd w:val="clear" w:color="auto" w:fill="auto"/>
            <w:tcMar>
              <w:top w:w="15" w:type="dxa"/>
              <w:left w:w="15" w:type="dxa"/>
              <w:right w:w="15" w:type="dxa"/>
            </w:tcMar>
            <w:vAlign w:val="center"/>
          </w:tcPr>
          <w:p w14:paraId="10DA8E3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bidi="ar"/>
              </w:rPr>
              <w:t>2</w:t>
            </w:r>
            <w:del w:id="3223" w:author="LV" w:date="2026-07-14T17:18:27Z">
              <w:r>
                <w:rPr>
                  <w:rFonts w:hint="default" w:ascii="仿宋_GB2312" w:hAnsi="宋体" w:eastAsia="仿宋_GB2312" w:cs="仿宋_GB2312"/>
                  <w:kern w:val="0"/>
                  <w:sz w:val="18"/>
                  <w:szCs w:val="18"/>
                  <w:lang w:val="en-US" w:bidi="ar"/>
                </w:rPr>
                <w:delText>4</w:delText>
              </w:r>
            </w:del>
            <w:del w:id="3224" w:author="LV" w:date="2026-07-14T17:18:27Z">
              <w:r>
                <w:rPr>
                  <w:rFonts w:hint="default" w:ascii="仿宋_GB2312" w:hAnsi="宋体" w:eastAsia="仿宋_GB2312" w:cs="仿宋_GB2312"/>
                  <w:kern w:val="0"/>
                  <w:sz w:val="18"/>
                  <w:szCs w:val="18"/>
                  <w:lang w:val="en-US" w:eastAsia="zh-CN" w:bidi="ar"/>
                </w:rPr>
                <w:delText>6</w:delText>
              </w:r>
            </w:del>
            <w:ins w:id="3225" w:author="LV" w:date="2026-07-14T17:18:27Z">
              <w:r>
                <w:rPr>
                  <w:rFonts w:hint="eastAsia" w:ascii="仿宋_GB2312" w:hAnsi="宋体" w:eastAsia="仿宋_GB2312" w:cs="仿宋_GB2312"/>
                  <w:kern w:val="0"/>
                  <w:sz w:val="18"/>
                  <w:szCs w:val="18"/>
                  <w:lang w:val="en-US" w:eastAsia="zh-CN" w:bidi="ar"/>
                </w:rPr>
                <w:t>53</w:t>
              </w:r>
            </w:ins>
          </w:p>
        </w:tc>
        <w:tc>
          <w:tcPr>
            <w:tcW w:w="1006" w:type="dxa"/>
            <w:vMerge w:val="restart"/>
            <w:tcBorders>
              <w:tl2br w:val="nil"/>
              <w:tr2bl w:val="nil"/>
            </w:tcBorders>
            <w:shd w:val="clear" w:color="auto" w:fill="auto"/>
            <w:tcMar>
              <w:top w:w="15" w:type="dxa"/>
              <w:left w:w="15" w:type="dxa"/>
              <w:right w:w="15" w:type="dxa"/>
            </w:tcMar>
            <w:vAlign w:val="center"/>
          </w:tcPr>
          <w:p w14:paraId="5D19B0C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妨碍、阻碍管道企业进行日常巡护、检测、维修保养等作业活动</w:t>
            </w:r>
          </w:p>
        </w:tc>
        <w:tc>
          <w:tcPr>
            <w:tcW w:w="3813" w:type="dxa"/>
            <w:vMerge w:val="restart"/>
            <w:tcBorders>
              <w:tl2br w:val="nil"/>
              <w:tr2bl w:val="nil"/>
            </w:tcBorders>
            <w:shd w:val="clear" w:color="auto" w:fill="auto"/>
            <w:tcMar>
              <w:top w:w="15" w:type="dxa"/>
              <w:left w:w="15" w:type="dxa"/>
              <w:right w:w="15" w:type="dxa"/>
            </w:tcMar>
            <w:vAlign w:val="center"/>
          </w:tcPr>
          <w:p w14:paraId="239E2BC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《山东省石油天然气管道保护条例》第二十二条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管道沿线的乡镇人民政府、街道办事处、村（居）民委员会，应当为管道企业的日常巡护、检测、维修保养和事故抢修等作业活动提供必要的便利。任何单位和个人不得妨碍、阻碍管道企业进行日常巡护、检测、维修保养等作业活动。</w:t>
            </w:r>
          </w:p>
        </w:tc>
        <w:tc>
          <w:tcPr>
            <w:tcW w:w="4081" w:type="dxa"/>
            <w:vMerge w:val="restart"/>
            <w:tcBorders>
              <w:tl2br w:val="nil"/>
              <w:tr2bl w:val="nil"/>
            </w:tcBorders>
            <w:shd w:val="clear" w:color="auto" w:fill="auto"/>
            <w:tcMar>
              <w:top w:w="15" w:type="dxa"/>
              <w:left w:w="15" w:type="dxa"/>
              <w:right w:w="15" w:type="dxa"/>
            </w:tcMar>
            <w:vAlign w:val="center"/>
          </w:tcPr>
          <w:p w14:paraId="730108C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《山东省石油天然气管道保护条例》“第四十三条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违反本条例规定，妨碍、阻碍管道企业进行日常巡护、检测、维修保养等作业活动的，由县级人民政府管道保护主管部门责令改正；拒不改正的，处二百元以上一千元以下罚款。”</w:t>
            </w:r>
          </w:p>
        </w:tc>
        <w:tc>
          <w:tcPr>
            <w:tcW w:w="472" w:type="dxa"/>
            <w:tcBorders>
              <w:tl2br w:val="nil"/>
              <w:tr2bl w:val="nil"/>
            </w:tcBorders>
            <w:shd w:val="clear" w:color="auto" w:fill="auto"/>
            <w:tcMar>
              <w:top w:w="15" w:type="dxa"/>
              <w:left w:w="15" w:type="dxa"/>
              <w:right w:w="15" w:type="dxa"/>
            </w:tcMar>
            <w:vAlign w:val="center"/>
          </w:tcPr>
          <w:p w14:paraId="770A7111">
            <w:pPr>
              <w:keepNext w:val="0"/>
              <w:keepLines w:val="0"/>
              <w:pageBreakBefore w:val="0"/>
              <w:widowControl w:val="0"/>
              <w:kinsoku/>
              <w:wordWrap/>
              <w:overflowPunct w:val="0"/>
              <w:topLinePunct w:val="0"/>
              <w:autoSpaceDE/>
              <w:autoSpaceDN/>
              <w:bidi w:val="0"/>
              <w:adjustRightInd/>
              <w:snapToGrid/>
              <w:spacing w:line="26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不予处罚</w:t>
            </w:r>
          </w:p>
        </w:tc>
        <w:tc>
          <w:tcPr>
            <w:tcW w:w="1800" w:type="dxa"/>
            <w:tcBorders>
              <w:tl2br w:val="nil"/>
              <w:tr2bl w:val="nil"/>
            </w:tcBorders>
            <w:shd w:val="clear" w:color="auto" w:fill="auto"/>
            <w:tcMar>
              <w:top w:w="15" w:type="dxa"/>
              <w:left w:w="15" w:type="dxa"/>
              <w:right w:w="15" w:type="dxa"/>
            </w:tcMar>
            <w:vAlign w:val="center"/>
          </w:tcPr>
          <w:p w14:paraId="083356D7">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2CB902E3">
            <w:pPr>
              <w:keepNext w:val="0"/>
              <w:keepLines w:val="0"/>
              <w:pageBreakBefore w:val="0"/>
              <w:widowControl w:val="0"/>
              <w:kinsoku/>
              <w:wordWrap/>
              <w:overflowPunct w:val="0"/>
              <w:topLinePunct w:val="0"/>
              <w:autoSpaceDE/>
              <w:autoSpaceDN/>
              <w:bidi w:val="0"/>
              <w:adjustRightInd/>
              <w:snapToGrid/>
              <w:spacing w:line="26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03CCEB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2AA367D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050B98F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35F9435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02BBDF0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0856529C">
            <w:pPr>
              <w:keepNext w:val="0"/>
              <w:keepLines w:val="0"/>
              <w:pageBreakBefore w:val="0"/>
              <w:widowControl w:val="0"/>
              <w:kinsoku/>
              <w:wordWrap/>
              <w:overflowPunct w:val="0"/>
              <w:topLinePunct w:val="0"/>
              <w:autoSpaceDE/>
              <w:autoSpaceDN/>
              <w:bidi w:val="0"/>
              <w:adjustRightInd/>
              <w:snapToGrid/>
              <w:spacing w:line="26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免予处罚</w:t>
            </w:r>
          </w:p>
        </w:tc>
        <w:tc>
          <w:tcPr>
            <w:tcW w:w="1800" w:type="dxa"/>
            <w:tcBorders>
              <w:tl2br w:val="nil"/>
              <w:tr2bl w:val="nil"/>
            </w:tcBorders>
            <w:shd w:val="clear" w:color="auto" w:fill="auto"/>
            <w:tcMar>
              <w:top w:w="15" w:type="dxa"/>
              <w:left w:w="15" w:type="dxa"/>
              <w:right w:w="15" w:type="dxa"/>
            </w:tcMar>
            <w:vAlign w:val="center"/>
          </w:tcPr>
          <w:p w14:paraId="53A272B0">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633CFF57">
            <w:pPr>
              <w:keepNext w:val="0"/>
              <w:keepLines w:val="0"/>
              <w:pageBreakBefore w:val="0"/>
              <w:widowControl w:val="0"/>
              <w:kinsoku/>
              <w:wordWrap/>
              <w:overflowPunct w:val="0"/>
              <w:topLinePunct w:val="0"/>
              <w:autoSpaceDE/>
              <w:autoSpaceDN/>
              <w:bidi w:val="0"/>
              <w:adjustRightInd/>
              <w:snapToGrid/>
              <w:spacing w:line="26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70A400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654F68B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3DDC61E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5342A85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105AAE5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2A268CE9">
            <w:pPr>
              <w:keepNext w:val="0"/>
              <w:keepLines w:val="0"/>
              <w:pageBreakBefore w:val="0"/>
              <w:widowControl w:val="0"/>
              <w:kinsoku/>
              <w:wordWrap/>
              <w:overflowPunct w:val="0"/>
              <w:topLinePunct w:val="0"/>
              <w:autoSpaceDE/>
              <w:autoSpaceDN/>
              <w:bidi w:val="0"/>
              <w:adjustRightInd/>
              <w:snapToGrid/>
              <w:spacing w:line="26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减轻处罚</w:t>
            </w:r>
          </w:p>
        </w:tc>
        <w:tc>
          <w:tcPr>
            <w:tcW w:w="1800" w:type="dxa"/>
            <w:tcBorders>
              <w:tl2br w:val="nil"/>
              <w:tr2bl w:val="nil"/>
            </w:tcBorders>
            <w:shd w:val="clear" w:color="auto" w:fill="auto"/>
            <w:tcMar>
              <w:top w:w="15" w:type="dxa"/>
              <w:left w:w="15" w:type="dxa"/>
              <w:right w:w="15" w:type="dxa"/>
            </w:tcMar>
            <w:vAlign w:val="center"/>
          </w:tcPr>
          <w:p w14:paraId="225804CB">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51A8B7DF">
            <w:pPr>
              <w:keepNext w:val="0"/>
              <w:keepLines w:val="0"/>
              <w:pageBreakBefore w:val="0"/>
              <w:widowControl w:val="0"/>
              <w:kinsoku/>
              <w:wordWrap/>
              <w:overflowPunct w:val="0"/>
              <w:topLinePunct w:val="0"/>
              <w:autoSpaceDE/>
              <w:autoSpaceDN/>
              <w:bidi w:val="0"/>
              <w:adjustRightInd/>
              <w:snapToGrid/>
              <w:spacing w:line="26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w:t>
            </w:r>
            <w:r>
              <w:rPr>
                <w:rFonts w:hint="eastAsia" w:ascii="仿宋_GB2312" w:hAnsi="宋体" w:eastAsia="仿宋_GB2312" w:cs="仿宋_GB2312"/>
                <w:kern w:val="0"/>
                <w:sz w:val="18"/>
                <w:szCs w:val="18"/>
                <w:lang w:val="en-US" w:eastAsia="zh-CN" w:bidi="ar"/>
              </w:rPr>
              <w:t>1</w:t>
            </w:r>
            <w:r>
              <w:rPr>
                <w:rFonts w:hint="eastAsia" w:ascii="仿宋_GB2312" w:hAnsi="宋体" w:eastAsia="仿宋_GB2312" w:cs="仿宋_GB2312"/>
                <w:kern w:val="0"/>
                <w:sz w:val="18"/>
                <w:szCs w:val="18"/>
                <w:lang w:bidi="ar"/>
              </w:rPr>
              <w:t>00元以上</w:t>
            </w:r>
            <w:r>
              <w:rPr>
                <w:rFonts w:hint="eastAsia" w:ascii="仿宋_GB2312" w:hAnsi="宋体" w:eastAsia="仿宋_GB2312" w:cs="仿宋_GB2312"/>
                <w:kern w:val="0"/>
                <w:sz w:val="18"/>
                <w:szCs w:val="18"/>
                <w:lang w:val="en-US" w:eastAsia="zh-CN" w:bidi="ar"/>
              </w:rPr>
              <w:t>2</w:t>
            </w:r>
            <w:r>
              <w:rPr>
                <w:rFonts w:hint="eastAsia" w:ascii="仿宋_GB2312" w:hAnsi="宋体" w:eastAsia="仿宋_GB2312" w:cs="仿宋_GB2312"/>
                <w:kern w:val="0"/>
                <w:sz w:val="18"/>
                <w:szCs w:val="18"/>
                <w:lang w:bidi="ar"/>
              </w:rPr>
              <w:t>00元以下罚款。</w:t>
            </w:r>
          </w:p>
        </w:tc>
      </w:tr>
      <w:tr w14:paraId="5D543D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6"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4794225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47CDA73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4DA2819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73ACFCF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6F8FCC4C">
            <w:pPr>
              <w:keepNext w:val="0"/>
              <w:keepLines w:val="0"/>
              <w:pageBreakBefore w:val="0"/>
              <w:widowControl w:val="0"/>
              <w:kinsoku/>
              <w:wordWrap/>
              <w:overflowPunct w:val="0"/>
              <w:topLinePunct w:val="0"/>
              <w:autoSpaceDE/>
              <w:autoSpaceDN/>
              <w:bidi w:val="0"/>
              <w:adjustRightInd/>
              <w:snapToGrid/>
              <w:spacing w:line="26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从轻处罚</w:t>
            </w:r>
          </w:p>
        </w:tc>
        <w:tc>
          <w:tcPr>
            <w:tcW w:w="1800" w:type="dxa"/>
            <w:tcBorders>
              <w:tl2br w:val="nil"/>
              <w:tr2bl w:val="nil"/>
            </w:tcBorders>
            <w:shd w:val="clear" w:color="auto" w:fill="auto"/>
            <w:tcMar>
              <w:top w:w="15" w:type="dxa"/>
              <w:left w:w="15" w:type="dxa"/>
              <w:right w:w="15" w:type="dxa"/>
            </w:tcMar>
            <w:vAlign w:val="center"/>
          </w:tcPr>
          <w:p w14:paraId="3BC7DA39">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拒不改正，未构成管道安全隐患的。</w:t>
            </w:r>
          </w:p>
        </w:tc>
        <w:tc>
          <w:tcPr>
            <w:tcW w:w="2557" w:type="dxa"/>
            <w:tcBorders>
              <w:tl2br w:val="nil"/>
              <w:tr2bl w:val="nil"/>
            </w:tcBorders>
            <w:shd w:val="clear" w:color="auto" w:fill="auto"/>
            <w:tcMar>
              <w:top w:w="15" w:type="dxa"/>
              <w:left w:w="15" w:type="dxa"/>
              <w:right w:w="15" w:type="dxa"/>
            </w:tcMar>
            <w:vAlign w:val="center"/>
          </w:tcPr>
          <w:p w14:paraId="6EAC933A">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处200元以上400元以下罚款。</w:t>
            </w:r>
          </w:p>
        </w:tc>
      </w:tr>
      <w:tr w14:paraId="566272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2B80620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160CE8E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56D956A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590BA19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05B48CE5">
            <w:pPr>
              <w:keepNext w:val="0"/>
              <w:keepLines w:val="0"/>
              <w:pageBreakBefore w:val="0"/>
              <w:widowControl w:val="0"/>
              <w:kinsoku/>
              <w:wordWrap/>
              <w:overflowPunct w:val="0"/>
              <w:topLinePunct w:val="0"/>
              <w:autoSpaceDE/>
              <w:autoSpaceDN/>
              <w:bidi w:val="0"/>
              <w:adjustRightInd/>
              <w:snapToGrid/>
              <w:spacing w:line="26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一般处罚</w:t>
            </w:r>
          </w:p>
        </w:tc>
        <w:tc>
          <w:tcPr>
            <w:tcW w:w="1800" w:type="dxa"/>
            <w:tcBorders>
              <w:tl2br w:val="nil"/>
              <w:tr2bl w:val="nil"/>
            </w:tcBorders>
            <w:shd w:val="clear" w:color="auto" w:fill="auto"/>
            <w:tcMar>
              <w:top w:w="15" w:type="dxa"/>
              <w:left w:w="15" w:type="dxa"/>
              <w:right w:w="15" w:type="dxa"/>
            </w:tcMar>
            <w:vAlign w:val="center"/>
          </w:tcPr>
          <w:p w14:paraId="4B3CFD2B">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拒不改正，构成管道安全隐患的。</w:t>
            </w:r>
          </w:p>
        </w:tc>
        <w:tc>
          <w:tcPr>
            <w:tcW w:w="2557" w:type="dxa"/>
            <w:tcBorders>
              <w:tl2br w:val="nil"/>
              <w:tr2bl w:val="nil"/>
            </w:tcBorders>
            <w:shd w:val="clear" w:color="auto" w:fill="auto"/>
            <w:tcMar>
              <w:top w:w="15" w:type="dxa"/>
              <w:left w:w="15" w:type="dxa"/>
              <w:right w:w="15" w:type="dxa"/>
            </w:tcMar>
            <w:vAlign w:val="center"/>
          </w:tcPr>
          <w:p w14:paraId="0CBA308E">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处400元以上600元以下罚款。</w:t>
            </w:r>
          </w:p>
        </w:tc>
      </w:tr>
      <w:tr w14:paraId="71B945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2B1C7E7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751A0AA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08F5291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6DD009D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6ECD69C1">
            <w:pPr>
              <w:keepNext w:val="0"/>
              <w:keepLines w:val="0"/>
              <w:pageBreakBefore w:val="0"/>
              <w:widowControl w:val="0"/>
              <w:kinsoku/>
              <w:wordWrap/>
              <w:overflowPunct w:val="0"/>
              <w:topLinePunct w:val="0"/>
              <w:autoSpaceDE/>
              <w:autoSpaceDN/>
              <w:bidi w:val="0"/>
              <w:adjustRightInd/>
              <w:snapToGrid/>
              <w:spacing w:line="26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从重处罚</w:t>
            </w:r>
          </w:p>
        </w:tc>
        <w:tc>
          <w:tcPr>
            <w:tcW w:w="1800" w:type="dxa"/>
            <w:tcBorders>
              <w:tl2br w:val="nil"/>
              <w:tr2bl w:val="nil"/>
            </w:tcBorders>
            <w:shd w:val="clear" w:color="auto" w:fill="auto"/>
            <w:tcMar>
              <w:top w:w="15" w:type="dxa"/>
              <w:left w:w="15" w:type="dxa"/>
              <w:right w:w="15" w:type="dxa"/>
            </w:tcMar>
            <w:vAlign w:val="center"/>
          </w:tcPr>
          <w:p w14:paraId="7837B6C6">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拒不改正，引发管道事故的。</w:t>
            </w:r>
          </w:p>
        </w:tc>
        <w:tc>
          <w:tcPr>
            <w:tcW w:w="2557" w:type="dxa"/>
            <w:tcBorders>
              <w:tl2br w:val="nil"/>
              <w:tr2bl w:val="nil"/>
            </w:tcBorders>
            <w:shd w:val="clear" w:color="auto" w:fill="auto"/>
            <w:tcMar>
              <w:top w:w="15" w:type="dxa"/>
              <w:left w:w="15" w:type="dxa"/>
              <w:right w:w="15" w:type="dxa"/>
            </w:tcMar>
            <w:vAlign w:val="center"/>
          </w:tcPr>
          <w:p w14:paraId="197E30B1">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处600元以上1000元以下罚款。</w:t>
            </w:r>
          </w:p>
        </w:tc>
      </w:tr>
      <w:tr w14:paraId="1659A8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restart"/>
            <w:tcBorders>
              <w:tl2br w:val="nil"/>
              <w:tr2bl w:val="nil"/>
            </w:tcBorders>
            <w:shd w:val="clear" w:color="auto" w:fill="auto"/>
            <w:tcMar>
              <w:top w:w="15" w:type="dxa"/>
              <w:left w:w="15" w:type="dxa"/>
              <w:right w:w="15" w:type="dxa"/>
            </w:tcMar>
            <w:vAlign w:val="center"/>
          </w:tcPr>
          <w:p w14:paraId="012226A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bidi="ar"/>
              </w:rPr>
              <w:t>2</w:t>
            </w:r>
            <w:del w:id="3226" w:author="LV" w:date="2026-07-14T17:18:33Z">
              <w:r>
                <w:rPr>
                  <w:rFonts w:hint="default" w:ascii="仿宋_GB2312" w:hAnsi="宋体" w:eastAsia="仿宋_GB2312" w:cs="仿宋_GB2312"/>
                  <w:kern w:val="0"/>
                  <w:sz w:val="18"/>
                  <w:szCs w:val="18"/>
                  <w:lang w:val="en-US" w:bidi="ar"/>
                </w:rPr>
                <w:delText>4</w:delText>
              </w:r>
            </w:del>
            <w:del w:id="3227" w:author="LV" w:date="2026-07-14T17:18:33Z">
              <w:r>
                <w:rPr>
                  <w:rFonts w:hint="default" w:ascii="仿宋_GB2312" w:hAnsi="宋体" w:eastAsia="仿宋_GB2312" w:cs="仿宋_GB2312"/>
                  <w:kern w:val="0"/>
                  <w:sz w:val="18"/>
                  <w:szCs w:val="18"/>
                  <w:lang w:val="en-US" w:eastAsia="zh-CN" w:bidi="ar"/>
                </w:rPr>
                <w:delText>7</w:delText>
              </w:r>
            </w:del>
            <w:ins w:id="3228" w:author="LV" w:date="2026-07-14T17:18:33Z">
              <w:r>
                <w:rPr>
                  <w:rFonts w:hint="eastAsia" w:ascii="仿宋_GB2312" w:hAnsi="宋体" w:eastAsia="仿宋_GB2312" w:cs="仿宋_GB2312"/>
                  <w:kern w:val="0"/>
                  <w:sz w:val="18"/>
                  <w:szCs w:val="18"/>
                  <w:lang w:val="en-US" w:eastAsia="zh-CN" w:bidi="ar"/>
                </w:rPr>
                <w:t>5</w:t>
              </w:r>
            </w:ins>
            <w:ins w:id="3229" w:author="LV" w:date="2026-07-14T17:18:38Z">
              <w:r>
                <w:rPr>
                  <w:rFonts w:hint="eastAsia" w:ascii="仿宋_GB2312" w:hAnsi="宋体" w:eastAsia="仿宋_GB2312" w:cs="仿宋_GB2312"/>
                  <w:kern w:val="0"/>
                  <w:sz w:val="18"/>
                  <w:szCs w:val="18"/>
                  <w:lang w:val="en-US" w:eastAsia="zh-CN" w:bidi="ar"/>
                </w:rPr>
                <w:t>4</w:t>
              </w:r>
            </w:ins>
          </w:p>
        </w:tc>
        <w:tc>
          <w:tcPr>
            <w:tcW w:w="1006" w:type="dxa"/>
            <w:vMerge w:val="restart"/>
            <w:tcBorders>
              <w:tl2br w:val="nil"/>
              <w:tr2bl w:val="nil"/>
            </w:tcBorders>
            <w:shd w:val="clear" w:color="auto" w:fill="auto"/>
            <w:tcMar>
              <w:top w:w="15" w:type="dxa"/>
              <w:left w:w="15" w:type="dxa"/>
              <w:right w:w="15" w:type="dxa"/>
            </w:tcMar>
            <w:vAlign w:val="center"/>
          </w:tcPr>
          <w:p w14:paraId="1EFEBA3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施工单位未经批准，擅自进行穿跨越管道的施工作业</w:t>
            </w:r>
          </w:p>
        </w:tc>
        <w:tc>
          <w:tcPr>
            <w:tcW w:w="3813" w:type="dxa"/>
            <w:vMerge w:val="restart"/>
            <w:tcBorders>
              <w:tl2br w:val="nil"/>
              <w:tr2bl w:val="nil"/>
            </w:tcBorders>
            <w:shd w:val="clear" w:color="auto" w:fill="auto"/>
            <w:tcMar>
              <w:top w:w="15" w:type="dxa"/>
              <w:left w:w="15" w:type="dxa"/>
              <w:right w:w="15" w:type="dxa"/>
            </w:tcMar>
            <w:vAlign w:val="center"/>
          </w:tcPr>
          <w:p w14:paraId="0691CF5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eastAsia="zh-CN" w:bidi="ar"/>
              </w:rPr>
              <w:t>《中华人民共和国石油天然气管道保护法》</w:t>
            </w:r>
            <w:r>
              <w:rPr>
                <w:rFonts w:hint="eastAsia" w:ascii="仿宋_GB2312" w:hAnsi="宋体" w:eastAsia="仿宋_GB2312" w:cs="仿宋_GB2312"/>
                <w:kern w:val="0"/>
                <w:sz w:val="18"/>
                <w:szCs w:val="18"/>
                <w:lang w:bidi="ar"/>
              </w:rPr>
              <w:t>第三十五条</w:t>
            </w:r>
            <w:r>
              <w:rPr>
                <w:rFonts w:hint="eastAsia" w:ascii="仿宋_GB2312" w:hAnsi="宋体" w:eastAsia="仿宋_GB2312" w:cs="仿宋_GB2312"/>
                <w:kern w:val="0"/>
                <w:sz w:val="18"/>
                <w:szCs w:val="18"/>
                <w:lang w:val="en-US" w:eastAsia="zh-CN" w:bidi="ar"/>
              </w:rPr>
              <w:t xml:space="preserve"> </w:t>
            </w:r>
            <w:r>
              <w:rPr>
                <w:rFonts w:hint="eastAsia" w:ascii="仿宋_GB2312" w:hAnsi="宋体" w:eastAsia="仿宋_GB2312" w:cs="仿宋_GB2312"/>
                <w:kern w:val="0"/>
                <w:sz w:val="18"/>
                <w:szCs w:val="18"/>
                <w:lang w:bidi="ar"/>
              </w:rPr>
              <w:t>进行下列施工作业，施工单位应当向管道所在地县级人民政府主管管道保护工作的部门提出申请：（一）穿跨越管道的施工作业；</w:t>
            </w:r>
          </w:p>
        </w:tc>
        <w:tc>
          <w:tcPr>
            <w:tcW w:w="4081" w:type="dxa"/>
            <w:vMerge w:val="restart"/>
            <w:tcBorders>
              <w:tl2br w:val="nil"/>
              <w:tr2bl w:val="nil"/>
            </w:tcBorders>
            <w:shd w:val="clear" w:color="auto" w:fill="auto"/>
            <w:tcMar>
              <w:top w:w="15" w:type="dxa"/>
              <w:left w:w="15" w:type="dxa"/>
              <w:right w:w="15" w:type="dxa"/>
            </w:tcMar>
            <w:vAlign w:val="center"/>
          </w:tcPr>
          <w:p w14:paraId="6B50B6D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eastAsia="zh-CN" w:bidi="ar"/>
              </w:rPr>
              <w:t>《中华人民共和国石油天然气管道保护法》</w:t>
            </w:r>
            <w:r>
              <w:rPr>
                <w:rFonts w:hint="eastAsia" w:ascii="仿宋_GB2312" w:hAnsi="宋体" w:eastAsia="仿宋_GB2312" w:cs="仿宋_GB2312"/>
                <w:kern w:val="0"/>
                <w:sz w:val="18"/>
                <w:szCs w:val="18"/>
                <w:lang w:bidi="ar"/>
              </w:rPr>
              <w:t>第五十三条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未经依法批准，进行本法第三十三条第二款或者第三十五条规定的施工作业的，由县级以上地方人民政府主管管道保护工作的部门责令停止违法行为；情节较重的，处一万元以上五万元以下的罚款；对违法修建的危害管道安全的建筑物、构筑物或者其他设施限期拆除；逾期未拆除的，由县级以上地方人民政府主管管道保护工作的部门组织拆除，所需费用由违法行为人承担。</w:t>
            </w:r>
          </w:p>
        </w:tc>
        <w:tc>
          <w:tcPr>
            <w:tcW w:w="472" w:type="dxa"/>
            <w:tcBorders>
              <w:tl2br w:val="nil"/>
              <w:tr2bl w:val="nil"/>
            </w:tcBorders>
            <w:shd w:val="clear" w:color="auto" w:fill="auto"/>
            <w:tcMar>
              <w:top w:w="15" w:type="dxa"/>
              <w:left w:w="15" w:type="dxa"/>
              <w:right w:w="15" w:type="dxa"/>
            </w:tcMar>
            <w:vAlign w:val="center"/>
          </w:tcPr>
          <w:p w14:paraId="3D15C77F">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不予处罚</w:t>
            </w:r>
          </w:p>
        </w:tc>
        <w:tc>
          <w:tcPr>
            <w:tcW w:w="1800" w:type="dxa"/>
            <w:tcBorders>
              <w:tl2br w:val="nil"/>
              <w:tr2bl w:val="nil"/>
            </w:tcBorders>
            <w:shd w:val="clear" w:color="auto" w:fill="auto"/>
            <w:tcMar>
              <w:top w:w="15" w:type="dxa"/>
              <w:left w:w="15" w:type="dxa"/>
              <w:right w:w="15" w:type="dxa"/>
            </w:tcMar>
            <w:vAlign w:val="center"/>
          </w:tcPr>
          <w:p w14:paraId="63E18AA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6CC5043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4C4E69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767852F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4D0810D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766FB52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474E1A9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3026456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免予处罚</w:t>
            </w:r>
          </w:p>
        </w:tc>
        <w:tc>
          <w:tcPr>
            <w:tcW w:w="1800" w:type="dxa"/>
            <w:tcBorders>
              <w:tl2br w:val="nil"/>
              <w:tr2bl w:val="nil"/>
            </w:tcBorders>
            <w:shd w:val="clear" w:color="auto" w:fill="auto"/>
            <w:tcMar>
              <w:top w:w="15" w:type="dxa"/>
              <w:left w:w="15" w:type="dxa"/>
              <w:right w:w="15" w:type="dxa"/>
            </w:tcMar>
            <w:vAlign w:val="center"/>
          </w:tcPr>
          <w:p w14:paraId="137F437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1D6F027E">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7EC7BD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6B4A084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1EFC0D8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186ED09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3CE2F74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230DE59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减轻处罚</w:t>
            </w:r>
          </w:p>
        </w:tc>
        <w:tc>
          <w:tcPr>
            <w:tcW w:w="1800" w:type="dxa"/>
            <w:tcBorders>
              <w:tl2br w:val="nil"/>
              <w:tr2bl w:val="nil"/>
            </w:tcBorders>
            <w:shd w:val="clear" w:color="auto" w:fill="auto"/>
            <w:tcMar>
              <w:top w:w="15" w:type="dxa"/>
              <w:left w:w="15" w:type="dxa"/>
              <w:right w:w="15" w:type="dxa"/>
            </w:tcMar>
            <w:vAlign w:val="center"/>
          </w:tcPr>
          <w:p w14:paraId="241A3C6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5B99CD54">
            <w:pPr>
              <w:keepNext w:val="0"/>
              <w:keepLines w:val="0"/>
              <w:pageBreakBefore w:val="0"/>
              <w:widowControl w:val="0"/>
              <w:kinsoku/>
              <w:wordWrap/>
              <w:overflowPunct w:val="0"/>
              <w:topLinePunct w:val="0"/>
              <w:autoSpaceDE/>
              <w:autoSpaceDN/>
              <w:bidi w:val="0"/>
              <w:adjustRightInd/>
              <w:snapToGrid/>
              <w:spacing w:line="280" w:lineRule="exact"/>
              <w:jc w:val="both"/>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w:t>
            </w:r>
            <w:r>
              <w:rPr>
                <w:rFonts w:hint="eastAsia" w:ascii="仿宋_GB2312" w:hAnsi="宋体" w:eastAsia="仿宋_GB2312" w:cs="仿宋_GB2312"/>
                <w:kern w:val="0"/>
                <w:sz w:val="18"/>
                <w:szCs w:val="18"/>
                <w:lang w:val="en-US" w:eastAsia="zh-CN" w:bidi="ar"/>
              </w:rPr>
              <w:t>5000</w:t>
            </w:r>
            <w:r>
              <w:rPr>
                <w:rFonts w:hint="eastAsia" w:ascii="仿宋_GB2312" w:hAnsi="宋体" w:eastAsia="仿宋_GB2312" w:cs="仿宋_GB2312"/>
                <w:kern w:val="0"/>
                <w:sz w:val="18"/>
                <w:szCs w:val="18"/>
                <w:lang w:bidi="ar"/>
              </w:rPr>
              <w:t>元以上</w:t>
            </w:r>
            <w:r>
              <w:rPr>
                <w:rFonts w:hint="eastAsia" w:ascii="仿宋_GB2312" w:hAnsi="宋体" w:eastAsia="仿宋_GB2312" w:cs="仿宋_GB2312"/>
                <w:kern w:val="0"/>
                <w:sz w:val="18"/>
                <w:szCs w:val="18"/>
                <w:lang w:val="en-US" w:eastAsia="zh-CN" w:bidi="ar"/>
              </w:rPr>
              <w:t>1</w:t>
            </w:r>
            <w:r>
              <w:rPr>
                <w:rFonts w:hint="eastAsia" w:ascii="仿宋_GB2312" w:hAnsi="宋体" w:eastAsia="仿宋_GB2312" w:cs="仿宋_GB2312"/>
                <w:kern w:val="0"/>
                <w:sz w:val="18"/>
                <w:szCs w:val="18"/>
                <w:lang w:bidi="ar"/>
              </w:rPr>
              <w:t>万元以下罚款。</w:t>
            </w:r>
          </w:p>
        </w:tc>
      </w:tr>
      <w:tr w14:paraId="07F844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4687C91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15092BE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2368AAA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6705C30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2FAF30DD">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从轻处罚</w:t>
            </w:r>
          </w:p>
        </w:tc>
        <w:tc>
          <w:tcPr>
            <w:tcW w:w="1800" w:type="dxa"/>
            <w:tcBorders>
              <w:tl2br w:val="nil"/>
              <w:tr2bl w:val="nil"/>
            </w:tcBorders>
            <w:shd w:val="clear" w:color="auto" w:fill="auto"/>
            <w:tcMar>
              <w:top w:w="15" w:type="dxa"/>
              <w:left w:w="15" w:type="dxa"/>
              <w:right w:w="15" w:type="dxa"/>
            </w:tcMar>
            <w:vAlign w:val="center"/>
          </w:tcPr>
          <w:p w14:paraId="6E8C87E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立即停止违法行为并改正，造成危害后果轻微的。</w:t>
            </w:r>
          </w:p>
        </w:tc>
        <w:tc>
          <w:tcPr>
            <w:tcW w:w="2557" w:type="dxa"/>
            <w:tcBorders>
              <w:tl2br w:val="nil"/>
              <w:tr2bl w:val="nil"/>
            </w:tcBorders>
            <w:shd w:val="clear" w:color="auto" w:fill="auto"/>
            <w:tcMar>
              <w:top w:w="15" w:type="dxa"/>
              <w:left w:w="15" w:type="dxa"/>
              <w:right w:w="15" w:type="dxa"/>
            </w:tcMar>
            <w:vAlign w:val="center"/>
          </w:tcPr>
          <w:p w14:paraId="14EF33A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处1万元以上2万元以下罚款。</w:t>
            </w:r>
          </w:p>
        </w:tc>
      </w:tr>
      <w:tr w14:paraId="689065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630779C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41426FA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25462A7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39654BD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437BB75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一般处罚</w:t>
            </w:r>
          </w:p>
        </w:tc>
        <w:tc>
          <w:tcPr>
            <w:tcW w:w="1800" w:type="dxa"/>
            <w:tcBorders>
              <w:tl2br w:val="nil"/>
              <w:tr2bl w:val="nil"/>
            </w:tcBorders>
            <w:shd w:val="clear" w:color="auto" w:fill="auto"/>
            <w:tcMar>
              <w:top w:w="15" w:type="dxa"/>
              <w:left w:w="15" w:type="dxa"/>
              <w:right w:w="15" w:type="dxa"/>
            </w:tcMar>
            <w:vAlign w:val="center"/>
          </w:tcPr>
          <w:p w14:paraId="5F3CF9D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已采取必要的安全防护措施，责令停止违法行为后，继续实施穿跨越管道施工作业的。</w:t>
            </w:r>
          </w:p>
        </w:tc>
        <w:tc>
          <w:tcPr>
            <w:tcW w:w="2557" w:type="dxa"/>
            <w:tcBorders>
              <w:tl2br w:val="nil"/>
              <w:tr2bl w:val="nil"/>
            </w:tcBorders>
            <w:shd w:val="clear" w:color="auto" w:fill="auto"/>
            <w:tcMar>
              <w:top w:w="15" w:type="dxa"/>
              <w:left w:w="15" w:type="dxa"/>
              <w:right w:w="15" w:type="dxa"/>
            </w:tcMar>
            <w:vAlign w:val="center"/>
          </w:tcPr>
          <w:p w14:paraId="756D82D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处2万元以上4万元以下罚款。</w:t>
            </w:r>
          </w:p>
        </w:tc>
      </w:tr>
      <w:tr w14:paraId="1A8D99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66D331F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7B22B1A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648751C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167B546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7A9AAC6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从重处罚</w:t>
            </w:r>
          </w:p>
        </w:tc>
        <w:tc>
          <w:tcPr>
            <w:tcW w:w="1800" w:type="dxa"/>
            <w:tcBorders>
              <w:tl2br w:val="nil"/>
              <w:tr2bl w:val="nil"/>
            </w:tcBorders>
            <w:shd w:val="clear" w:color="auto" w:fill="auto"/>
            <w:tcMar>
              <w:top w:w="15" w:type="dxa"/>
              <w:left w:w="15" w:type="dxa"/>
              <w:right w:w="15" w:type="dxa"/>
            </w:tcMar>
            <w:vAlign w:val="center"/>
          </w:tcPr>
          <w:p w14:paraId="4D3332B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未采取必要的安全防护措施，责令停止违法行为后，继续实施穿跨越管道施工作业的；构成管道安全隐患的，或者引发管道事故的。</w:t>
            </w:r>
          </w:p>
        </w:tc>
        <w:tc>
          <w:tcPr>
            <w:tcW w:w="2557" w:type="dxa"/>
            <w:tcBorders>
              <w:tl2br w:val="nil"/>
              <w:tr2bl w:val="nil"/>
            </w:tcBorders>
            <w:shd w:val="clear" w:color="auto" w:fill="auto"/>
            <w:tcMar>
              <w:top w:w="15" w:type="dxa"/>
              <w:left w:w="15" w:type="dxa"/>
              <w:right w:w="15" w:type="dxa"/>
            </w:tcMar>
            <w:vAlign w:val="center"/>
          </w:tcPr>
          <w:p w14:paraId="17E0249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处4万元以上5万元以下罚款。</w:t>
            </w:r>
          </w:p>
        </w:tc>
      </w:tr>
      <w:tr w14:paraId="6E6B66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restart"/>
            <w:tcBorders>
              <w:tl2br w:val="nil"/>
              <w:tr2bl w:val="nil"/>
            </w:tcBorders>
            <w:shd w:val="clear" w:color="auto" w:fill="auto"/>
            <w:tcMar>
              <w:top w:w="15" w:type="dxa"/>
              <w:left w:w="15" w:type="dxa"/>
              <w:right w:w="15" w:type="dxa"/>
            </w:tcMar>
            <w:vAlign w:val="center"/>
          </w:tcPr>
          <w:p w14:paraId="1804D61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bidi="ar"/>
              </w:rPr>
              <w:t>2</w:t>
            </w:r>
            <w:del w:id="3230" w:author="LV" w:date="2026-07-14T17:18:42Z">
              <w:r>
                <w:rPr>
                  <w:rFonts w:hint="default" w:ascii="仿宋_GB2312" w:hAnsi="宋体" w:eastAsia="仿宋_GB2312" w:cs="仿宋_GB2312"/>
                  <w:kern w:val="0"/>
                  <w:sz w:val="18"/>
                  <w:szCs w:val="18"/>
                  <w:lang w:val="en-US" w:bidi="ar"/>
                </w:rPr>
                <w:delText>4</w:delText>
              </w:r>
            </w:del>
            <w:del w:id="3231" w:author="LV" w:date="2026-07-14T17:18:42Z">
              <w:r>
                <w:rPr>
                  <w:rFonts w:hint="default" w:ascii="仿宋_GB2312" w:hAnsi="宋体" w:eastAsia="仿宋_GB2312" w:cs="仿宋_GB2312"/>
                  <w:kern w:val="0"/>
                  <w:sz w:val="18"/>
                  <w:szCs w:val="18"/>
                  <w:lang w:val="en-US" w:eastAsia="zh-CN" w:bidi="ar"/>
                </w:rPr>
                <w:delText>8</w:delText>
              </w:r>
            </w:del>
            <w:ins w:id="3232" w:author="LV" w:date="2026-07-14T17:18:42Z">
              <w:r>
                <w:rPr>
                  <w:rFonts w:hint="eastAsia" w:ascii="仿宋_GB2312" w:hAnsi="宋体" w:eastAsia="仿宋_GB2312" w:cs="仿宋_GB2312"/>
                  <w:kern w:val="0"/>
                  <w:sz w:val="18"/>
                  <w:szCs w:val="18"/>
                  <w:lang w:val="en-US" w:eastAsia="zh-CN" w:bidi="ar"/>
                </w:rPr>
                <w:t>55</w:t>
              </w:r>
            </w:ins>
          </w:p>
        </w:tc>
        <w:tc>
          <w:tcPr>
            <w:tcW w:w="1006" w:type="dxa"/>
            <w:vMerge w:val="restart"/>
            <w:tcBorders>
              <w:tl2br w:val="nil"/>
              <w:tr2bl w:val="nil"/>
            </w:tcBorders>
            <w:shd w:val="clear" w:color="auto" w:fill="auto"/>
            <w:tcMar>
              <w:top w:w="15" w:type="dxa"/>
              <w:left w:w="15" w:type="dxa"/>
              <w:right w:w="15" w:type="dxa"/>
            </w:tcMar>
            <w:vAlign w:val="center"/>
          </w:tcPr>
          <w:p w14:paraId="25F895E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施工单位未经批准，在管道线路中心线两侧各五米至五十米和本法第五十八条第一项所列管道附属设施周边一百米地域范围内，新建、改建、扩建铁路、公路、河渠，架设电力线路，埋设地下电缆、光缆，设置安全接地体、避雷接地体</w:t>
            </w:r>
          </w:p>
        </w:tc>
        <w:tc>
          <w:tcPr>
            <w:tcW w:w="3813" w:type="dxa"/>
            <w:vMerge w:val="restart"/>
            <w:tcBorders>
              <w:tl2br w:val="nil"/>
              <w:tr2bl w:val="nil"/>
            </w:tcBorders>
            <w:shd w:val="clear" w:color="auto" w:fill="auto"/>
            <w:tcMar>
              <w:top w:w="15" w:type="dxa"/>
              <w:left w:w="15" w:type="dxa"/>
              <w:right w:w="15" w:type="dxa"/>
            </w:tcMar>
            <w:vAlign w:val="center"/>
          </w:tcPr>
          <w:p w14:paraId="725D7DF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eastAsia="zh-CN" w:bidi="ar"/>
              </w:rPr>
              <w:t>《中华人民共和国石油天然气管道保护法》</w:t>
            </w:r>
            <w:r>
              <w:rPr>
                <w:rFonts w:hint="eastAsia" w:ascii="仿宋_GB2312" w:hAnsi="宋体" w:eastAsia="仿宋_GB2312" w:cs="仿宋_GB2312"/>
                <w:kern w:val="0"/>
                <w:sz w:val="18"/>
                <w:szCs w:val="18"/>
                <w:lang w:bidi="ar"/>
              </w:rPr>
              <w:t>第三十五条</w:t>
            </w:r>
            <w:r>
              <w:rPr>
                <w:rFonts w:hint="eastAsia" w:ascii="仿宋_GB2312" w:hAnsi="宋体" w:eastAsia="仿宋_GB2312" w:cs="仿宋_GB2312"/>
                <w:kern w:val="0"/>
                <w:sz w:val="18"/>
                <w:szCs w:val="18"/>
                <w:lang w:val="en-US" w:eastAsia="zh-CN" w:bidi="ar"/>
              </w:rPr>
              <w:t xml:space="preserve"> </w:t>
            </w:r>
            <w:r>
              <w:rPr>
                <w:rFonts w:hint="eastAsia" w:ascii="仿宋_GB2312" w:hAnsi="宋体" w:eastAsia="仿宋_GB2312" w:cs="仿宋_GB2312"/>
                <w:kern w:val="0"/>
                <w:sz w:val="18"/>
                <w:szCs w:val="18"/>
                <w:lang w:bidi="ar"/>
              </w:rPr>
              <w:t>进行下列施工作业，施工单位应当向管道所在地县级人民政府主管管道保护工作的部门提出申请：（二）在管道线路中心线两侧各五米至五十米和本法第五十八条第一项所列管道附属设施周边一百米地域范围内，新建、改建、扩建铁路、公路、河渠，架设电力线路，埋设地下电缆、光缆，设置安全接地体、避雷接地体；</w:t>
            </w:r>
          </w:p>
        </w:tc>
        <w:tc>
          <w:tcPr>
            <w:tcW w:w="4081" w:type="dxa"/>
            <w:vMerge w:val="restart"/>
            <w:tcBorders>
              <w:tl2br w:val="nil"/>
              <w:tr2bl w:val="nil"/>
            </w:tcBorders>
            <w:shd w:val="clear" w:color="auto" w:fill="auto"/>
            <w:tcMar>
              <w:top w:w="15" w:type="dxa"/>
              <w:left w:w="15" w:type="dxa"/>
              <w:right w:w="15" w:type="dxa"/>
            </w:tcMar>
            <w:vAlign w:val="center"/>
          </w:tcPr>
          <w:p w14:paraId="455250D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eastAsia="zh-CN" w:bidi="ar"/>
              </w:rPr>
              <w:t>《中华人民共和国石油天然气管道保护法》</w:t>
            </w:r>
            <w:r>
              <w:rPr>
                <w:rFonts w:hint="eastAsia" w:ascii="仿宋_GB2312" w:hAnsi="宋体" w:eastAsia="仿宋_GB2312" w:cs="仿宋_GB2312"/>
                <w:kern w:val="0"/>
                <w:sz w:val="18"/>
                <w:szCs w:val="18"/>
                <w:lang w:bidi="ar"/>
              </w:rPr>
              <w:t>第五十三条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未经依法批准，进行本法第三十三条第二款或者第三十五条规定的施工作业的，由县级以上地方人民政府主管管道保护工作的部门责令停止违法行为；情节较重的，处一万元以上五万元以下的罚款。</w:t>
            </w:r>
          </w:p>
        </w:tc>
        <w:tc>
          <w:tcPr>
            <w:tcW w:w="472" w:type="dxa"/>
            <w:tcBorders>
              <w:tl2br w:val="nil"/>
              <w:tr2bl w:val="nil"/>
            </w:tcBorders>
            <w:shd w:val="clear" w:color="auto" w:fill="auto"/>
            <w:tcMar>
              <w:top w:w="15" w:type="dxa"/>
              <w:left w:w="15" w:type="dxa"/>
              <w:right w:w="15" w:type="dxa"/>
            </w:tcMar>
            <w:vAlign w:val="center"/>
          </w:tcPr>
          <w:p w14:paraId="4778C384">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不予处罚</w:t>
            </w:r>
          </w:p>
        </w:tc>
        <w:tc>
          <w:tcPr>
            <w:tcW w:w="1800" w:type="dxa"/>
            <w:tcBorders>
              <w:tl2br w:val="nil"/>
              <w:tr2bl w:val="nil"/>
            </w:tcBorders>
            <w:shd w:val="clear" w:color="auto" w:fill="auto"/>
            <w:tcMar>
              <w:top w:w="15" w:type="dxa"/>
              <w:left w:w="15" w:type="dxa"/>
              <w:right w:w="15" w:type="dxa"/>
            </w:tcMar>
            <w:vAlign w:val="center"/>
          </w:tcPr>
          <w:p w14:paraId="2A8504A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4C9D434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2FDF42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07A64F4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632F382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20E53BA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3EB74A9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7219730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免予处罚</w:t>
            </w:r>
          </w:p>
        </w:tc>
        <w:tc>
          <w:tcPr>
            <w:tcW w:w="1800" w:type="dxa"/>
            <w:tcBorders>
              <w:tl2br w:val="nil"/>
              <w:tr2bl w:val="nil"/>
            </w:tcBorders>
            <w:shd w:val="clear" w:color="auto" w:fill="auto"/>
            <w:tcMar>
              <w:top w:w="15" w:type="dxa"/>
              <w:left w:w="15" w:type="dxa"/>
              <w:right w:w="15" w:type="dxa"/>
            </w:tcMar>
            <w:vAlign w:val="center"/>
          </w:tcPr>
          <w:p w14:paraId="7524ABD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2ED84AC6">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3D6DB0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191406E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1C5419F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5E7E61E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1BFE3CD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53D3C7E3">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减轻处罚</w:t>
            </w:r>
          </w:p>
        </w:tc>
        <w:tc>
          <w:tcPr>
            <w:tcW w:w="1800" w:type="dxa"/>
            <w:tcBorders>
              <w:tl2br w:val="nil"/>
              <w:tr2bl w:val="nil"/>
            </w:tcBorders>
            <w:shd w:val="clear" w:color="auto" w:fill="auto"/>
            <w:tcMar>
              <w:top w:w="15" w:type="dxa"/>
              <w:left w:w="15" w:type="dxa"/>
              <w:right w:w="15" w:type="dxa"/>
            </w:tcMar>
            <w:vAlign w:val="center"/>
          </w:tcPr>
          <w:p w14:paraId="646BD11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26BA22E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w:t>
            </w:r>
            <w:r>
              <w:rPr>
                <w:rFonts w:hint="eastAsia" w:ascii="仿宋_GB2312" w:hAnsi="宋体" w:eastAsia="仿宋_GB2312" w:cs="仿宋_GB2312"/>
                <w:kern w:val="0"/>
                <w:sz w:val="18"/>
                <w:szCs w:val="18"/>
                <w:lang w:val="en-US" w:eastAsia="zh-CN" w:bidi="ar"/>
              </w:rPr>
              <w:t>5000</w:t>
            </w:r>
            <w:r>
              <w:rPr>
                <w:rFonts w:hint="eastAsia" w:ascii="仿宋_GB2312" w:hAnsi="宋体" w:eastAsia="仿宋_GB2312" w:cs="仿宋_GB2312"/>
                <w:kern w:val="0"/>
                <w:sz w:val="18"/>
                <w:szCs w:val="18"/>
                <w:lang w:bidi="ar"/>
              </w:rPr>
              <w:t>元以上</w:t>
            </w:r>
            <w:r>
              <w:rPr>
                <w:rFonts w:hint="eastAsia" w:ascii="仿宋_GB2312" w:hAnsi="宋体" w:eastAsia="仿宋_GB2312" w:cs="仿宋_GB2312"/>
                <w:kern w:val="0"/>
                <w:sz w:val="18"/>
                <w:szCs w:val="18"/>
                <w:lang w:val="en-US" w:eastAsia="zh-CN" w:bidi="ar"/>
              </w:rPr>
              <w:t>1</w:t>
            </w:r>
            <w:r>
              <w:rPr>
                <w:rFonts w:hint="eastAsia" w:ascii="仿宋_GB2312" w:hAnsi="宋体" w:eastAsia="仿宋_GB2312" w:cs="仿宋_GB2312"/>
                <w:kern w:val="0"/>
                <w:sz w:val="18"/>
                <w:szCs w:val="18"/>
                <w:lang w:bidi="ar"/>
              </w:rPr>
              <w:t>万元以下罚款。</w:t>
            </w:r>
          </w:p>
        </w:tc>
      </w:tr>
      <w:tr w14:paraId="00CF10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76179D9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3AFE247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54DA0FB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0E72FC6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254E73E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从轻处罚</w:t>
            </w:r>
          </w:p>
        </w:tc>
        <w:tc>
          <w:tcPr>
            <w:tcW w:w="1800" w:type="dxa"/>
            <w:tcBorders>
              <w:tl2br w:val="nil"/>
              <w:tr2bl w:val="nil"/>
            </w:tcBorders>
            <w:shd w:val="clear" w:color="auto" w:fill="auto"/>
            <w:tcMar>
              <w:top w:w="15" w:type="dxa"/>
              <w:left w:w="15" w:type="dxa"/>
              <w:right w:w="15" w:type="dxa"/>
            </w:tcMar>
            <w:vAlign w:val="center"/>
          </w:tcPr>
          <w:p w14:paraId="10D4231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立即停止违法行为并改正，造成危害后果轻微的。</w:t>
            </w:r>
          </w:p>
        </w:tc>
        <w:tc>
          <w:tcPr>
            <w:tcW w:w="2557" w:type="dxa"/>
            <w:tcBorders>
              <w:tl2br w:val="nil"/>
              <w:tr2bl w:val="nil"/>
            </w:tcBorders>
            <w:shd w:val="clear" w:color="auto" w:fill="auto"/>
            <w:tcMar>
              <w:top w:w="15" w:type="dxa"/>
              <w:left w:w="15" w:type="dxa"/>
              <w:right w:w="15" w:type="dxa"/>
            </w:tcMar>
            <w:vAlign w:val="center"/>
          </w:tcPr>
          <w:p w14:paraId="224FF54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处1万元以上2万元以下罚款。</w:t>
            </w:r>
          </w:p>
        </w:tc>
      </w:tr>
      <w:tr w14:paraId="7B3198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296FC17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4FF2E50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22FDBFB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2F8AD54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33C18F0F">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一般处罚</w:t>
            </w:r>
          </w:p>
        </w:tc>
        <w:tc>
          <w:tcPr>
            <w:tcW w:w="1800" w:type="dxa"/>
            <w:tcBorders>
              <w:tl2br w:val="nil"/>
              <w:tr2bl w:val="nil"/>
            </w:tcBorders>
            <w:shd w:val="clear" w:color="auto" w:fill="auto"/>
            <w:tcMar>
              <w:top w:w="15" w:type="dxa"/>
              <w:left w:w="15" w:type="dxa"/>
              <w:right w:w="15" w:type="dxa"/>
            </w:tcMar>
            <w:vAlign w:val="center"/>
          </w:tcPr>
          <w:p w14:paraId="2F8C5D9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已采取必要的安全防护措施，责令停止违法行为后，继续进行作业的。</w:t>
            </w:r>
          </w:p>
        </w:tc>
        <w:tc>
          <w:tcPr>
            <w:tcW w:w="2557" w:type="dxa"/>
            <w:tcBorders>
              <w:tl2br w:val="nil"/>
              <w:tr2bl w:val="nil"/>
            </w:tcBorders>
            <w:shd w:val="clear" w:color="auto" w:fill="auto"/>
            <w:tcMar>
              <w:top w:w="15" w:type="dxa"/>
              <w:left w:w="15" w:type="dxa"/>
              <w:right w:w="15" w:type="dxa"/>
            </w:tcMar>
            <w:vAlign w:val="center"/>
          </w:tcPr>
          <w:p w14:paraId="7D35C7D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处2万元以上4万元以下罚款。</w:t>
            </w:r>
          </w:p>
        </w:tc>
      </w:tr>
      <w:tr w14:paraId="4D2CA7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3650791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321ED50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0630A56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7B52ACB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26C3CB6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从重处罚</w:t>
            </w:r>
          </w:p>
        </w:tc>
        <w:tc>
          <w:tcPr>
            <w:tcW w:w="1800" w:type="dxa"/>
            <w:tcBorders>
              <w:tl2br w:val="nil"/>
              <w:tr2bl w:val="nil"/>
            </w:tcBorders>
            <w:shd w:val="clear" w:color="auto" w:fill="auto"/>
            <w:tcMar>
              <w:top w:w="15" w:type="dxa"/>
              <w:left w:w="15" w:type="dxa"/>
              <w:right w:w="15" w:type="dxa"/>
            </w:tcMar>
            <w:vAlign w:val="center"/>
          </w:tcPr>
          <w:p w14:paraId="734A1B9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未采取必要的安全防护措施，责令停止违法行为后，继续作业的；构成管道安全隐患的，或者引发管道事故的。</w:t>
            </w:r>
          </w:p>
        </w:tc>
        <w:tc>
          <w:tcPr>
            <w:tcW w:w="2557" w:type="dxa"/>
            <w:tcBorders>
              <w:tl2br w:val="nil"/>
              <w:tr2bl w:val="nil"/>
            </w:tcBorders>
            <w:shd w:val="clear" w:color="auto" w:fill="auto"/>
            <w:tcMar>
              <w:top w:w="15" w:type="dxa"/>
              <w:left w:w="15" w:type="dxa"/>
              <w:right w:w="15" w:type="dxa"/>
            </w:tcMar>
            <w:vAlign w:val="center"/>
          </w:tcPr>
          <w:p w14:paraId="5216436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处4万元以上5万元以下罚款。</w:t>
            </w:r>
          </w:p>
        </w:tc>
      </w:tr>
      <w:tr w14:paraId="3F9664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restart"/>
            <w:tcBorders>
              <w:tl2br w:val="nil"/>
              <w:tr2bl w:val="nil"/>
            </w:tcBorders>
            <w:shd w:val="clear" w:color="auto" w:fill="auto"/>
            <w:tcMar>
              <w:top w:w="15" w:type="dxa"/>
              <w:left w:w="15" w:type="dxa"/>
              <w:right w:w="15" w:type="dxa"/>
            </w:tcMar>
            <w:vAlign w:val="center"/>
          </w:tcPr>
          <w:p w14:paraId="0EAF3FA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bidi="ar"/>
              </w:rPr>
              <w:t>2</w:t>
            </w:r>
            <w:del w:id="3233" w:author="LV" w:date="2026-07-14T17:18:48Z">
              <w:r>
                <w:rPr>
                  <w:rFonts w:hint="default" w:ascii="仿宋_GB2312" w:hAnsi="宋体" w:eastAsia="仿宋_GB2312" w:cs="仿宋_GB2312"/>
                  <w:kern w:val="0"/>
                  <w:sz w:val="18"/>
                  <w:szCs w:val="18"/>
                  <w:lang w:val="en-US" w:bidi="ar"/>
                </w:rPr>
                <w:delText>4</w:delText>
              </w:r>
            </w:del>
            <w:del w:id="3234" w:author="LV" w:date="2026-07-14T17:18:48Z">
              <w:r>
                <w:rPr>
                  <w:rFonts w:hint="default" w:ascii="仿宋_GB2312" w:hAnsi="宋体" w:eastAsia="仿宋_GB2312" w:cs="仿宋_GB2312"/>
                  <w:kern w:val="0"/>
                  <w:sz w:val="18"/>
                  <w:szCs w:val="18"/>
                  <w:lang w:val="en-US" w:eastAsia="zh-CN" w:bidi="ar"/>
                </w:rPr>
                <w:delText>9</w:delText>
              </w:r>
            </w:del>
            <w:ins w:id="3235" w:author="LV" w:date="2026-07-14T17:18:48Z">
              <w:r>
                <w:rPr>
                  <w:rFonts w:hint="eastAsia" w:ascii="仿宋_GB2312" w:hAnsi="宋体" w:eastAsia="仿宋_GB2312" w:cs="仿宋_GB2312"/>
                  <w:kern w:val="0"/>
                  <w:sz w:val="18"/>
                  <w:szCs w:val="18"/>
                  <w:lang w:val="en-US" w:eastAsia="zh-CN" w:bidi="ar"/>
                </w:rPr>
                <w:t>56</w:t>
              </w:r>
            </w:ins>
          </w:p>
        </w:tc>
        <w:tc>
          <w:tcPr>
            <w:tcW w:w="1006" w:type="dxa"/>
            <w:vMerge w:val="restart"/>
            <w:tcBorders>
              <w:tl2br w:val="nil"/>
              <w:tr2bl w:val="nil"/>
            </w:tcBorders>
            <w:shd w:val="clear" w:color="auto" w:fill="auto"/>
            <w:tcMar>
              <w:top w:w="15" w:type="dxa"/>
              <w:left w:w="15" w:type="dxa"/>
              <w:right w:w="15" w:type="dxa"/>
            </w:tcMar>
            <w:vAlign w:val="center"/>
          </w:tcPr>
          <w:p w14:paraId="69BBF6F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在管道线路中心线两侧各二百米和管道的加压站、加热站、计量站、集油站、集气站、输油站、输气站、配气站、处理场、清管站、阀室、阀井、放空设施、油库、储气库、装卸栈桥、装卸场周边五百米地域范围内，进行爆破、地震法勘探或者工程挖掘、工程钻探、采矿</w:t>
            </w:r>
          </w:p>
        </w:tc>
        <w:tc>
          <w:tcPr>
            <w:tcW w:w="3813" w:type="dxa"/>
            <w:vMerge w:val="restart"/>
            <w:tcBorders>
              <w:tl2br w:val="nil"/>
              <w:tr2bl w:val="nil"/>
            </w:tcBorders>
            <w:shd w:val="clear" w:color="auto" w:fill="auto"/>
            <w:tcMar>
              <w:top w:w="15" w:type="dxa"/>
              <w:left w:w="15" w:type="dxa"/>
              <w:right w:w="15" w:type="dxa"/>
            </w:tcMar>
            <w:vAlign w:val="center"/>
          </w:tcPr>
          <w:p w14:paraId="11B563F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eastAsia="zh-CN" w:bidi="ar"/>
              </w:rPr>
              <w:t>《中华人民共和国石油天然气管道保护法》</w:t>
            </w:r>
            <w:r>
              <w:rPr>
                <w:rFonts w:hint="eastAsia" w:ascii="仿宋_GB2312" w:hAnsi="宋体" w:eastAsia="仿宋_GB2312" w:cs="仿宋_GB2312"/>
                <w:kern w:val="0"/>
                <w:sz w:val="18"/>
                <w:szCs w:val="18"/>
                <w:lang w:bidi="ar"/>
              </w:rPr>
              <w:t>第三十五条</w:t>
            </w:r>
            <w:r>
              <w:rPr>
                <w:rFonts w:hint="eastAsia" w:ascii="仿宋_GB2312" w:hAnsi="宋体" w:eastAsia="仿宋_GB2312" w:cs="仿宋_GB2312"/>
                <w:kern w:val="0"/>
                <w:sz w:val="18"/>
                <w:szCs w:val="18"/>
                <w:lang w:val="en-US" w:eastAsia="zh-CN" w:bidi="ar"/>
              </w:rPr>
              <w:t xml:space="preserve"> </w:t>
            </w:r>
            <w:r>
              <w:rPr>
                <w:rFonts w:hint="eastAsia" w:ascii="仿宋_GB2312" w:hAnsi="宋体" w:eastAsia="仿宋_GB2312" w:cs="仿宋_GB2312"/>
                <w:kern w:val="0"/>
                <w:sz w:val="18"/>
                <w:szCs w:val="18"/>
                <w:lang w:bidi="ar"/>
              </w:rPr>
              <w:t>进行下列施工作业，施工单位应当向管道所在地县级人民政府主管管道保护工作的部门提出申请：（三）在管道线路中心线两侧各二百米和本法第五十八条第一项所列管道附属设施周边五百米地域范围内，进行爆破、地震法勘探或者工程挖掘、工程钻探、采矿。</w:t>
            </w:r>
          </w:p>
        </w:tc>
        <w:tc>
          <w:tcPr>
            <w:tcW w:w="4081" w:type="dxa"/>
            <w:vMerge w:val="restart"/>
            <w:tcBorders>
              <w:tl2br w:val="nil"/>
              <w:tr2bl w:val="nil"/>
            </w:tcBorders>
            <w:shd w:val="clear" w:color="auto" w:fill="auto"/>
            <w:tcMar>
              <w:top w:w="15" w:type="dxa"/>
              <w:left w:w="15" w:type="dxa"/>
              <w:right w:w="15" w:type="dxa"/>
            </w:tcMar>
            <w:vAlign w:val="center"/>
          </w:tcPr>
          <w:p w14:paraId="14407FD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eastAsia="zh-CN" w:bidi="ar"/>
              </w:rPr>
              <w:t>《中华人民共和国石油天然气管道保护法》</w:t>
            </w:r>
            <w:r>
              <w:rPr>
                <w:rFonts w:hint="eastAsia" w:ascii="仿宋_GB2312" w:hAnsi="宋体" w:eastAsia="仿宋_GB2312" w:cs="仿宋_GB2312"/>
                <w:kern w:val="0"/>
                <w:sz w:val="18"/>
                <w:szCs w:val="18"/>
                <w:lang w:bidi="ar"/>
              </w:rPr>
              <w:t>第五十三条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未经依法批准，进行本法第三十三条第二款或者第三十五条规定的施工作业的，由县级以上地方人民政府主管管道保护工作的部门责令停止违法行为；情节较重的，处一万元以上五万元以下的罚款。</w:t>
            </w:r>
          </w:p>
        </w:tc>
        <w:tc>
          <w:tcPr>
            <w:tcW w:w="472" w:type="dxa"/>
            <w:tcBorders>
              <w:tl2br w:val="nil"/>
              <w:tr2bl w:val="nil"/>
            </w:tcBorders>
            <w:shd w:val="clear" w:color="auto" w:fill="auto"/>
            <w:tcMar>
              <w:top w:w="15" w:type="dxa"/>
              <w:left w:w="15" w:type="dxa"/>
              <w:right w:w="15" w:type="dxa"/>
            </w:tcMar>
            <w:vAlign w:val="center"/>
          </w:tcPr>
          <w:p w14:paraId="1DF2C4D6">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不予处罚</w:t>
            </w:r>
          </w:p>
        </w:tc>
        <w:tc>
          <w:tcPr>
            <w:tcW w:w="1800" w:type="dxa"/>
            <w:tcBorders>
              <w:tl2br w:val="nil"/>
              <w:tr2bl w:val="nil"/>
            </w:tcBorders>
            <w:shd w:val="clear" w:color="auto" w:fill="auto"/>
            <w:tcMar>
              <w:top w:w="15" w:type="dxa"/>
              <w:left w:w="15" w:type="dxa"/>
              <w:right w:w="15" w:type="dxa"/>
            </w:tcMar>
            <w:vAlign w:val="center"/>
          </w:tcPr>
          <w:p w14:paraId="2DDBF71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58EACC16">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22850C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4BD4C85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2000B76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3C5952D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3268F8D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1F4AC9F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免予处罚</w:t>
            </w:r>
          </w:p>
        </w:tc>
        <w:tc>
          <w:tcPr>
            <w:tcW w:w="1800" w:type="dxa"/>
            <w:tcBorders>
              <w:tl2br w:val="nil"/>
              <w:tr2bl w:val="nil"/>
            </w:tcBorders>
            <w:shd w:val="clear" w:color="auto" w:fill="auto"/>
            <w:tcMar>
              <w:top w:w="15" w:type="dxa"/>
              <w:left w:w="15" w:type="dxa"/>
              <w:right w:w="15" w:type="dxa"/>
            </w:tcMar>
            <w:vAlign w:val="center"/>
          </w:tcPr>
          <w:p w14:paraId="3C0C68E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6B79757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148791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496755E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7F19BC4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7E12F2D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106F780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214864E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减轻处罚</w:t>
            </w:r>
          </w:p>
        </w:tc>
        <w:tc>
          <w:tcPr>
            <w:tcW w:w="1800" w:type="dxa"/>
            <w:tcBorders>
              <w:tl2br w:val="nil"/>
              <w:tr2bl w:val="nil"/>
            </w:tcBorders>
            <w:shd w:val="clear" w:color="auto" w:fill="auto"/>
            <w:tcMar>
              <w:top w:w="15" w:type="dxa"/>
              <w:left w:w="15" w:type="dxa"/>
              <w:right w:w="15" w:type="dxa"/>
            </w:tcMar>
            <w:vAlign w:val="center"/>
          </w:tcPr>
          <w:p w14:paraId="6D26BB3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1489636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处5000元以上1万元以下罚款。</w:t>
            </w:r>
          </w:p>
        </w:tc>
      </w:tr>
      <w:tr w14:paraId="032BE2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0E3DEE3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0B5B293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2A4C994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796A00D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6FE8811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从轻处罚</w:t>
            </w:r>
          </w:p>
        </w:tc>
        <w:tc>
          <w:tcPr>
            <w:tcW w:w="1800" w:type="dxa"/>
            <w:tcBorders>
              <w:tl2br w:val="nil"/>
              <w:tr2bl w:val="nil"/>
            </w:tcBorders>
            <w:shd w:val="clear" w:color="auto" w:fill="auto"/>
            <w:tcMar>
              <w:top w:w="15" w:type="dxa"/>
              <w:left w:w="15" w:type="dxa"/>
              <w:right w:w="15" w:type="dxa"/>
            </w:tcMar>
            <w:vAlign w:val="center"/>
          </w:tcPr>
          <w:p w14:paraId="4FFC54E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立即停止违法行为并改正，造成危害后果轻微的。</w:t>
            </w:r>
          </w:p>
        </w:tc>
        <w:tc>
          <w:tcPr>
            <w:tcW w:w="2557" w:type="dxa"/>
            <w:tcBorders>
              <w:tl2br w:val="nil"/>
              <w:tr2bl w:val="nil"/>
            </w:tcBorders>
            <w:shd w:val="clear" w:color="auto" w:fill="auto"/>
            <w:tcMar>
              <w:top w:w="15" w:type="dxa"/>
              <w:left w:w="15" w:type="dxa"/>
              <w:right w:w="15" w:type="dxa"/>
            </w:tcMar>
            <w:vAlign w:val="center"/>
          </w:tcPr>
          <w:p w14:paraId="6B12B22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处1万元以上2万元以下的罚款。</w:t>
            </w:r>
          </w:p>
        </w:tc>
      </w:tr>
      <w:tr w14:paraId="381F8B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3C93E20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41AC65F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778E449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3506528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5994F87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一般处罚</w:t>
            </w:r>
          </w:p>
        </w:tc>
        <w:tc>
          <w:tcPr>
            <w:tcW w:w="1800" w:type="dxa"/>
            <w:tcBorders>
              <w:tl2br w:val="nil"/>
              <w:tr2bl w:val="nil"/>
            </w:tcBorders>
            <w:shd w:val="clear" w:color="auto" w:fill="auto"/>
            <w:tcMar>
              <w:top w:w="15" w:type="dxa"/>
              <w:left w:w="15" w:type="dxa"/>
              <w:right w:w="15" w:type="dxa"/>
            </w:tcMar>
            <w:vAlign w:val="center"/>
          </w:tcPr>
          <w:p w14:paraId="0968847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已采取必要的安全防护措施，责令停止违法行为后，继续进行作业的。</w:t>
            </w:r>
          </w:p>
        </w:tc>
        <w:tc>
          <w:tcPr>
            <w:tcW w:w="2557" w:type="dxa"/>
            <w:tcBorders>
              <w:tl2br w:val="nil"/>
              <w:tr2bl w:val="nil"/>
            </w:tcBorders>
            <w:shd w:val="clear" w:color="auto" w:fill="auto"/>
            <w:tcMar>
              <w:top w:w="15" w:type="dxa"/>
              <w:left w:w="15" w:type="dxa"/>
              <w:right w:w="15" w:type="dxa"/>
            </w:tcMar>
            <w:vAlign w:val="center"/>
          </w:tcPr>
          <w:p w14:paraId="374B399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处2万元以上3万元以下罚款。</w:t>
            </w:r>
          </w:p>
        </w:tc>
      </w:tr>
      <w:tr w14:paraId="00EE00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0579B19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0EA08E7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0F4719E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58A8574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2E5E3A5F">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从重处罚</w:t>
            </w:r>
          </w:p>
        </w:tc>
        <w:tc>
          <w:tcPr>
            <w:tcW w:w="1800" w:type="dxa"/>
            <w:tcBorders>
              <w:tl2br w:val="nil"/>
              <w:tr2bl w:val="nil"/>
            </w:tcBorders>
            <w:shd w:val="clear" w:color="auto" w:fill="auto"/>
            <w:tcMar>
              <w:top w:w="15" w:type="dxa"/>
              <w:left w:w="15" w:type="dxa"/>
              <w:right w:w="15" w:type="dxa"/>
            </w:tcMar>
            <w:vAlign w:val="center"/>
          </w:tcPr>
          <w:p w14:paraId="77B2307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未采取必要的安全防护措施，责令停止违法行为后，继续作业的；构成管道安全隐患的，或者引发管道事故的。</w:t>
            </w:r>
          </w:p>
        </w:tc>
        <w:tc>
          <w:tcPr>
            <w:tcW w:w="2557" w:type="dxa"/>
            <w:tcBorders>
              <w:tl2br w:val="nil"/>
              <w:tr2bl w:val="nil"/>
            </w:tcBorders>
            <w:shd w:val="clear" w:color="auto" w:fill="auto"/>
            <w:tcMar>
              <w:top w:w="15" w:type="dxa"/>
              <w:left w:w="15" w:type="dxa"/>
              <w:right w:w="15" w:type="dxa"/>
            </w:tcMar>
            <w:vAlign w:val="center"/>
          </w:tcPr>
          <w:p w14:paraId="3658F4B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处3万元以上5万元以下罚款。</w:t>
            </w:r>
          </w:p>
        </w:tc>
      </w:tr>
      <w:tr w14:paraId="5E8480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restart"/>
            <w:tcBorders>
              <w:tl2br w:val="nil"/>
              <w:tr2bl w:val="nil"/>
            </w:tcBorders>
            <w:shd w:val="clear" w:color="auto" w:fill="auto"/>
            <w:tcMar>
              <w:top w:w="15" w:type="dxa"/>
              <w:left w:w="15" w:type="dxa"/>
              <w:right w:w="15" w:type="dxa"/>
            </w:tcMar>
            <w:vAlign w:val="center"/>
          </w:tcPr>
          <w:p w14:paraId="11017A1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bidi="ar"/>
              </w:rPr>
              <w:t>2</w:t>
            </w:r>
            <w:del w:id="3236" w:author="LV" w:date="2026-07-14T17:18:51Z">
              <w:r>
                <w:rPr>
                  <w:rFonts w:hint="default" w:ascii="仿宋_GB2312" w:hAnsi="宋体" w:eastAsia="仿宋_GB2312" w:cs="仿宋_GB2312"/>
                  <w:kern w:val="0"/>
                  <w:sz w:val="18"/>
                  <w:szCs w:val="18"/>
                  <w:lang w:val="en-US" w:eastAsia="zh-CN" w:bidi="ar"/>
                </w:rPr>
                <w:delText>50</w:delText>
              </w:r>
            </w:del>
            <w:ins w:id="3237" w:author="LV" w:date="2026-07-14T17:18:51Z">
              <w:r>
                <w:rPr>
                  <w:rFonts w:hint="eastAsia" w:ascii="仿宋_GB2312" w:hAnsi="宋体" w:eastAsia="仿宋_GB2312" w:cs="仿宋_GB2312"/>
                  <w:kern w:val="0"/>
                  <w:sz w:val="18"/>
                  <w:szCs w:val="18"/>
                  <w:lang w:val="en-US" w:eastAsia="zh-CN" w:bidi="ar"/>
                </w:rPr>
                <w:t>57</w:t>
              </w:r>
            </w:ins>
          </w:p>
        </w:tc>
        <w:tc>
          <w:tcPr>
            <w:tcW w:w="1006" w:type="dxa"/>
            <w:vMerge w:val="restart"/>
            <w:tcBorders>
              <w:tl2br w:val="nil"/>
              <w:tr2bl w:val="nil"/>
            </w:tcBorders>
            <w:shd w:val="clear" w:color="auto" w:fill="auto"/>
            <w:tcMar>
              <w:top w:w="15" w:type="dxa"/>
              <w:left w:w="15" w:type="dxa"/>
              <w:right w:w="15" w:type="dxa"/>
            </w:tcMar>
            <w:vAlign w:val="center"/>
          </w:tcPr>
          <w:p w14:paraId="7689EA5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已批准的第三方施工，未按照协议施工作业方案进行</w:t>
            </w:r>
          </w:p>
        </w:tc>
        <w:tc>
          <w:tcPr>
            <w:tcW w:w="3813" w:type="dxa"/>
            <w:vMerge w:val="restart"/>
            <w:tcBorders>
              <w:tl2br w:val="nil"/>
              <w:tr2bl w:val="nil"/>
            </w:tcBorders>
            <w:shd w:val="clear" w:color="auto" w:fill="auto"/>
            <w:tcMar>
              <w:top w:w="15" w:type="dxa"/>
              <w:left w:w="15" w:type="dxa"/>
              <w:right w:w="15" w:type="dxa"/>
            </w:tcMar>
            <w:vAlign w:val="center"/>
          </w:tcPr>
          <w:p w14:paraId="659949F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eastAsia="zh-CN" w:bidi="ar"/>
              </w:rPr>
              <w:t>《中华人民共和国石油天然气管道保护法》</w:t>
            </w:r>
            <w:r>
              <w:rPr>
                <w:rFonts w:hint="eastAsia" w:ascii="仿宋_GB2312" w:hAnsi="宋体" w:eastAsia="仿宋_GB2312" w:cs="仿宋_GB2312"/>
                <w:kern w:val="0"/>
                <w:sz w:val="18"/>
                <w:szCs w:val="18"/>
                <w:lang w:bidi="ar"/>
              </w:rPr>
              <w:t>第三十五条</w:t>
            </w:r>
            <w:r>
              <w:rPr>
                <w:rFonts w:hint="eastAsia" w:ascii="仿宋_GB2312" w:hAnsi="宋体" w:eastAsia="仿宋_GB2312" w:cs="仿宋_GB2312"/>
                <w:kern w:val="0"/>
                <w:sz w:val="18"/>
                <w:szCs w:val="18"/>
                <w:lang w:val="en-US" w:eastAsia="zh-CN" w:bidi="ar"/>
              </w:rPr>
              <w:t xml:space="preserve"> </w:t>
            </w:r>
            <w:r>
              <w:rPr>
                <w:rFonts w:hint="eastAsia" w:ascii="仿宋_GB2312" w:hAnsi="宋体" w:eastAsia="仿宋_GB2312" w:cs="仿宋_GB2312"/>
                <w:kern w:val="0"/>
                <w:sz w:val="18"/>
                <w:szCs w:val="18"/>
                <w:lang w:bidi="ar"/>
              </w:rPr>
              <w:t>进行下列施工作业，施工单位应当向管道所在地县级人民政府主管管道保护工作的部门提出申请：县级人民政府主管管道保护工作的部门接到申请后，应当组织施工单位与管道企业协商确定施工作业方案，并签订安全防护协议；协商不成的，主管管道保护工作的部门应当组织进行安全评审，作出是否批准作业的决定。</w:t>
            </w:r>
          </w:p>
        </w:tc>
        <w:tc>
          <w:tcPr>
            <w:tcW w:w="4081" w:type="dxa"/>
            <w:vMerge w:val="restart"/>
            <w:tcBorders>
              <w:tl2br w:val="nil"/>
              <w:tr2bl w:val="nil"/>
            </w:tcBorders>
            <w:shd w:val="clear" w:color="auto" w:fill="auto"/>
            <w:tcMar>
              <w:top w:w="15" w:type="dxa"/>
              <w:left w:w="15" w:type="dxa"/>
              <w:right w:w="15" w:type="dxa"/>
            </w:tcMar>
            <w:vAlign w:val="center"/>
          </w:tcPr>
          <w:p w14:paraId="7D64DD7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eastAsia="zh-CN" w:bidi="ar"/>
              </w:rPr>
              <w:t>《中华人民共和国石油天然气管道保护法》</w:t>
            </w:r>
            <w:r>
              <w:rPr>
                <w:rFonts w:hint="eastAsia" w:ascii="仿宋_GB2312" w:hAnsi="宋体" w:eastAsia="仿宋_GB2312" w:cs="仿宋_GB2312"/>
                <w:kern w:val="0"/>
                <w:sz w:val="18"/>
                <w:szCs w:val="18"/>
                <w:lang w:bidi="ar"/>
              </w:rPr>
              <w:t>第五十三条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未经依法批准，进行本法第三十三条第二款或者第三十五条规定的施工作业的，由县级以上地方人民政府主管管道保护工作的部门责令停止违法行为；情节较重的，处一万元以上五万元以下的罚款。</w:t>
            </w:r>
          </w:p>
        </w:tc>
        <w:tc>
          <w:tcPr>
            <w:tcW w:w="472" w:type="dxa"/>
            <w:tcBorders>
              <w:tl2br w:val="nil"/>
              <w:tr2bl w:val="nil"/>
            </w:tcBorders>
            <w:shd w:val="clear" w:color="auto" w:fill="auto"/>
            <w:tcMar>
              <w:top w:w="15" w:type="dxa"/>
              <w:left w:w="15" w:type="dxa"/>
              <w:right w:w="15" w:type="dxa"/>
            </w:tcMar>
            <w:vAlign w:val="center"/>
          </w:tcPr>
          <w:p w14:paraId="219F531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不予处罚</w:t>
            </w:r>
          </w:p>
        </w:tc>
        <w:tc>
          <w:tcPr>
            <w:tcW w:w="1800" w:type="dxa"/>
            <w:tcBorders>
              <w:tl2br w:val="nil"/>
              <w:tr2bl w:val="nil"/>
            </w:tcBorders>
            <w:shd w:val="clear" w:color="auto" w:fill="auto"/>
            <w:tcMar>
              <w:top w:w="15" w:type="dxa"/>
              <w:left w:w="15" w:type="dxa"/>
              <w:right w:w="15" w:type="dxa"/>
            </w:tcMar>
            <w:vAlign w:val="center"/>
          </w:tcPr>
          <w:p w14:paraId="409A02E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268B2DA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622ADA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6E49C46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7D46239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1CC3781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7EF6445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75BCAC8F">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免予处罚</w:t>
            </w:r>
          </w:p>
        </w:tc>
        <w:tc>
          <w:tcPr>
            <w:tcW w:w="1800" w:type="dxa"/>
            <w:tcBorders>
              <w:tl2br w:val="nil"/>
              <w:tr2bl w:val="nil"/>
            </w:tcBorders>
            <w:shd w:val="clear" w:color="auto" w:fill="auto"/>
            <w:tcMar>
              <w:top w:w="15" w:type="dxa"/>
              <w:left w:w="15" w:type="dxa"/>
              <w:right w:w="15" w:type="dxa"/>
            </w:tcMar>
            <w:vAlign w:val="center"/>
          </w:tcPr>
          <w:p w14:paraId="7B74DA0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0028702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3C5A15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27A466E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5D3D7F3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6230B8B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41B8078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09A73E5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减轻处罚</w:t>
            </w:r>
          </w:p>
        </w:tc>
        <w:tc>
          <w:tcPr>
            <w:tcW w:w="1800" w:type="dxa"/>
            <w:tcBorders>
              <w:tl2br w:val="nil"/>
              <w:tr2bl w:val="nil"/>
            </w:tcBorders>
            <w:shd w:val="clear" w:color="auto" w:fill="auto"/>
            <w:tcMar>
              <w:top w:w="15" w:type="dxa"/>
              <w:left w:w="15" w:type="dxa"/>
              <w:right w:w="15" w:type="dxa"/>
            </w:tcMar>
            <w:vAlign w:val="center"/>
          </w:tcPr>
          <w:p w14:paraId="68B490F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65F1DA13">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w:t>
            </w:r>
            <w:r>
              <w:rPr>
                <w:rFonts w:hint="eastAsia" w:ascii="仿宋_GB2312" w:hAnsi="宋体" w:eastAsia="仿宋_GB2312" w:cs="仿宋_GB2312"/>
                <w:kern w:val="0"/>
                <w:sz w:val="18"/>
                <w:szCs w:val="18"/>
                <w:lang w:val="en-US" w:eastAsia="zh-CN" w:bidi="ar"/>
              </w:rPr>
              <w:t>5000</w:t>
            </w:r>
            <w:r>
              <w:rPr>
                <w:rFonts w:hint="eastAsia" w:ascii="仿宋_GB2312" w:hAnsi="宋体" w:eastAsia="仿宋_GB2312" w:cs="仿宋_GB2312"/>
                <w:kern w:val="0"/>
                <w:sz w:val="18"/>
                <w:szCs w:val="18"/>
                <w:lang w:bidi="ar"/>
              </w:rPr>
              <w:t>元以上</w:t>
            </w:r>
            <w:r>
              <w:rPr>
                <w:rFonts w:hint="eastAsia" w:ascii="仿宋_GB2312" w:hAnsi="宋体" w:eastAsia="仿宋_GB2312" w:cs="仿宋_GB2312"/>
                <w:kern w:val="0"/>
                <w:sz w:val="18"/>
                <w:szCs w:val="18"/>
                <w:lang w:val="en-US" w:eastAsia="zh-CN" w:bidi="ar"/>
              </w:rPr>
              <w:t>1</w:t>
            </w:r>
            <w:r>
              <w:rPr>
                <w:rFonts w:hint="eastAsia" w:ascii="仿宋_GB2312" w:hAnsi="宋体" w:eastAsia="仿宋_GB2312" w:cs="仿宋_GB2312"/>
                <w:kern w:val="0"/>
                <w:sz w:val="18"/>
                <w:szCs w:val="18"/>
                <w:lang w:bidi="ar"/>
              </w:rPr>
              <w:t>万元以下罚款。</w:t>
            </w:r>
          </w:p>
        </w:tc>
      </w:tr>
      <w:tr w14:paraId="258A49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6C463E0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1469776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7188C9B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5E06234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4CD9A69F">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从轻处罚</w:t>
            </w:r>
          </w:p>
        </w:tc>
        <w:tc>
          <w:tcPr>
            <w:tcW w:w="1800" w:type="dxa"/>
            <w:tcBorders>
              <w:tl2br w:val="nil"/>
              <w:tr2bl w:val="nil"/>
            </w:tcBorders>
            <w:shd w:val="clear" w:color="auto" w:fill="auto"/>
            <w:tcMar>
              <w:top w:w="15" w:type="dxa"/>
              <w:left w:w="15" w:type="dxa"/>
              <w:right w:w="15" w:type="dxa"/>
            </w:tcMar>
            <w:vAlign w:val="center"/>
          </w:tcPr>
          <w:p w14:paraId="5644E1B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立即停止违法行为并改正，造成危害后果轻微的。</w:t>
            </w:r>
          </w:p>
        </w:tc>
        <w:tc>
          <w:tcPr>
            <w:tcW w:w="2557" w:type="dxa"/>
            <w:tcBorders>
              <w:tl2br w:val="nil"/>
              <w:tr2bl w:val="nil"/>
            </w:tcBorders>
            <w:shd w:val="clear" w:color="auto" w:fill="auto"/>
            <w:tcMar>
              <w:top w:w="15" w:type="dxa"/>
              <w:left w:w="15" w:type="dxa"/>
              <w:right w:w="15" w:type="dxa"/>
            </w:tcMar>
            <w:vAlign w:val="center"/>
          </w:tcPr>
          <w:p w14:paraId="65C802E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处1万元以上2万元以下罚款。</w:t>
            </w:r>
          </w:p>
        </w:tc>
      </w:tr>
      <w:tr w14:paraId="68F297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628CB96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6CA0FE5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7441A4A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71753A9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718ECF1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一般处罚</w:t>
            </w:r>
          </w:p>
        </w:tc>
        <w:tc>
          <w:tcPr>
            <w:tcW w:w="1800" w:type="dxa"/>
            <w:tcBorders>
              <w:tl2br w:val="nil"/>
              <w:tr2bl w:val="nil"/>
            </w:tcBorders>
            <w:shd w:val="clear" w:color="auto" w:fill="auto"/>
            <w:tcMar>
              <w:top w:w="15" w:type="dxa"/>
              <w:left w:w="15" w:type="dxa"/>
              <w:right w:w="15" w:type="dxa"/>
            </w:tcMar>
            <w:vAlign w:val="center"/>
          </w:tcPr>
          <w:p w14:paraId="7007174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限期整改期内完成整改，且未造成隐患、未发生事故的。</w:t>
            </w:r>
          </w:p>
        </w:tc>
        <w:tc>
          <w:tcPr>
            <w:tcW w:w="2557" w:type="dxa"/>
            <w:tcBorders>
              <w:tl2br w:val="nil"/>
              <w:tr2bl w:val="nil"/>
            </w:tcBorders>
            <w:shd w:val="clear" w:color="auto" w:fill="auto"/>
            <w:tcMar>
              <w:top w:w="15" w:type="dxa"/>
              <w:left w:w="15" w:type="dxa"/>
              <w:right w:w="15" w:type="dxa"/>
            </w:tcMar>
            <w:vAlign w:val="center"/>
          </w:tcPr>
          <w:p w14:paraId="3FE178B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处2万元以上4万元以下罚款。</w:t>
            </w:r>
          </w:p>
        </w:tc>
      </w:tr>
      <w:tr w14:paraId="17BC56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753AC6F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4C01AC1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4436787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3EB3F68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19E8D66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从重处罚</w:t>
            </w:r>
          </w:p>
        </w:tc>
        <w:tc>
          <w:tcPr>
            <w:tcW w:w="1800" w:type="dxa"/>
            <w:tcBorders>
              <w:tl2br w:val="nil"/>
              <w:tr2bl w:val="nil"/>
            </w:tcBorders>
            <w:shd w:val="clear" w:color="auto" w:fill="auto"/>
            <w:tcMar>
              <w:top w:w="15" w:type="dxa"/>
              <w:left w:w="15" w:type="dxa"/>
              <w:right w:w="15" w:type="dxa"/>
            </w:tcMar>
            <w:vAlign w:val="center"/>
          </w:tcPr>
          <w:p w14:paraId="27B21B7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限期整改期内未完成整改的；继续不按照协议、施工作业方案进行的；构成管道安全隐患的，或者引发管道事故的。</w:t>
            </w:r>
          </w:p>
        </w:tc>
        <w:tc>
          <w:tcPr>
            <w:tcW w:w="2557" w:type="dxa"/>
            <w:tcBorders>
              <w:tl2br w:val="nil"/>
              <w:tr2bl w:val="nil"/>
            </w:tcBorders>
            <w:shd w:val="clear" w:color="auto" w:fill="auto"/>
            <w:tcMar>
              <w:top w:w="15" w:type="dxa"/>
              <w:left w:w="15" w:type="dxa"/>
              <w:right w:w="15" w:type="dxa"/>
            </w:tcMar>
            <w:vAlign w:val="center"/>
          </w:tcPr>
          <w:p w14:paraId="1F711E4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处4万元以上5万元以下罚款。</w:t>
            </w:r>
          </w:p>
        </w:tc>
      </w:tr>
    </w:tbl>
    <w:p w14:paraId="7CF256D8">
      <w:pPr>
        <w:overflowPunct w:val="0"/>
        <w:adjustRightInd w:val="0"/>
        <w:snapToGrid w:val="0"/>
        <w:spacing w:line="20" w:lineRule="exact"/>
        <w:jc w:val="center"/>
        <w:rPr>
          <w:rFonts w:ascii="方正小标宋简体" w:hAnsi="方正小标宋简体" w:eastAsia="方正小标宋简体" w:cs="方正小标宋简体"/>
          <w:kern w:val="0"/>
          <w:sz w:val="44"/>
          <w:szCs w:val="44"/>
        </w:rPr>
      </w:pPr>
    </w:p>
    <w:p w14:paraId="38529D63">
      <w:pPr>
        <w:overflowPunct w:val="0"/>
        <w:adjustRightInd w:val="0"/>
        <w:snapToGrid w:val="0"/>
        <w:spacing w:line="20" w:lineRule="exact"/>
        <w:jc w:val="center"/>
        <w:rPr>
          <w:rFonts w:ascii="方正小标宋简体" w:hAnsi="方正小标宋简体" w:eastAsia="方正小标宋简体" w:cs="方正小标宋简体"/>
          <w:kern w:val="0"/>
          <w:sz w:val="44"/>
          <w:szCs w:val="44"/>
        </w:rPr>
      </w:pPr>
    </w:p>
    <w:p w14:paraId="58BAF906">
      <w:pPr>
        <w:spacing w:line="560" w:lineRule="exact"/>
        <w:rPr>
          <w:rFonts w:ascii="仿宋_GB2312" w:eastAsia="仿宋_GB2312"/>
          <w:sz w:val="32"/>
          <w:szCs w:val="32"/>
        </w:rPr>
        <w:sectPr>
          <w:footerReference r:id="rId5" w:type="default"/>
          <w:footerReference r:id="rId6" w:type="even"/>
          <w:pgSz w:w="16838" w:h="11906" w:orient="landscape"/>
          <w:pgMar w:top="1474" w:right="1474" w:bottom="1474" w:left="1474" w:header="851" w:footer="992" w:gutter="0"/>
          <w:pgBorders>
            <w:top w:val="none" w:sz="0" w:space="0"/>
            <w:left w:val="none" w:sz="0" w:space="0"/>
            <w:bottom w:val="none" w:sz="0" w:space="0"/>
            <w:right w:val="none" w:sz="0" w:space="0"/>
          </w:pgBorders>
          <w:pgNumType w:fmt="decimal"/>
          <w:cols w:space="425" w:num="1"/>
          <w:docGrid w:type="lines" w:linePitch="312" w:charSpace="0"/>
        </w:sectPr>
      </w:pPr>
      <w:bookmarkStart w:id="2" w:name="zw"/>
      <w:bookmarkEnd w:id="2"/>
    </w:p>
    <w:p w14:paraId="441B0FF8">
      <w:pPr>
        <w:spacing w:line="560" w:lineRule="exact"/>
        <w:rPr>
          <w:rFonts w:ascii="仿宋_GB2312" w:eastAsia="仿宋_GB2312"/>
          <w:sz w:val="32"/>
          <w:szCs w:val="32"/>
        </w:rPr>
      </w:pPr>
      <w:r>
        <w:rPr>
          <w:sz w:val="32"/>
        </w:rPr>
        <mc:AlternateContent>
          <mc:Choice Requires="wps">
            <w:drawing>
              <wp:anchor distT="0" distB="0" distL="114300" distR="114300" simplePos="0" relativeHeight="251661312" behindDoc="0" locked="0" layoutInCell="1" allowOverlap="1">
                <wp:simplePos x="0" y="0"/>
                <wp:positionH relativeFrom="column">
                  <wp:posOffset>-588010</wp:posOffset>
                </wp:positionH>
                <wp:positionV relativeFrom="paragraph">
                  <wp:posOffset>8148955</wp:posOffset>
                </wp:positionV>
                <wp:extent cx="6609715" cy="590550"/>
                <wp:effectExtent l="0" t="0" r="635" b="0"/>
                <wp:wrapNone/>
                <wp:docPr id="6" name="矩形 6"/>
                <wp:cNvGraphicFramePr/>
                <a:graphic xmlns:a="http://schemas.openxmlformats.org/drawingml/2006/main">
                  <a:graphicData uri="http://schemas.microsoft.com/office/word/2010/wordprocessingShape">
                    <wps:wsp>
                      <wps:cNvSpPr/>
                      <wps:spPr>
                        <a:xfrm>
                          <a:off x="0" y="0"/>
                          <a:ext cx="6609715" cy="5905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6F3FAD6">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6.3pt;margin-top:641.65pt;height:46.5pt;width:520.45pt;z-index:251661312;v-text-anchor:middle;mso-width-relative:page;mso-height-relative:page;" fillcolor="#FFFFFF [3212]" filled="t" stroked="f" coordsize="21600,21600" o:gfxdata="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ybIKUNwAAAANAQAADwAAAAAAAAABACAAAAAiAAAAZHJz&#10;L2Rvd25yZXYueG1sUEsBAhQAFAAAAAgAh07iQI2zt19yAgAA1gQAAA4AAAAAAAAAAQAgAAAAKwEA&#10;AGRycy9lMm9Eb2MueG1sUEsFBgAAAAAGAAYAWQEAAA8GAAAAAA==&#10;">
                <v:fill on="t" focussize="0,0"/>
                <v:stroke on="f" weight="1pt" miterlimit="8" joinstyle="miter"/>
                <v:imagedata o:title=""/>
                <o:lock v:ext="edit" aspectratio="f"/>
                <v:textbox>
                  <w:txbxContent>
                    <w:p w14:paraId="46F3FAD6">
                      <w:pPr>
                        <w:jc w:val="center"/>
                      </w:pPr>
                    </w:p>
                  </w:txbxContent>
                </v:textbox>
              </v:rect>
            </w:pict>
          </mc:Fallback>
        </mc:AlternateContent>
      </w:r>
    </w:p>
    <w:p w14:paraId="03ED67B2">
      <w:pPr>
        <w:spacing w:line="560" w:lineRule="exact"/>
        <w:rPr>
          <w:rFonts w:ascii="仿宋_GB2312" w:eastAsia="仿宋_GB2312"/>
          <w:sz w:val="32"/>
          <w:szCs w:val="32"/>
        </w:rPr>
      </w:pPr>
    </w:p>
    <w:p w14:paraId="382EE5B4">
      <w:pPr>
        <w:spacing w:line="560" w:lineRule="exact"/>
        <w:rPr>
          <w:rFonts w:ascii="仿宋_GB2312" w:eastAsia="仿宋_GB2312"/>
          <w:sz w:val="32"/>
          <w:szCs w:val="32"/>
        </w:rPr>
      </w:pPr>
    </w:p>
    <w:p w14:paraId="635FC17E">
      <w:pPr>
        <w:spacing w:line="560" w:lineRule="exact"/>
        <w:rPr>
          <w:rFonts w:ascii="仿宋_GB2312" w:eastAsia="仿宋_GB2312"/>
          <w:sz w:val="32"/>
          <w:szCs w:val="32"/>
        </w:rPr>
      </w:pPr>
    </w:p>
    <w:p w14:paraId="7070B8C0">
      <w:pPr>
        <w:spacing w:line="560" w:lineRule="exact"/>
        <w:rPr>
          <w:rFonts w:ascii="仿宋_GB2312" w:eastAsia="仿宋_GB2312"/>
          <w:sz w:val="32"/>
          <w:szCs w:val="32"/>
        </w:rPr>
      </w:pPr>
    </w:p>
    <w:p w14:paraId="446BD21D">
      <w:pPr>
        <w:spacing w:line="560" w:lineRule="exact"/>
        <w:rPr>
          <w:rFonts w:ascii="仿宋_GB2312" w:eastAsia="仿宋_GB2312"/>
          <w:sz w:val="32"/>
          <w:szCs w:val="32"/>
        </w:rPr>
      </w:pPr>
    </w:p>
    <w:p w14:paraId="485F79C2">
      <w:pPr>
        <w:spacing w:line="560" w:lineRule="exact"/>
        <w:rPr>
          <w:rFonts w:ascii="仿宋_GB2312" w:eastAsia="仿宋_GB2312"/>
          <w:sz w:val="32"/>
          <w:szCs w:val="32"/>
        </w:rPr>
      </w:pPr>
    </w:p>
    <w:p w14:paraId="27976EA6">
      <w:pPr>
        <w:spacing w:line="560" w:lineRule="exact"/>
        <w:rPr>
          <w:rFonts w:ascii="仿宋_GB2312" w:eastAsia="仿宋_GB2312"/>
          <w:sz w:val="32"/>
          <w:szCs w:val="32"/>
        </w:rPr>
      </w:pPr>
    </w:p>
    <w:p w14:paraId="54AC635B">
      <w:pPr>
        <w:spacing w:line="560" w:lineRule="exact"/>
        <w:rPr>
          <w:rFonts w:ascii="仿宋_GB2312" w:eastAsia="仿宋_GB2312"/>
          <w:sz w:val="32"/>
          <w:szCs w:val="32"/>
        </w:rPr>
      </w:pPr>
    </w:p>
    <w:p w14:paraId="676B0F2E">
      <w:pPr>
        <w:spacing w:line="560" w:lineRule="exact"/>
        <w:rPr>
          <w:rFonts w:ascii="仿宋_GB2312" w:eastAsia="仿宋_GB2312"/>
          <w:sz w:val="32"/>
          <w:szCs w:val="32"/>
        </w:rPr>
      </w:pPr>
    </w:p>
    <w:p w14:paraId="2750ED00">
      <w:pPr>
        <w:spacing w:line="560" w:lineRule="exact"/>
        <w:rPr>
          <w:rFonts w:ascii="仿宋_GB2312" w:eastAsia="仿宋_GB2312"/>
          <w:sz w:val="32"/>
          <w:szCs w:val="32"/>
        </w:rPr>
      </w:pPr>
    </w:p>
    <w:p w14:paraId="31217435">
      <w:pPr>
        <w:spacing w:line="560" w:lineRule="exact"/>
        <w:rPr>
          <w:rFonts w:ascii="仿宋_GB2312" w:eastAsia="仿宋_GB2312"/>
          <w:sz w:val="32"/>
          <w:szCs w:val="32"/>
        </w:rPr>
      </w:pPr>
    </w:p>
    <w:p w14:paraId="521414B6">
      <w:pPr>
        <w:spacing w:line="560" w:lineRule="exact"/>
        <w:rPr>
          <w:rFonts w:ascii="仿宋_GB2312" w:eastAsia="仿宋_GB2312"/>
          <w:sz w:val="32"/>
          <w:szCs w:val="32"/>
        </w:rPr>
      </w:pPr>
    </w:p>
    <w:p w14:paraId="2EEDD71F">
      <w:pPr>
        <w:spacing w:line="560" w:lineRule="exact"/>
        <w:rPr>
          <w:rFonts w:ascii="仿宋_GB2312" w:eastAsia="仿宋_GB2312"/>
          <w:sz w:val="32"/>
          <w:szCs w:val="32"/>
        </w:rPr>
      </w:pPr>
    </w:p>
    <w:p w14:paraId="7C478564">
      <w:pPr>
        <w:spacing w:line="560" w:lineRule="exact"/>
        <w:rPr>
          <w:rFonts w:ascii="仿宋_GB2312" w:eastAsia="仿宋_GB2312"/>
          <w:sz w:val="32"/>
          <w:szCs w:val="32"/>
        </w:rPr>
      </w:pPr>
    </w:p>
    <w:p w14:paraId="25748191">
      <w:pPr>
        <w:spacing w:line="560" w:lineRule="exact"/>
        <w:rPr>
          <w:rFonts w:ascii="仿宋_GB2312" w:eastAsia="仿宋_GB2312"/>
          <w:sz w:val="32"/>
          <w:szCs w:val="32"/>
        </w:rPr>
      </w:pPr>
    </w:p>
    <w:p w14:paraId="02EDDF43">
      <w:pPr>
        <w:spacing w:line="560" w:lineRule="exact"/>
        <w:rPr>
          <w:rFonts w:ascii="仿宋_GB2312" w:eastAsia="仿宋_GB2312"/>
          <w:sz w:val="32"/>
          <w:szCs w:val="32"/>
        </w:rPr>
      </w:pPr>
    </w:p>
    <w:p w14:paraId="174FC262">
      <w:pPr>
        <w:spacing w:line="560" w:lineRule="exact"/>
        <w:rPr>
          <w:rFonts w:ascii="仿宋_GB2312" w:eastAsia="仿宋_GB2312"/>
          <w:sz w:val="32"/>
          <w:szCs w:val="32"/>
        </w:rPr>
      </w:pPr>
    </w:p>
    <w:p w14:paraId="2D223B25">
      <w:pPr>
        <w:spacing w:line="560" w:lineRule="exact"/>
        <w:rPr>
          <w:rFonts w:ascii="仿宋_GB2312" w:eastAsia="仿宋_GB2312"/>
          <w:sz w:val="32"/>
          <w:szCs w:val="32"/>
        </w:rPr>
      </w:pPr>
    </w:p>
    <w:p w14:paraId="3A8EB871">
      <w:pPr>
        <w:rPr>
          <w:del w:id="3238" w:author="LV" w:date="2026-07-14T15:49:08Z"/>
          <w:rFonts w:ascii="仿宋_GB2312" w:eastAsia="仿宋_GB2312"/>
          <w:sz w:val="32"/>
          <w:szCs w:val="32"/>
        </w:rPr>
      </w:pPr>
    </w:p>
    <w:p w14:paraId="3AB1139E">
      <w:pPr>
        <w:keepNext w:val="0"/>
        <w:keepLines w:val="0"/>
        <w:pageBreakBefore w:val="0"/>
        <w:widowControl w:val="0"/>
        <w:kinsoku/>
        <w:wordWrap/>
        <w:overflowPunct/>
        <w:topLinePunct w:val="0"/>
        <w:autoSpaceDE/>
        <w:autoSpaceDN/>
        <w:bidi w:val="0"/>
        <w:adjustRightInd/>
        <w:snapToGrid/>
        <w:spacing w:line="578" w:lineRule="exact"/>
        <w:ind w:left="210" w:leftChars="100"/>
        <w:textAlignment w:val="auto"/>
        <w:outlineLvl w:val="9"/>
        <w:rPr>
          <w:del w:id="3239" w:author="LV" w:date="2026-07-14T15:49:08Z"/>
          <w:rFonts w:hint="default" w:ascii="黑体" w:hAnsi="黑体" w:eastAsia="黑体"/>
          <w:sz w:val="32"/>
          <w:szCs w:val="32"/>
          <w:lang w:val="en-US" w:eastAsia="zh-CN"/>
        </w:rPr>
      </w:pPr>
      <w:del w:id="3240" w:author="LV" w:date="2026-07-14T15:49:08Z">
        <w:r>
          <w:rPr>
            <w:rFonts w:hint="eastAsia" w:ascii="黑体" w:hAnsi="黑体" w:eastAsia="黑体"/>
            <w:sz w:val="32"/>
            <w:szCs w:val="32"/>
          </w:rPr>
          <w:delText>政府</w:delText>
        </w:r>
      </w:del>
      <w:del w:id="3241" w:author="LV" w:date="2026-07-14T15:49:08Z">
        <w:r>
          <w:rPr>
            <w:rFonts w:ascii="黑体" w:hAnsi="黑体" w:eastAsia="黑体"/>
            <w:sz w:val="32"/>
            <w:szCs w:val="32"/>
          </w:rPr>
          <w:delText>信息公开</w:delText>
        </w:r>
      </w:del>
      <w:del w:id="3242" w:author="LV" w:date="2026-07-14T15:49:08Z">
        <w:r>
          <w:rPr>
            <w:rFonts w:hint="eastAsia" w:ascii="黑体" w:hAnsi="黑体" w:eastAsia="黑体"/>
            <w:sz w:val="32"/>
            <w:szCs w:val="32"/>
          </w:rPr>
          <w:delText>属性</w:delText>
        </w:r>
      </w:del>
      <w:del w:id="3243" w:author="LV" w:date="2026-07-14T15:49:08Z">
        <w:r>
          <w:rPr>
            <w:rFonts w:ascii="黑体" w:hAnsi="黑体" w:eastAsia="黑体"/>
            <w:sz w:val="32"/>
            <w:szCs w:val="32"/>
          </w:rPr>
          <w:delText>：</w:delText>
        </w:r>
      </w:del>
      <w:del w:id="3244" w:author="LV" w:date="2026-07-14T15:49:08Z">
        <w:bookmarkStart w:id="3" w:name="info_option"/>
        <w:bookmarkEnd w:id="3"/>
        <w:r>
          <w:rPr>
            <w:rFonts w:hint="eastAsia" w:ascii="黑体" w:hAnsi="黑体" w:eastAsia="黑体"/>
            <w:sz w:val="32"/>
            <w:szCs w:val="32"/>
            <w:lang w:val="en-US" w:eastAsia="zh-CN"/>
          </w:rPr>
          <w:delText>主动公开</w:delText>
        </w:r>
      </w:del>
    </w:p>
    <w:tbl>
      <w:tblPr>
        <w:tblStyle w:val="13"/>
        <w:tblW w:w="0" w:type="auto"/>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9060"/>
      </w:tblGrid>
      <w:tr w14:paraId="42B058AC">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641" w:hRule="atLeast"/>
          <w:del w:id="3245" w:author="LV" w:date="2026-07-14T15:49:08Z"/>
        </w:trPr>
        <w:tc>
          <w:tcPr>
            <w:tcW w:w="9060" w:type="dxa"/>
            <w:tcBorders>
              <w:tl2br w:val="nil"/>
              <w:tr2bl w:val="nil"/>
            </w:tcBorders>
            <w:shd w:val="clear" w:color="auto" w:fill="auto"/>
            <w:vAlign w:val="top"/>
          </w:tcPr>
          <w:p w14:paraId="72E46805">
            <w:pPr>
              <w:keepNext w:val="0"/>
              <w:keepLines w:val="0"/>
              <w:pageBreakBefore w:val="0"/>
              <w:widowControl w:val="0"/>
              <w:kinsoku/>
              <w:wordWrap/>
              <w:overflowPunct/>
              <w:topLinePunct w:val="0"/>
              <w:autoSpaceDE/>
              <w:autoSpaceDN/>
              <w:bidi w:val="0"/>
              <w:adjustRightInd/>
              <w:snapToGrid/>
              <w:ind w:left="210" w:leftChars="100" w:right="210" w:rightChars="100"/>
              <w:textAlignment w:val="auto"/>
              <w:rPr>
                <w:del w:id="3246" w:author="LV" w:date="2026-07-14T15:49:08Z"/>
                <w:rFonts w:ascii="黑体" w:hAnsi="黑体" w:eastAsia="黑体"/>
                <w:sz w:val="28"/>
                <w:szCs w:val="28"/>
              </w:rPr>
            </w:pPr>
            <w:del w:id="3247" w:author="LV" w:date="2026-07-14T15:49:08Z">
              <w:r>
                <w:rPr>
                  <w:rFonts w:hint="eastAsia" w:ascii="仿宋_GB2312" w:eastAsia="仿宋_GB2312"/>
                  <w:sz w:val="28"/>
                  <w:szCs w:val="28"/>
                </w:rPr>
                <w:delText>山东省能源局办公室</w:delText>
              </w:r>
            </w:del>
            <w:del w:id="3248" w:author="LV" w:date="2026-07-14T15:49:08Z">
              <w:r>
                <w:rPr>
                  <w:rFonts w:ascii="仿宋_GB2312" w:eastAsia="仿宋_GB2312"/>
                  <w:sz w:val="28"/>
                  <w:szCs w:val="28"/>
                </w:rPr>
                <w:delText xml:space="preserve">   </w:delText>
              </w:r>
            </w:del>
            <w:del w:id="3249" w:author="LV" w:date="2026-07-14T15:49:08Z">
              <w:r>
                <w:rPr>
                  <w:rFonts w:ascii="仿宋_GB2312" w:eastAsia="仿宋_GB2312"/>
                  <w:sz w:val="28"/>
                  <w:szCs w:val="28"/>
                </w:rPr>
                <w:tab/>
              </w:r>
            </w:del>
            <w:del w:id="3250" w:author="LV" w:date="2026-07-14T15:49:08Z">
              <w:r>
                <w:rPr>
                  <w:rFonts w:ascii="仿宋_GB2312" w:eastAsia="仿宋_GB2312"/>
                  <w:sz w:val="28"/>
                  <w:szCs w:val="28"/>
                </w:rPr>
                <w:delText xml:space="preserve">                   </w:delText>
              </w:r>
            </w:del>
            <w:del w:id="3251" w:author="LV" w:date="2026-07-14T15:49:08Z">
              <w:r>
                <w:rPr>
                  <w:rFonts w:hint="eastAsia" w:ascii="仿宋_GB2312" w:eastAsia="仿宋_GB2312"/>
                  <w:sz w:val="28"/>
                  <w:szCs w:val="28"/>
                  <w:lang w:val="en-US" w:eastAsia="zh-CN"/>
                </w:rPr>
                <w:delText>2023</w:delText>
              </w:r>
            </w:del>
            <w:del w:id="3252" w:author="LV" w:date="2026-07-14T15:49:08Z">
              <w:r>
                <w:rPr>
                  <w:rFonts w:hint="eastAsia" w:ascii="仿宋_GB2312" w:eastAsia="仿宋_GB2312"/>
                  <w:sz w:val="28"/>
                  <w:szCs w:val="28"/>
                </w:rPr>
                <w:delText>年</w:delText>
              </w:r>
            </w:del>
            <w:del w:id="3253" w:author="LV" w:date="2026-07-14T15:49:08Z">
              <w:r>
                <w:rPr>
                  <w:rFonts w:hint="eastAsia" w:ascii="仿宋_GB2312" w:eastAsia="仿宋_GB2312"/>
                  <w:sz w:val="28"/>
                  <w:szCs w:val="28"/>
                  <w:lang w:val="en-US" w:eastAsia="zh-CN"/>
                </w:rPr>
                <w:delText>9</w:delText>
              </w:r>
            </w:del>
            <w:del w:id="3254" w:author="LV" w:date="2026-07-14T15:49:08Z">
              <w:r>
                <w:rPr>
                  <w:rFonts w:hint="eastAsia" w:ascii="仿宋_GB2312" w:eastAsia="仿宋_GB2312"/>
                  <w:sz w:val="28"/>
                  <w:szCs w:val="28"/>
                </w:rPr>
                <w:delText>月</w:delText>
              </w:r>
            </w:del>
            <w:del w:id="3255" w:author="LV" w:date="2026-07-14T15:49:08Z">
              <w:r>
                <w:rPr>
                  <w:rFonts w:hint="eastAsia" w:ascii="仿宋_GB2312" w:eastAsia="仿宋_GB2312"/>
                  <w:sz w:val="28"/>
                  <w:szCs w:val="28"/>
                  <w:lang w:val="en-US" w:eastAsia="zh-CN"/>
                </w:rPr>
                <w:delText>28</w:delText>
              </w:r>
            </w:del>
            <w:del w:id="3256" w:author="LV" w:date="2026-07-14T15:49:08Z">
              <w:r>
                <w:rPr>
                  <w:rFonts w:hint="eastAsia" w:ascii="仿宋_GB2312" w:eastAsia="仿宋_GB2312"/>
                  <w:sz w:val="28"/>
                  <w:szCs w:val="28"/>
                </w:rPr>
                <w:delText>日印发</w:delText>
              </w:r>
            </w:del>
          </w:p>
        </w:tc>
      </w:tr>
    </w:tbl>
    <w:p w14:paraId="08EC6378">
      <w:pPr>
        <w:keepNext w:val="0"/>
        <w:keepLines w:val="0"/>
        <w:pageBreakBefore w:val="0"/>
        <w:widowControl w:val="0"/>
        <w:kinsoku/>
        <w:wordWrap/>
        <w:overflowPunct/>
        <w:topLinePunct w:val="0"/>
        <w:autoSpaceDE/>
        <w:autoSpaceDN/>
        <w:bidi w:val="0"/>
        <w:adjustRightInd/>
        <w:snapToGrid/>
        <w:spacing w:line="20" w:lineRule="exact"/>
        <w:textAlignment w:val="auto"/>
      </w:pPr>
    </w:p>
    <w:sectPr>
      <w:pgSz w:w="11906" w:h="16838"/>
      <w:pgMar w:top="2098" w:right="1531" w:bottom="1984" w:left="1531" w:header="851" w:footer="1531"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2"/>
    <w:family w:val="auto"/>
    <w:pitch w:val="default"/>
    <w:sig w:usb0="E0002EFF" w:usb1="C000785B" w:usb2="00000009" w:usb3="00000000" w:csb0="400001FF" w:csb1="FFFF0000"/>
  </w:font>
  <w:font w:name="宋体">
    <w:panose1 w:val="02010600030101010101"/>
    <w:charset w:val="88"/>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黑体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B3BE8C">
    <w:pPr>
      <w:rPr>
        <w:ins w:id="0" w:author="LV" w:date="2026-07-27T15:33:54Z"/>
      </w:rPr>
    </w:pPr>
    <w:ins w:id="1" w:author="LV" w:date="2026-07-27T15:33:54Z">
      <w:r>
        <w:rPr>
          <w:sz w:val="21"/>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6AD26B">
                            <w:pPr>
                              <w:pStyle w:val="8"/>
                              <w:rPr>
                                <w:ins w:id="3" w:author="LV" w:date="2026-07-27T15:33:54Z"/>
                                <w:rFonts w:hint="default" w:ascii="宋体" w:hAnsi="宋体" w:eastAsia="宋体" w:cs="宋体"/>
                                <w:sz w:val="28"/>
                                <w:szCs w:val="28"/>
                                <w:lang w:val="en-US" w:eastAsia="zh-CN"/>
                              </w:rPr>
                            </w:pPr>
                            <w:ins w:id="4" w:author="LV" w:date="2026-07-27T15:33:54Z">
                              <w:r>
                                <w:rPr>
                                  <w:rFonts w:hint="eastAsia" w:ascii="宋体" w:hAnsi="宋体" w:eastAsia="宋体" w:cs="宋体"/>
                                  <w:sz w:val="28"/>
                                  <w:szCs w:val="28"/>
                                  <w:lang w:eastAsia="zh-CN"/>
                                </w:rPr>
                                <w:t>—</w:t>
                              </w:r>
                            </w:ins>
                            <w:ins w:id="5" w:author="LV" w:date="2026-07-27T15:33:54Z">
                              <w:r>
                                <w:rPr>
                                  <w:rFonts w:hint="eastAsia" w:ascii="宋体" w:hAnsi="宋体" w:eastAsia="宋体" w:cs="宋体"/>
                                  <w:sz w:val="28"/>
                                  <w:szCs w:val="28"/>
                                  <w:lang w:val="en-US" w:eastAsia="zh-CN"/>
                                </w:rPr>
                                <w:t xml:space="preserve"> </w:t>
                              </w:r>
                            </w:ins>
                            <w:ins w:id="6" w:author="LV" w:date="2026-07-27T15:33:54Z">
                              <w:r>
                                <w:rPr>
                                  <w:rFonts w:hint="eastAsia" w:ascii="宋体" w:hAnsi="宋体" w:eastAsia="宋体" w:cs="宋体"/>
                                  <w:sz w:val="28"/>
                                  <w:szCs w:val="28"/>
                                  <w:lang w:eastAsia="zh-CN"/>
                                </w:rPr>
                                <w:fldChar w:fldCharType="begin"/>
                              </w:r>
                            </w:ins>
                            <w:ins w:id="7" w:author="LV" w:date="2026-07-27T15:33:54Z">
                              <w:r>
                                <w:rPr>
                                  <w:rFonts w:hint="eastAsia" w:ascii="宋体" w:hAnsi="宋体" w:eastAsia="宋体" w:cs="宋体"/>
                                  <w:sz w:val="28"/>
                                  <w:szCs w:val="28"/>
                                  <w:lang w:eastAsia="zh-CN"/>
                                </w:rPr>
                                <w:instrText xml:space="preserve"> PAGE  \* MERGEFORMAT </w:instrText>
                              </w:r>
                            </w:ins>
                            <w:ins w:id="8" w:author="LV" w:date="2026-07-27T15:33:54Z">
                              <w:r>
                                <w:rPr>
                                  <w:rFonts w:hint="eastAsia" w:ascii="宋体" w:hAnsi="宋体" w:eastAsia="宋体" w:cs="宋体"/>
                                  <w:sz w:val="28"/>
                                  <w:szCs w:val="28"/>
                                  <w:lang w:eastAsia="zh-CN"/>
                                </w:rPr>
                                <w:fldChar w:fldCharType="separate"/>
                              </w:r>
                            </w:ins>
                            <w:ins w:id="9" w:author="LV" w:date="2026-07-27T15:33:54Z">
                              <w:r>
                                <w:rPr>
                                  <w:rFonts w:hint="eastAsia" w:ascii="宋体" w:hAnsi="宋体" w:eastAsia="宋体" w:cs="宋体"/>
                                  <w:sz w:val="28"/>
                                  <w:szCs w:val="28"/>
                                  <w:lang w:eastAsia="zh-CN"/>
                                </w:rPr>
                                <w:t>1</w:t>
                              </w:r>
                            </w:ins>
                            <w:ins w:id="10" w:author="LV" w:date="2026-07-27T15:33:54Z">
                              <w:r>
                                <w:rPr>
                                  <w:rFonts w:hint="eastAsia" w:ascii="宋体" w:hAnsi="宋体" w:eastAsia="宋体" w:cs="宋体"/>
                                  <w:sz w:val="28"/>
                                  <w:szCs w:val="28"/>
                                  <w:lang w:eastAsia="zh-CN"/>
                                </w:rPr>
                                <w:fldChar w:fldCharType="end"/>
                              </w:r>
                            </w:ins>
                            <w:ins w:id="11" w:author="LV" w:date="2026-07-27T15:33:54Z">
                              <w:r>
                                <w:rPr>
                                  <w:rFonts w:hint="eastAsia" w:ascii="宋体" w:hAnsi="宋体" w:eastAsia="宋体" w:cs="宋体"/>
                                  <w:sz w:val="28"/>
                                  <w:szCs w:val="28"/>
                                  <w:lang w:val="en-US" w:eastAsia="zh-CN"/>
                                </w:rPr>
                                <w:t xml:space="preserve"> —</w:t>
                              </w:r>
                            </w:ins>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96AD26B">
                      <w:pPr>
                        <w:pStyle w:val="8"/>
                        <w:rPr>
                          <w:ins w:id="12" w:author="LV" w:date="2026-07-27T15:33:54Z"/>
                          <w:rFonts w:hint="default" w:ascii="宋体" w:hAnsi="宋体" w:eastAsia="宋体" w:cs="宋体"/>
                          <w:sz w:val="28"/>
                          <w:szCs w:val="28"/>
                          <w:lang w:val="en-US" w:eastAsia="zh-CN"/>
                        </w:rPr>
                      </w:pPr>
                      <w:ins w:id="13" w:author="LV" w:date="2026-07-27T15:33:54Z">
                        <w:r>
                          <w:rPr>
                            <w:rFonts w:hint="eastAsia" w:ascii="宋体" w:hAnsi="宋体" w:eastAsia="宋体" w:cs="宋体"/>
                            <w:sz w:val="28"/>
                            <w:szCs w:val="28"/>
                            <w:lang w:eastAsia="zh-CN"/>
                          </w:rPr>
                          <w:t>—</w:t>
                        </w:r>
                      </w:ins>
                      <w:ins w:id="14" w:author="LV" w:date="2026-07-27T15:33:54Z">
                        <w:r>
                          <w:rPr>
                            <w:rFonts w:hint="eastAsia" w:ascii="宋体" w:hAnsi="宋体" w:eastAsia="宋体" w:cs="宋体"/>
                            <w:sz w:val="28"/>
                            <w:szCs w:val="28"/>
                            <w:lang w:val="en-US" w:eastAsia="zh-CN"/>
                          </w:rPr>
                          <w:t xml:space="preserve"> </w:t>
                        </w:r>
                      </w:ins>
                      <w:ins w:id="15" w:author="LV" w:date="2026-07-27T15:33:54Z">
                        <w:r>
                          <w:rPr>
                            <w:rFonts w:hint="eastAsia" w:ascii="宋体" w:hAnsi="宋体" w:eastAsia="宋体" w:cs="宋体"/>
                            <w:sz w:val="28"/>
                            <w:szCs w:val="28"/>
                            <w:lang w:eastAsia="zh-CN"/>
                          </w:rPr>
                          <w:fldChar w:fldCharType="begin"/>
                        </w:r>
                      </w:ins>
                      <w:ins w:id="16" w:author="LV" w:date="2026-07-27T15:33:54Z">
                        <w:r>
                          <w:rPr>
                            <w:rFonts w:hint="eastAsia" w:ascii="宋体" w:hAnsi="宋体" w:eastAsia="宋体" w:cs="宋体"/>
                            <w:sz w:val="28"/>
                            <w:szCs w:val="28"/>
                            <w:lang w:eastAsia="zh-CN"/>
                          </w:rPr>
                          <w:instrText xml:space="preserve"> PAGE  \* MERGEFORMAT </w:instrText>
                        </w:r>
                      </w:ins>
                      <w:ins w:id="17" w:author="LV" w:date="2026-07-27T15:33:54Z">
                        <w:r>
                          <w:rPr>
                            <w:rFonts w:hint="eastAsia" w:ascii="宋体" w:hAnsi="宋体" w:eastAsia="宋体" w:cs="宋体"/>
                            <w:sz w:val="28"/>
                            <w:szCs w:val="28"/>
                            <w:lang w:eastAsia="zh-CN"/>
                          </w:rPr>
                          <w:fldChar w:fldCharType="separate"/>
                        </w:r>
                      </w:ins>
                      <w:ins w:id="18" w:author="LV" w:date="2026-07-27T15:33:54Z">
                        <w:r>
                          <w:rPr>
                            <w:rFonts w:hint="eastAsia" w:ascii="宋体" w:hAnsi="宋体" w:eastAsia="宋体" w:cs="宋体"/>
                            <w:sz w:val="28"/>
                            <w:szCs w:val="28"/>
                            <w:lang w:eastAsia="zh-CN"/>
                          </w:rPr>
                          <w:t>1</w:t>
                        </w:r>
                      </w:ins>
                      <w:ins w:id="19" w:author="LV" w:date="2026-07-27T15:33:54Z">
                        <w:r>
                          <w:rPr>
                            <w:rFonts w:hint="eastAsia" w:ascii="宋体" w:hAnsi="宋体" w:eastAsia="宋体" w:cs="宋体"/>
                            <w:sz w:val="28"/>
                            <w:szCs w:val="28"/>
                            <w:lang w:eastAsia="zh-CN"/>
                          </w:rPr>
                          <w:fldChar w:fldCharType="end"/>
                        </w:r>
                      </w:ins>
                      <w:ins w:id="20" w:author="LV" w:date="2026-07-27T15:33:54Z">
                        <w:r>
                          <w:rPr>
                            <w:rFonts w:hint="eastAsia" w:ascii="宋体" w:hAnsi="宋体" w:eastAsia="宋体" w:cs="宋体"/>
                            <w:sz w:val="28"/>
                            <w:szCs w:val="28"/>
                            <w:lang w:val="en-US" w:eastAsia="zh-CN"/>
                          </w:rPr>
                          <w:t xml:space="preserve"> —</w:t>
                        </w:r>
                      </w:ins>
                    </w:p>
                  </w:txbxContent>
                </v:textbox>
              </v:shape>
            </w:pict>
          </mc:Fallback>
        </mc:AlternateContent>
      </w:r>
    </w:ins>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C9917A">
    <w:r>
      <w:rPr>
        <w:sz w:val="21"/>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036F85">
                          <w:pPr>
                            <w:pStyle w:val="8"/>
                            <w:rPr>
                              <w:rFonts w:hint="default"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C036F85">
                    <w:pPr>
                      <w:pStyle w:val="8"/>
                      <w:rPr>
                        <w:rFonts w:hint="default"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AFAFFC">
    <w:pPr>
      <w:pStyle w:val="8"/>
      <w:ind w:right="360" w:firstLine="360"/>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00D379">
                          <w:pPr>
                            <w:pStyle w:val="8"/>
                            <w:rPr>
                              <w:rStyle w:val="17"/>
                              <w:rFonts w:hint="eastAsia" w:ascii="宋体" w:hAnsi="宋体" w:eastAsia="宋体" w:cs="宋体"/>
                              <w:sz w:val="28"/>
                              <w:szCs w:val="28"/>
                              <w:lang w:val="en-US" w:eastAsia="zh-CN"/>
                            </w:rPr>
                          </w:pPr>
                          <w:r>
                            <w:rPr>
                              <w:rStyle w:val="17"/>
                              <w:rFonts w:hint="eastAsia" w:ascii="宋体" w:hAnsi="宋体" w:eastAsia="宋体" w:cs="宋体"/>
                              <w:sz w:val="28"/>
                              <w:szCs w:val="28"/>
                              <w:lang w:eastAsia="zh-CN"/>
                            </w:rPr>
                            <w:t>—</w:t>
                          </w:r>
                          <w:r>
                            <w:rPr>
                              <w:rStyle w:val="17"/>
                              <w:rFonts w:hint="eastAsia" w:ascii="宋体" w:hAnsi="宋体" w:eastAsia="宋体" w:cs="宋体"/>
                              <w:sz w:val="28"/>
                              <w:szCs w:val="28"/>
                              <w:lang w:val="en-US" w:eastAsia="zh-CN"/>
                            </w:rPr>
                            <w:t xml:space="preserve"> </w:t>
                          </w:r>
                          <w:r>
                            <w:rPr>
                              <w:rStyle w:val="17"/>
                              <w:rFonts w:hint="eastAsia" w:ascii="宋体" w:hAnsi="宋体" w:eastAsia="宋体" w:cs="宋体"/>
                              <w:sz w:val="28"/>
                              <w:szCs w:val="28"/>
                            </w:rPr>
                            <w:fldChar w:fldCharType="begin"/>
                          </w:r>
                          <w:r>
                            <w:rPr>
                              <w:rStyle w:val="17"/>
                              <w:rFonts w:hint="eastAsia" w:ascii="宋体" w:hAnsi="宋体" w:eastAsia="宋体" w:cs="宋体"/>
                              <w:sz w:val="28"/>
                              <w:szCs w:val="28"/>
                            </w:rPr>
                            <w:instrText xml:space="preserve">PAGE  </w:instrText>
                          </w:r>
                          <w:r>
                            <w:rPr>
                              <w:rStyle w:val="17"/>
                              <w:rFonts w:hint="eastAsia" w:ascii="宋体" w:hAnsi="宋体" w:eastAsia="宋体" w:cs="宋体"/>
                              <w:sz w:val="28"/>
                              <w:szCs w:val="28"/>
                            </w:rPr>
                            <w:fldChar w:fldCharType="separate"/>
                          </w:r>
                          <w:r>
                            <w:rPr>
                              <w:rStyle w:val="17"/>
                              <w:rFonts w:hint="eastAsia" w:ascii="宋体" w:hAnsi="宋体" w:eastAsia="宋体" w:cs="宋体"/>
                              <w:sz w:val="28"/>
                              <w:szCs w:val="28"/>
                            </w:rPr>
                            <w:t>- 1 -</w:t>
                          </w:r>
                          <w:r>
                            <w:rPr>
                              <w:rStyle w:val="17"/>
                              <w:rFonts w:hint="eastAsia" w:ascii="宋体" w:hAnsi="宋体" w:eastAsia="宋体" w:cs="宋体"/>
                              <w:sz w:val="28"/>
                              <w:szCs w:val="28"/>
                            </w:rPr>
                            <w:fldChar w:fldCharType="end"/>
                          </w:r>
                          <w:r>
                            <w:rPr>
                              <w:rStyle w:val="17"/>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400D379">
                    <w:pPr>
                      <w:pStyle w:val="8"/>
                      <w:rPr>
                        <w:rStyle w:val="17"/>
                        <w:rFonts w:hint="eastAsia" w:ascii="宋体" w:hAnsi="宋体" w:eastAsia="宋体" w:cs="宋体"/>
                        <w:sz w:val="28"/>
                        <w:szCs w:val="28"/>
                        <w:lang w:val="en-US" w:eastAsia="zh-CN"/>
                      </w:rPr>
                    </w:pPr>
                    <w:r>
                      <w:rPr>
                        <w:rStyle w:val="17"/>
                        <w:rFonts w:hint="eastAsia" w:ascii="宋体" w:hAnsi="宋体" w:eastAsia="宋体" w:cs="宋体"/>
                        <w:sz w:val="28"/>
                        <w:szCs w:val="28"/>
                        <w:lang w:eastAsia="zh-CN"/>
                      </w:rPr>
                      <w:t>—</w:t>
                    </w:r>
                    <w:r>
                      <w:rPr>
                        <w:rStyle w:val="17"/>
                        <w:rFonts w:hint="eastAsia" w:ascii="宋体" w:hAnsi="宋体" w:eastAsia="宋体" w:cs="宋体"/>
                        <w:sz w:val="28"/>
                        <w:szCs w:val="28"/>
                        <w:lang w:val="en-US" w:eastAsia="zh-CN"/>
                      </w:rPr>
                      <w:t xml:space="preserve"> </w:t>
                    </w:r>
                    <w:r>
                      <w:rPr>
                        <w:rStyle w:val="17"/>
                        <w:rFonts w:hint="eastAsia" w:ascii="宋体" w:hAnsi="宋体" w:eastAsia="宋体" w:cs="宋体"/>
                        <w:sz w:val="28"/>
                        <w:szCs w:val="28"/>
                      </w:rPr>
                      <w:fldChar w:fldCharType="begin"/>
                    </w:r>
                    <w:r>
                      <w:rPr>
                        <w:rStyle w:val="17"/>
                        <w:rFonts w:hint="eastAsia" w:ascii="宋体" w:hAnsi="宋体" w:eastAsia="宋体" w:cs="宋体"/>
                        <w:sz w:val="28"/>
                        <w:szCs w:val="28"/>
                      </w:rPr>
                      <w:instrText xml:space="preserve">PAGE  </w:instrText>
                    </w:r>
                    <w:r>
                      <w:rPr>
                        <w:rStyle w:val="17"/>
                        <w:rFonts w:hint="eastAsia" w:ascii="宋体" w:hAnsi="宋体" w:eastAsia="宋体" w:cs="宋体"/>
                        <w:sz w:val="28"/>
                        <w:szCs w:val="28"/>
                      </w:rPr>
                      <w:fldChar w:fldCharType="separate"/>
                    </w:r>
                    <w:r>
                      <w:rPr>
                        <w:rStyle w:val="17"/>
                        <w:rFonts w:hint="eastAsia" w:ascii="宋体" w:hAnsi="宋体" w:eastAsia="宋体" w:cs="宋体"/>
                        <w:sz w:val="28"/>
                        <w:szCs w:val="28"/>
                      </w:rPr>
                      <w:t>- 1 -</w:t>
                    </w:r>
                    <w:r>
                      <w:rPr>
                        <w:rStyle w:val="17"/>
                        <w:rFonts w:hint="eastAsia" w:ascii="宋体" w:hAnsi="宋体" w:eastAsia="宋体" w:cs="宋体"/>
                        <w:sz w:val="28"/>
                        <w:szCs w:val="28"/>
                      </w:rPr>
                      <w:fldChar w:fldCharType="end"/>
                    </w:r>
                    <w:r>
                      <w:rPr>
                        <w:rStyle w:val="17"/>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BDB1D2">
    <w:pPr>
      <w:pStyle w:val="8"/>
      <w:framePr w:wrap="around" w:vAnchor="text" w:hAnchor="margin" w:xAlign="outside" w:y="1"/>
      <w:rPr>
        <w:rStyle w:val="17"/>
      </w:rPr>
    </w:pPr>
    <w:r>
      <w:rPr>
        <w:rStyle w:val="17"/>
      </w:rPr>
      <w:fldChar w:fldCharType="begin"/>
    </w:r>
    <w:r>
      <w:rPr>
        <w:rStyle w:val="17"/>
      </w:rPr>
      <w:instrText xml:space="preserve">PAGE  </w:instrText>
    </w:r>
    <w:r>
      <w:rPr>
        <w:rStyle w:val="17"/>
      </w:rPr>
      <w:fldChar w:fldCharType="end"/>
    </w:r>
  </w:p>
  <w:p w14:paraId="622AE940">
    <w:pPr>
      <w:pStyle w:val="8"/>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5D110B"/>
    <w:multiLevelType w:val="singleLevel"/>
    <w:tmpl w:val="905D110B"/>
    <w:lvl w:ilvl="0" w:tentative="0">
      <w:start w:val="1"/>
      <w:numFmt w:val="chineseCounting"/>
      <w:suff w:val="nothing"/>
      <w:lvlText w:val="（%1）"/>
      <w:lvlJc w:val="left"/>
      <w:rPr>
        <w:rFonts w:hint="eastAsia"/>
      </w:rPr>
    </w:lvl>
  </w:abstractNum>
  <w:abstractNum w:abstractNumId="1">
    <w:nsid w:val="AE5AAF47"/>
    <w:multiLevelType w:val="singleLevel"/>
    <w:tmpl w:val="AE5AAF47"/>
    <w:lvl w:ilvl="0" w:tentative="0">
      <w:start w:val="6"/>
      <w:numFmt w:val="chineseCounting"/>
      <w:suff w:val="nothing"/>
      <w:lvlText w:val="（%1）"/>
      <w:lvlJc w:val="left"/>
      <w:rPr>
        <w:rFonts w:hint="eastAsia"/>
      </w:rPr>
    </w:lvl>
  </w:abstractNum>
  <w:abstractNum w:abstractNumId="2">
    <w:nsid w:val="2A568D59"/>
    <w:multiLevelType w:val="singleLevel"/>
    <w:tmpl w:val="2A568D59"/>
    <w:lvl w:ilvl="0" w:tentative="0">
      <w:start w:val="9"/>
      <w:numFmt w:val="chineseCounting"/>
      <w:suff w:val="space"/>
      <w:lvlText w:val="第%1条"/>
      <w:lvlJc w:val="left"/>
      <w:rPr>
        <w:rFonts w:hint="eastAsia"/>
      </w:rPr>
    </w:lvl>
  </w:abstractNum>
  <w:num w:numId="1">
    <w:abstractNumId w:val="0"/>
  </w:num>
  <w:num w:numId="2">
    <w:abstractNumId w:val="2"/>
  </w:num>
  <w:num w:numId="3">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LV">
    <w15:presenceInfo w15:providerId="WPS Office" w15:userId="383387580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val="1"/>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A0NzU3MzRlMjhiNTNhMTQ2NTk1NTk4NDIxN2MzZTMifQ=="/>
  </w:docVars>
  <w:rsids>
    <w:rsidRoot w:val="000709CD"/>
    <w:rsid w:val="000709CD"/>
    <w:rsid w:val="000C055F"/>
    <w:rsid w:val="000E75A6"/>
    <w:rsid w:val="00111159"/>
    <w:rsid w:val="0025058B"/>
    <w:rsid w:val="002A7F87"/>
    <w:rsid w:val="002B5D5E"/>
    <w:rsid w:val="003116F7"/>
    <w:rsid w:val="0037782B"/>
    <w:rsid w:val="003979EC"/>
    <w:rsid w:val="00446E4C"/>
    <w:rsid w:val="0044718B"/>
    <w:rsid w:val="004F4EC9"/>
    <w:rsid w:val="00561654"/>
    <w:rsid w:val="005E267D"/>
    <w:rsid w:val="005E57C5"/>
    <w:rsid w:val="007B6072"/>
    <w:rsid w:val="00861FA1"/>
    <w:rsid w:val="008C5321"/>
    <w:rsid w:val="00A43FCD"/>
    <w:rsid w:val="00AB3AF4"/>
    <w:rsid w:val="00AE7E90"/>
    <w:rsid w:val="00B00B51"/>
    <w:rsid w:val="00BA7540"/>
    <w:rsid w:val="00C44682"/>
    <w:rsid w:val="00C6172E"/>
    <w:rsid w:val="00C87D35"/>
    <w:rsid w:val="00CA50F3"/>
    <w:rsid w:val="00D45CB6"/>
    <w:rsid w:val="00E2211D"/>
    <w:rsid w:val="00EC501C"/>
    <w:rsid w:val="00F540D9"/>
    <w:rsid w:val="00F618CF"/>
    <w:rsid w:val="01675739"/>
    <w:rsid w:val="01A82395"/>
    <w:rsid w:val="01A9669A"/>
    <w:rsid w:val="01CA705A"/>
    <w:rsid w:val="01DC4C23"/>
    <w:rsid w:val="0227263C"/>
    <w:rsid w:val="02532A52"/>
    <w:rsid w:val="026B3007"/>
    <w:rsid w:val="028574C3"/>
    <w:rsid w:val="02CD73A2"/>
    <w:rsid w:val="02F9628A"/>
    <w:rsid w:val="03C22815"/>
    <w:rsid w:val="03E11A37"/>
    <w:rsid w:val="041A29A1"/>
    <w:rsid w:val="043E0228"/>
    <w:rsid w:val="044B02EA"/>
    <w:rsid w:val="04635904"/>
    <w:rsid w:val="04810A86"/>
    <w:rsid w:val="04CA2E9A"/>
    <w:rsid w:val="05047AA9"/>
    <w:rsid w:val="050D470B"/>
    <w:rsid w:val="051060E7"/>
    <w:rsid w:val="0595001E"/>
    <w:rsid w:val="05BC5C44"/>
    <w:rsid w:val="05E13DD7"/>
    <w:rsid w:val="06055740"/>
    <w:rsid w:val="061B57D0"/>
    <w:rsid w:val="06500E91"/>
    <w:rsid w:val="068E795F"/>
    <w:rsid w:val="06B331CE"/>
    <w:rsid w:val="06EE4206"/>
    <w:rsid w:val="06FF11EC"/>
    <w:rsid w:val="07036AE8"/>
    <w:rsid w:val="070D5542"/>
    <w:rsid w:val="074402CA"/>
    <w:rsid w:val="074A25F6"/>
    <w:rsid w:val="07B52C25"/>
    <w:rsid w:val="080D31C5"/>
    <w:rsid w:val="086755E4"/>
    <w:rsid w:val="08942E93"/>
    <w:rsid w:val="08A23AA8"/>
    <w:rsid w:val="08B7505D"/>
    <w:rsid w:val="08D12032"/>
    <w:rsid w:val="092D54BA"/>
    <w:rsid w:val="093413BD"/>
    <w:rsid w:val="095641AB"/>
    <w:rsid w:val="097D10EC"/>
    <w:rsid w:val="098E1A6C"/>
    <w:rsid w:val="099D7EF0"/>
    <w:rsid w:val="09C25B1C"/>
    <w:rsid w:val="09F4422A"/>
    <w:rsid w:val="0A022ACD"/>
    <w:rsid w:val="0A0C1573"/>
    <w:rsid w:val="0B745DDA"/>
    <w:rsid w:val="0B82576B"/>
    <w:rsid w:val="0B892750"/>
    <w:rsid w:val="0BA67AD4"/>
    <w:rsid w:val="0BB772BD"/>
    <w:rsid w:val="0BE04A65"/>
    <w:rsid w:val="0BE8391A"/>
    <w:rsid w:val="0BFC56D1"/>
    <w:rsid w:val="0C1E0CB3"/>
    <w:rsid w:val="0C28610A"/>
    <w:rsid w:val="0C4A6E11"/>
    <w:rsid w:val="0CC31C91"/>
    <w:rsid w:val="0CDD2D53"/>
    <w:rsid w:val="0D037D85"/>
    <w:rsid w:val="0D14494B"/>
    <w:rsid w:val="0D827EE1"/>
    <w:rsid w:val="0DCD2DC7"/>
    <w:rsid w:val="0DDB38B6"/>
    <w:rsid w:val="0DDF131D"/>
    <w:rsid w:val="0E4B0190"/>
    <w:rsid w:val="0E5D4151"/>
    <w:rsid w:val="0E7E7133"/>
    <w:rsid w:val="0E8352B8"/>
    <w:rsid w:val="0EB03877"/>
    <w:rsid w:val="0EE20797"/>
    <w:rsid w:val="0F0605C5"/>
    <w:rsid w:val="0F3B0205"/>
    <w:rsid w:val="0F44355D"/>
    <w:rsid w:val="0F54741A"/>
    <w:rsid w:val="0F60532F"/>
    <w:rsid w:val="0F8171E8"/>
    <w:rsid w:val="0FCB3FB4"/>
    <w:rsid w:val="0FDD2A78"/>
    <w:rsid w:val="10134CDE"/>
    <w:rsid w:val="101C784D"/>
    <w:rsid w:val="10441496"/>
    <w:rsid w:val="10467596"/>
    <w:rsid w:val="10613E94"/>
    <w:rsid w:val="107E7F0D"/>
    <w:rsid w:val="109761DE"/>
    <w:rsid w:val="10A02A15"/>
    <w:rsid w:val="10BD35C7"/>
    <w:rsid w:val="10BF67B2"/>
    <w:rsid w:val="10C56B83"/>
    <w:rsid w:val="10EF3F50"/>
    <w:rsid w:val="1130085C"/>
    <w:rsid w:val="116A65CC"/>
    <w:rsid w:val="11936C66"/>
    <w:rsid w:val="11AC7B03"/>
    <w:rsid w:val="11B03029"/>
    <w:rsid w:val="11B304B9"/>
    <w:rsid w:val="122641A8"/>
    <w:rsid w:val="122D30E1"/>
    <w:rsid w:val="124D4697"/>
    <w:rsid w:val="12526513"/>
    <w:rsid w:val="125D0965"/>
    <w:rsid w:val="12C117E9"/>
    <w:rsid w:val="134F0723"/>
    <w:rsid w:val="139C79AE"/>
    <w:rsid w:val="146D463D"/>
    <w:rsid w:val="146E71FC"/>
    <w:rsid w:val="148461AA"/>
    <w:rsid w:val="149801AF"/>
    <w:rsid w:val="149A180A"/>
    <w:rsid w:val="14B10A5E"/>
    <w:rsid w:val="14E24B4B"/>
    <w:rsid w:val="150870B3"/>
    <w:rsid w:val="150A2B53"/>
    <w:rsid w:val="156C0552"/>
    <w:rsid w:val="15B66808"/>
    <w:rsid w:val="15B71501"/>
    <w:rsid w:val="164B3423"/>
    <w:rsid w:val="16685D83"/>
    <w:rsid w:val="16B20DAC"/>
    <w:rsid w:val="16C82592"/>
    <w:rsid w:val="16F77F74"/>
    <w:rsid w:val="17017F86"/>
    <w:rsid w:val="17527586"/>
    <w:rsid w:val="175B7696"/>
    <w:rsid w:val="176A42E8"/>
    <w:rsid w:val="176A5B87"/>
    <w:rsid w:val="17BE77E0"/>
    <w:rsid w:val="17DC0605"/>
    <w:rsid w:val="17E05DED"/>
    <w:rsid w:val="185C4025"/>
    <w:rsid w:val="187379FD"/>
    <w:rsid w:val="18DB1435"/>
    <w:rsid w:val="18F717C2"/>
    <w:rsid w:val="191E4E1F"/>
    <w:rsid w:val="192F4D74"/>
    <w:rsid w:val="194B45AF"/>
    <w:rsid w:val="195B1BCF"/>
    <w:rsid w:val="195D2B21"/>
    <w:rsid w:val="19896C9B"/>
    <w:rsid w:val="199E1ABC"/>
    <w:rsid w:val="19C21C4E"/>
    <w:rsid w:val="1A304E0A"/>
    <w:rsid w:val="1A41695D"/>
    <w:rsid w:val="1A4428B3"/>
    <w:rsid w:val="1A540C53"/>
    <w:rsid w:val="1A646862"/>
    <w:rsid w:val="1A700A12"/>
    <w:rsid w:val="1A7016AA"/>
    <w:rsid w:val="1A8F0467"/>
    <w:rsid w:val="1A98729A"/>
    <w:rsid w:val="1AA2738A"/>
    <w:rsid w:val="1AA81F13"/>
    <w:rsid w:val="1AD611BB"/>
    <w:rsid w:val="1AD759C8"/>
    <w:rsid w:val="1B3E0616"/>
    <w:rsid w:val="1B4C2CD0"/>
    <w:rsid w:val="1B920528"/>
    <w:rsid w:val="1B9A7131"/>
    <w:rsid w:val="1BA3160C"/>
    <w:rsid w:val="1BF620E3"/>
    <w:rsid w:val="1C473594"/>
    <w:rsid w:val="1C6C3581"/>
    <w:rsid w:val="1C6C5EA1"/>
    <w:rsid w:val="1C961170"/>
    <w:rsid w:val="1C9A0C60"/>
    <w:rsid w:val="1CDD46A5"/>
    <w:rsid w:val="1CE4012E"/>
    <w:rsid w:val="1D440BCC"/>
    <w:rsid w:val="1D5E1EF5"/>
    <w:rsid w:val="1D6E6DA7"/>
    <w:rsid w:val="1D7E30FD"/>
    <w:rsid w:val="1DA221E2"/>
    <w:rsid w:val="1DAF6046"/>
    <w:rsid w:val="1E333C8C"/>
    <w:rsid w:val="1E345B9A"/>
    <w:rsid w:val="1E5A29B0"/>
    <w:rsid w:val="1E8E0A96"/>
    <w:rsid w:val="1F240CB5"/>
    <w:rsid w:val="1F354FC8"/>
    <w:rsid w:val="1F4375EF"/>
    <w:rsid w:val="1FAE71D1"/>
    <w:rsid w:val="1FDA78A2"/>
    <w:rsid w:val="200F7270"/>
    <w:rsid w:val="20360CA0"/>
    <w:rsid w:val="20673947"/>
    <w:rsid w:val="209D487B"/>
    <w:rsid w:val="20D75446"/>
    <w:rsid w:val="20E474B6"/>
    <w:rsid w:val="20F94EA8"/>
    <w:rsid w:val="20FB7D4E"/>
    <w:rsid w:val="210D1D7A"/>
    <w:rsid w:val="21195CBB"/>
    <w:rsid w:val="217501A4"/>
    <w:rsid w:val="21BE2CFB"/>
    <w:rsid w:val="21EE1985"/>
    <w:rsid w:val="2221772E"/>
    <w:rsid w:val="22900FCC"/>
    <w:rsid w:val="22970932"/>
    <w:rsid w:val="229F2EDC"/>
    <w:rsid w:val="23013D4C"/>
    <w:rsid w:val="231D6147"/>
    <w:rsid w:val="2322329B"/>
    <w:rsid w:val="232F41CB"/>
    <w:rsid w:val="23A1549F"/>
    <w:rsid w:val="2432398D"/>
    <w:rsid w:val="246E2D16"/>
    <w:rsid w:val="24AF7273"/>
    <w:rsid w:val="24D215AA"/>
    <w:rsid w:val="24E60238"/>
    <w:rsid w:val="24FB7DC2"/>
    <w:rsid w:val="25317C88"/>
    <w:rsid w:val="25D6438C"/>
    <w:rsid w:val="25D87C2F"/>
    <w:rsid w:val="2604634A"/>
    <w:rsid w:val="266C303E"/>
    <w:rsid w:val="266F5156"/>
    <w:rsid w:val="26CA5413"/>
    <w:rsid w:val="27930786"/>
    <w:rsid w:val="279B627E"/>
    <w:rsid w:val="279E0B42"/>
    <w:rsid w:val="27E90FA6"/>
    <w:rsid w:val="27E965F8"/>
    <w:rsid w:val="284B369B"/>
    <w:rsid w:val="28694D40"/>
    <w:rsid w:val="28E07281"/>
    <w:rsid w:val="28E654FA"/>
    <w:rsid w:val="28F60FCD"/>
    <w:rsid w:val="2988264C"/>
    <w:rsid w:val="299A60D1"/>
    <w:rsid w:val="299B1B74"/>
    <w:rsid w:val="29A812EF"/>
    <w:rsid w:val="29B8189D"/>
    <w:rsid w:val="2A6B376F"/>
    <w:rsid w:val="2A7C3754"/>
    <w:rsid w:val="2A8D68CD"/>
    <w:rsid w:val="2A8E16D9"/>
    <w:rsid w:val="2A9A3510"/>
    <w:rsid w:val="2AA607D0"/>
    <w:rsid w:val="2AC00511"/>
    <w:rsid w:val="2B285689"/>
    <w:rsid w:val="2B406EDA"/>
    <w:rsid w:val="2B5C7036"/>
    <w:rsid w:val="2B6C7799"/>
    <w:rsid w:val="2B7E174D"/>
    <w:rsid w:val="2BB71FB5"/>
    <w:rsid w:val="2BF11E95"/>
    <w:rsid w:val="2BF13D01"/>
    <w:rsid w:val="2C465E5D"/>
    <w:rsid w:val="2C54021F"/>
    <w:rsid w:val="2C721C1E"/>
    <w:rsid w:val="2C96444C"/>
    <w:rsid w:val="2CAF0201"/>
    <w:rsid w:val="2D1C652E"/>
    <w:rsid w:val="2D546C0A"/>
    <w:rsid w:val="2D87548F"/>
    <w:rsid w:val="2D8E1F75"/>
    <w:rsid w:val="2DC53269"/>
    <w:rsid w:val="2DF47950"/>
    <w:rsid w:val="2E271C28"/>
    <w:rsid w:val="2E34533E"/>
    <w:rsid w:val="2E3E2DF3"/>
    <w:rsid w:val="2E516CA5"/>
    <w:rsid w:val="2E6E1726"/>
    <w:rsid w:val="2E8224A6"/>
    <w:rsid w:val="2EB5368F"/>
    <w:rsid w:val="2F0B31BD"/>
    <w:rsid w:val="2F20249B"/>
    <w:rsid w:val="2F735B4E"/>
    <w:rsid w:val="2FA430DC"/>
    <w:rsid w:val="2FCE2B17"/>
    <w:rsid w:val="30206575"/>
    <w:rsid w:val="304B42F4"/>
    <w:rsid w:val="30544CD5"/>
    <w:rsid w:val="306642D0"/>
    <w:rsid w:val="309A0DD7"/>
    <w:rsid w:val="30D44173"/>
    <w:rsid w:val="310444A3"/>
    <w:rsid w:val="310F1A81"/>
    <w:rsid w:val="31212557"/>
    <w:rsid w:val="312217FB"/>
    <w:rsid w:val="314C10B5"/>
    <w:rsid w:val="31D2228D"/>
    <w:rsid w:val="31DE2F46"/>
    <w:rsid w:val="320203CC"/>
    <w:rsid w:val="32142DC6"/>
    <w:rsid w:val="322B6660"/>
    <w:rsid w:val="32354288"/>
    <w:rsid w:val="32577FC7"/>
    <w:rsid w:val="328A09D8"/>
    <w:rsid w:val="3293788C"/>
    <w:rsid w:val="32AE7E18"/>
    <w:rsid w:val="32AF4230"/>
    <w:rsid w:val="32B2096E"/>
    <w:rsid w:val="32D0562E"/>
    <w:rsid w:val="331F7372"/>
    <w:rsid w:val="3376367E"/>
    <w:rsid w:val="33A07DA9"/>
    <w:rsid w:val="33AE3B69"/>
    <w:rsid w:val="341B0710"/>
    <w:rsid w:val="343D21A6"/>
    <w:rsid w:val="3443550B"/>
    <w:rsid w:val="346516FC"/>
    <w:rsid w:val="34934894"/>
    <w:rsid w:val="34E757BD"/>
    <w:rsid w:val="34E83FCE"/>
    <w:rsid w:val="351D3D85"/>
    <w:rsid w:val="35236B45"/>
    <w:rsid w:val="352B4490"/>
    <w:rsid w:val="35C54A33"/>
    <w:rsid w:val="35C67F79"/>
    <w:rsid w:val="35D0755D"/>
    <w:rsid w:val="35E46651"/>
    <w:rsid w:val="3651018A"/>
    <w:rsid w:val="369D2D57"/>
    <w:rsid w:val="36C56777"/>
    <w:rsid w:val="36C81818"/>
    <w:rsid w:val="36C8316B"/>
    <w:rsid w:val="36D72EDD"/>
    <w:rsid w:val="36F41EFD"/>
    <w:rsid w:val="37407CC4"/>
    <w:rsid w:val="37625508"/>
    <w:rsid w:val="378202B6"/>
    <w:rsid w:val="3796153A"/>
    <w:rsid w:val="37B54749"/>
    <w:rsid w:val="37F30DCD"/>
    <w:rsid w:val="383218F5"/>
    <w:rsid w:val="386F3993"/>
    <w:rsid w:val="38B85CD9"/>
    <w:rsid w:val="38B901A2"/>
    <w:rsid w:val="39241B86"/>
    <w:rsid w:val="392E59B4"/>
    <w:rsid w:val="39387BD3"/>
    <w:rsid w:val="3956055A"/>
    <w:rsid w:val="399D1DD6"/>
    <w:rsid w:val="39D966E3"/>
    <w:rsid w:val="39EC6B45"/>
    <w:rsid w:val="3A0D38CD"/>
    <w:rsid w:val="3A0F7A3E"/>
    <w:rsid w:val="3A231125"/>
    <w:rsid w:val="3A43603C"/>
    <w:rsid w:val="3A684368"/>
    <w:rsid w:val="3A7B5C66"/>
    <w:rsid w:val="3AB56C4D"/>
    <w:rsid w:val="3AE65ADF"/>
    <w:rsid w:val="3B2220F5"/>
    <w:rsid w:val="3B272355"/>
    <w:rsid w:val="3B385475"/>
    <w:rsid w:val="3B3D6F2F"/>
    <w:rsid w:val="3B8B1A48"/>
    <w:rsid w:val="3BB164CD"/>
    <w:rsid w:val="3BEE3669"/>
    <w:rsid w:val="3C0A2369"/>
    <w:rsid w:val="3C0F161C"/>
    <w:rsid w:val="3CA27F74"/>
    <w:rsid w:val="3CBF50E4"/>
    <w:rsid w:val="3D2219E0"/>
    <w:rsid w:val="3D4A3152"/>
    <w:rsid w:val="3D77609F"/>
    <w:rsid w:val="3DCF4405"/>
    <w:rsid w:val="3DE90CA8"/>
    <w:rsid w:val="3DFA2EB5"/>
    <w:rsid w:val="3E077380"/>
    <w:rsid w:val="3E135D25"/>
    <w:rsid w:val="3E1A5306"/>
    <w:rsid w:val="3E6D3687"/>
    <w:rsid w:val="3EF90993"/>
    <w:rsid w:val="3F0236F9"/>
    <w:rsid w:val="3F261AB4"/>
    <w:rsid w:val="3F392EA7"/>
    <w:rsid w:val="3FA376F7"/>
    <w:rsid w:val="3FA80CCA"/>
    <w:rsid w:val="400A4444"/>
    <w:rsid w:val="40153FD6"/>
    <w:rsid w:val="40196395"/>
    <w:rsid w:val="402E5098"/>
    <w:rsid w:val="403B1146"/>
    <w:rsid w:val="404C3770"/>
    <w:rsid w:val="40800431"/>
    <w:rsid w:val="40A97460"/>
    <w:rsid w:val="40AA12E3"/>
    <w:rsid w:val="414B74FB"/>
    <w:rsid w:val="414F3518"/>
    <w:rsid w:val="4155485E"/>
    <w:rsid w:val="41837126"/>
    <w:rsid w:val="418D7341"/>
    <w:rsid w:val="41A4267C"/>
    <w:rsid w:val="41C84536"/>
    <w:rsid w:val="41CA0AC0"/>
    <w:rsid w:val="41DA218D"/>
    <w:rsid w:val="4208360A"/>
    <w:rsid w:val="420B38E3"/>
    <w:rsid w:val="42250AE8"/>
    <w:rsid w:val="423F533B"/>
    <w:rsid w:val="427A5211"/>
    <w:rsid w:val="42A814E6"/>
    <w:rsid w:val="42D067E2"/>
    <w:rsid w:val="42DF6B1E"/>
    <w:rsid w:val="434C4C2C"/>
    <w:rsid w:val="4352109E"/>
    <w:rsid w:val="43BD1E14"/>
    <w:rsid w:val="43FD1244"/>
    <w:rsid w:val="441F3562"/>
    <w:rsid w:val="447A4D50"/>
    <w:rsid w:val="44BA6EFA"/>
    <w:rsid w:val="4508410A"/>
    <w:rsid w:val="45202DCD"/>
    <w:rsid w:val="453C2005"/>
    <w:rsid w:val="45793E0E"/>
    <w:rsid w:val="45AB166D"/>
    <w:rsid w:val="45D77981"/>
    <w:rsid w:val="45FB1B73"/>
    <w:rsid w:val="46084BE6"/>
    <w:rsid w:val="46141CE4"/>
    <w:rsid w:val="465122AF"/>
    <w:rsid w:val="46603B64"/>
    <w:rsid w:val="467F7574"/>
    <w:rsid w:val="46DA36FE"/>
    <w:rsid w:val="46DD26B1"/>
    <w:rsid w:val="471D19C3"/>
    <w:rsid w:val="47507FEA"/>
    <w:rsid w:val="47713F24"/>
    <w:rsid w:val="47A3011A"/>
    <w:rsid w:val="47D535CE"/>
    <w:rsid w:val="47E726FC"/>
    <w:rsid w:val="481F6B7A"/>
    <w:rsid w:val="482A2334"/>
    <w:rsid w:val="485F505C"/>
    <w:rsid w:val="49034A69"/>
    <w:rsid w:val="494D1370"/>
    <w:rsid w:val="494D658F"/>
    <w:rsid w:val="49963205"/>
    <w:rsid w:val="49C65664"/>
    <w:rsid w:val="49F033BE"/>
    <w:rsid w:val="4A187215"/>
    <w:rsid w:val="4A403EE4"/>
    <w:rsid w:val="4A470C98"/>
    <w:rsid w:val="4AC34E87"/>
    <w:rsid w:val="4AD131F0"/>
    <w:rsid w:val="4AFB5044"/>
    <w:rsid w:val="4B18356D"/>
    <w:rsid w:val="4B2139AA"/>
    <w:rsid w:val="4B72052F"/>
    <w:rsid w:val="4BBC2510"/>
    <w:rsid w:val="4C2C4B82"/>
    <w:rsid w:val="4C40062D"/>
    <w:rsid w:val="4C4A5008"/>
    <w:rsid w:val="4C5D114F"/>
    <w:rsid w:val="4CA95F3B"/>
    <w:rsid w:val="4CB47D7A"/>
    <w:rsid w:val="4CC200DE"/>
    <w:rsid w:val="4D183358"/>
    <w:rsid w:val="4D2B6A0F"/>
    <w:rsid w:val="4D3010B2"/>
    <w:rsid w:val="4D9A42AE"/>
    <w:rsid w:val="4D9A783A"/>
    <w:rsid w:val="4DBA2892"/>
    <w:rsid w:val="4DF27344"/>
    <w:rsid w:val="4DF53699"/>
    <w:rsid w:val="4DF94F37"/>
    <w:rsid w:val="4E031912"/>
    <w:rsid w:val="4E15789C"/>
    <w:rsid w:val="4E23222F"/>
    <w:rsid w:val="4EAB2818"/>
    <w:rsid w:val="4ED73AC5"/>
    <w:rsid w:val="4EE90E79"/>
    <w:rsid w:val="4EED3959"/>
    <w:rsid w:val="4F0A4F22"/>
    <w:rsid w:val="4F4C553B"/>
    <w:rsid w:val="4F9C0232"/>
    <w:rsid w:val="4FE43BD6"/>
    <w:rsid w:val="502B5EB1"/>
    <w:rsid w:val="504E3ECD"/>
    <w:rsid w:val="507C41E4"/>
    <w:rsid w:val="50946380"/>
    <w:rsid w:val="509E0058"/>
    <w:rsid w:val="511E4CB5"/>
    <w:rsid w:val="5146092A"/>
    <w:rsid w:val="514F4E6E"/>
    <w:rsid w:val="51502B40"/>
    <w:rsid w:val="51765148"/>
    <w:rsid w:val="51AB353A"/>
    <w:rsid w:val="51D0515E"/>
    <w:rsid w:val="51F43D2F"/>
    <w:rsid w:val="52E57838"/>
    <w:rsid w:val="52E87329"/>
    <w:rsid w:val="52E91542"/>
    <w:rsid w:val="533B1B4E"/>
    <w:rsid w:val="534417D8"/>
    <w:rsid w:val="5353316C"/>
    <w:rsid w:val="53B27FC3"/>
    <w:rsid w:val="53B34F90"/>
    <w:rsid w:val="53B70295"/>
    <w:rsid w:val="53CB2EA2"/>
    <w:rsid w:val="53E522DF"/>
    <w:rsid w:val="53EE716F"/>
    <w:rsid w:val="54120B01"/>
    <w:rsid w:val="546A3F98"/>
    <w:rsid w:val="547F78DD"/>
    <w:rsid w:val="54A56347"/>
    <w:rsid w:val="54BE6593"/>
    <w:rsid w:val="54C14C92"/>
    <w:rsid w:val="554B7A82"/>
    <w:rsid w:val="5575017C"/>
    <w:rsid w:val="55786F42"/>
    <w:rsid w:val="557B0928"/>
    <w:rsid w:val="55AA1D13"/>
    <w:rsid w:val="55F32835"/>
    <w:rsid w:val="560C0DCD"/>
    <w:rsid w:val="56161E80"/>
    <w:rsid w:val="567C021C"/>
    <w:rsid w:val="5686118A"/>
    <w:rsid w:val="56B62190"/>
    <w:rsid w:val="56D45B12"/>
    <w:rsid w:val="570439D5"/>
    <w:rsid w:val="570F5142"/>
    <w:rsid w:val="572D23CB"/>
    <w:rsid w:val="572D33B5"/>
    <w:rsid w:val="57553BBA"/>
    <w:rsid w:val="576572F4"/>
    <w:rsid w:val="577712BA"/>
    <w:rsid w:val="582B48B1"/>
    <w:rsid w:val="58312988"/>
    <w:rsid w:val="58382B00"/>
    <w:rsid w:val="587A1DB0"/>
    <w:rsid w:val="59760959"/>
    <w:rsid w:val="598926F1"/>
    <w:rsid w:val="59A85A64"/>
    <w:rsid w:val="5A221372"/>
    <w:rsid w:val="5A344DEF"/>
    <w:rsid w:val="5A64019D"/>
    <w:rsid w:val="5ABA10F3"/>
    <w:rsid w:val="5AE71AB7"/>
    <w:rsid w:val="5AF8590C"/>
    <w:rsid w:val="5B072A13"/>
    <w:rsid w:val="5B1C3C0F"/>
    <w:rsid w:val="5B231846"/>
    <w:rsid w:val="5B7B7514"/>
    <w:rsid w:val="5C0D1BAE"/>
    <w:rsid w:val="5C1B305D"/>
    <w:rsid w:val="5C4F17B9"/>
    <w:rsid w:val="5C9018ED"/>
    <w:rsid w:val="5CC74976"/>
    <w:rsid w:val="5CEF077E"/>
    <w:rsid w:val="5CF05758"/>
    <w:rsid w:val="5D120C2C"/>
    <w:rsid w:val="5D336A2D"/>
    <w:rsid w:val="5D880229"/>
    <w:rsid w:val="5DAF5613"/>
    <w:rsid w:val="5DE7161C"/>
    <w:rsid w:val="5DEC1E56"/>
    <w:rsid w:val="5E8D25B4"/>
    <w:rsid w:val="5ECE3876"/>
    <w:rsid w:val="5F15222D"/>
    <w:rsid w:val="5F764577"/>
    <w:rsid w:val="5F802EF2"/>
    <w:rsid w:val="5FCC7E6F"/>
    <w:rsid w:val="5FD56C7D"/>
    <w:rsid w:val="5FE46899"/>
    <w:rsid w:val="5FFD09FB"/>
    <w:rsid w:val="600339F4"/>
    <w:rsid w:val="60161739"/>
    <w:rsid w:val="602435F1"/>
    <w:rsid w:val="60304923"/>
    <w:rsid w:val="606E22E4"/>
    <w:rsid w:val="607C7302"/>
    <w:rsid w:val="60C43D77"/>
    <w:rsid w:val="60D12A29"/>
    <w:rsid w:val="60FF0E9C"/>
    <w:rsid w:val="615817C8"/>
    <w:rsid w:val="61807D68"/>
    <w:rsid w:val="61AC33DA"/>
    <w:rsid w:val="61BF1B9C"/>
    <w:rsid w:val="622A5268"/>
    <w:rsid w:val="62353C0D"/>
    <w:rsid w:val="62443A9D"/>
    <w:rsid w:val="62451FE3"/>
    <w:rsid w:val="62980E91"/>
    <w:rsid w:val="629B42D9"/>
    <w:rsid w:val="62FB0709"/>
    <w:rsid w:val="63716EC6"/>
    <w:rsid w:val="639B14F1"/>
    <w:rsid w:val="63AB062A"/>
    <w:rsid w:val="63CE6779"/>
    <w:rsid w:val="63E14F2C"/>
    <w:rsid w:val="63FC28A0"/>
    <w:rsid w:val="64264155"/>
    <w:rsid w:val="643B3538"/>
    <w:rsid w:val="64DB4055"/>
    <w:rsid w:val="651652C4"/>
    <w:rsid w:val="6567474E"/>
    <w:rsid w:val="65FF1660"/>
    <w:rsid w:val="663D13C8"/>
    <w:rsid w:val="66B1722C"/>
    <w:rsid w:val="673A5207"/>
    <w:rsid w:val="674C1365"/>
    <w:rsid w:val="67564129"/>
    <w:rsid w:val="675A37D7"/>
    <w:rsid w:val="67B755E8"/>
    <w:rsid w:val="67BA61E8"/>
    <w:rsid w:val="67CE2B39"/>
    <w:rsid w:val="67CE48E7"/>
    <w:rsid w:val="67F5160A"/>
    <w:rsid w:val="67F73E3E"/>
    <w:rsid w:val="67F85457"/>
    <w:rsid w:val="68070B84"/>
    <w:rsid w:val="682D3D04"/>
    <w:rsid w:val="683546B7"/>
    <w:rsid w:val="68417C26"/>
    <w:rsid w:val="686F60CA"/>
    <w:rsid w:val="68CA1553"/>
    <w:rsid w:val="69031F8D"/>
    <w:rsid w:val="691C1977"/>
    <w:rsid w:val="695B31AD"/>
    <w:rsid w:val="696B6C9C"/>
    <w:rsid w:val="69A747E6"/>
    <w:rsid w:val="69B61AD7"/>
    <w:rsid w:val="69C209C0"/>
    <w:rsid w:val="69E228CC"/>
    <w:rsid w:val="69E66561"/>
    <w:rsid w:val="6A7554EE"/>
    <w:rsid w:val="6A7C5F6F"/>
    <w:rsid w:val="6A8D2838"/>
    <w:rsid w:val="6A97049C"/>
    <w:rsid w:val="6AA239A4"/>
    <w:rsid w:val="6AA9720A"/>
    <w:rsid w:val="6AB46016"/>
    <w:rsid w:val="6AE32D62"/>
    <w:rsid w:val="6B301415"/>
    <w:rsid w:val="6B657311"/>
    <w:rsid w:val="6B737347"/>
    <w:rsid w:val="6B7B688F"/>
    <w:rsid w:val="6B864181"/>
    <w:rsid w:val="6B9D6278"/>
    <w:rsid w:val="6BC02799"/>
    <w:rsid w:val="6BC90267"/>
    <w:rsid w:val="6BCA1360"/>
    <w:rsid w:val="6BF57693"/>
    <w:rsid w:val="6C1061E0"/>
    <w:rsid w:val="6C547262"/>
    <w:rsid w:val="6C692BA0"/>
    <w:rsid w:val="6C6A16B7"/>
    <w:rsid w:val="6C803C72"/>
    <w:rsid w:val="6CDE381E"/>
    <w:rsid w:val="6D282CEC"/>
    <w:rsid w:val="6D636950"/>
    <w:rsid w:val="6D6B5C62"/>
    <w:rsid w:val="6E103B09"/>
    <w:rsid w:val="6E144235"/>
    <w:rsid w:val="6E930520"/>
    <w:rsid w:val="6EAD0EF4"/>
    <w:rsid w:val="6EC67C3A"/>
    <w:rsid w:val="6EE60768"/>
    <w:rsid w:val="6F021218"/>
    <w:rsid w:val="6F09059F"/>
    <w:rsid w:val="6F5C6481"/>
    <w:rsid w:val="6F80296B"/>
    <w:rsid w:val="6F8243D6"/>
    <w:rsid w:val="6F8306AD"/>
    <w:rsid w:val="6FA4645F"/>
    <w:rsid w:val="6FA60543"/>
    <w:rsid w:val="6FE07E43"/>
    <w:rsid w:val="70673B2B"/>
    <w:rsid w:val="70694488"/>
    <w:rsid w:val="70A04FBC"/>
    <w:rsid w:val="70B054D2"/>
    <w:rsid w:val="70C53B3E"/>
    <w:rsid w:val="70DD7539"/>
    <w:rsid w:val="70E02A33"/>
    <w:rsid w:val="7136126A"/>
    <w:rsid w:val="716A7860"/>
    <w:rsid w:val="71DB46F1"/>
    <w:rsid w:val="71F150D6"/>
    <w:rsid w:val="72356078"/>
    <w:rsid w:val="728A7A46"/>
    <w:rsid w:val="72B53C3D"/>
    <w:rsid w:val="72F773E8"/>
    <w:rsid w:val="732E5337"/>
    <w:rsid w:val="73321870"/>
    <w:rsid w:val="73684767"/>
    <w:rsid w:val="74286545"/>
    <w:rsid w:val="743E4BA3"/>
    <w:rsid w:val="747F58E7"/>
    <w:rsid w:val="74893BF9"/>
    <w:rsid w:val="749A44CF"/>
    <w:rsid w:val="74C50E20"/>
    <w:rsid w:val="74DB0367"/>
    <w:rsid w:val="74E67714"/>
    <w:rsid w:val="74FC0CE6"/>
    <w:rsid w:val="75032EA2"/>
    <w:rsid w:val="752E554A"/>
    <w:rsid w:val="754B7177"/>
    <w:rsid w:val="756905F6"/>
    <w:rsid w:val="757B7F0B"/>
    <w:rsid w:val="75F109F7"/>
    <w:rsid w:val="75FB308A"/>
    <w:rsid w:val="763A7EA2"/>
    <w:rsid w:val="764015B2"/>
    <w:rsid w:val="76A4279D"/>
    <w:rsid w:val="76B24759"/>
    <w:rsid w:val="77194CE2"/>
    <w:rsid w:val="77425E1D"/>
    <w:rsid w:val="777F175A"/>
    <w:rsid w:val="779A38C8"/>
    <w:rsid w:val="77A318EC"/>
    <w:rsid w:val="77DC2A98"/>
    <w:rsid w:val="77E11701"/>
    <w:rsid w:val="77E553A8"/>
    <w:rsid w:val="77ED0A5E"/>
    <w:rsid w:val="784371D7"/>
    <w:rsid w:val="78762B5D"/>
    <w:rsid w:val="78C64E50"/>
    <w:rsid w:val="78F6565F"/>
    <w:rsid w:val="790A4C0F"/>
    <w:rsid w:val="79204546"/>
    <w:rsid w:val="79915775"/>
    <w:rsid w:val="79C640A6"/>
    <w:rsid w:val="79EF7960"/>
    <w:rsid w:val="79FC2AC7"/>
    <w:rsid w:val="79FD77E2"/>
    <w:rsid w:val="7A2237E9"/>
    <w:rsid w:val="7A256189"/>
    <w:rsid w:val="7AA02113"/>
    <w:rsid w:val="7AB23BF5"/>
    <w:rsid w:val="7AC37D43"/>
    <w:rsid w:val="7AC53CA1"/>
    <w:rsid w:val="7AF54AD4"/>
    <w:rsid w:val="7B893F18"/>
    <w:rsid w:val="7B9647DB"/>
    <w:rsid w:val="7BDA1655"/>
    <w:rsid w:val="7C203139"/>
    <w:rsid w:val="7C347CA5"/>
    <w:rsid w:val="7C745605"/>
    <w:rsid w:val="7CC846E8"/>
    <w:rsid w:val="7D0D453A"/>
    <w:rsid w:val="7D166040"/>
    <w:rsid w:val="7D513B99"/>
    <w:rsid w:val="7D790DF2"/>
    <w:rsid w:val="7D9E45FE"/>
    <w:rsid w:val="7E2E6078"/>
    <w:rsid w:val="7E3075F0"/>
    <w:rsid w:val="7E4D5102"/>
    <w:rsid w:val="7E881B2A"/>
    <w:rsid w:val="7E9E26A0"/>
    <w:rsid w:val="7ED21563"/>
    <w:rsid w:val="7ED40090"/>
    <w:rsid w:val="7FC93F01"/>
    <w:rsid w:val="7FCD1E46"/>
    <w:rsid w:val="7FD0319D"/>
    <w:rsid w:val="7FE519A7"/>
    <w:rsid w:val="7FEE56CF"/>
    <w:rsid w:val="7FFC4BFD"/>
    <w:rsid w:val="CD7F8CB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semiHidden="0" w:name="heading 2" w:locked="1"/>
    <w:lsdException w:qFormat="1" w:uiPriority="99"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ocked="1"/>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ocked="1"/>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locked/>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2">
    <w:name w:val="heading 2"/>
    <w:basedOn w:val="1"/>
    <w:next w:val="1"/>
    <w:unhideWhenUsed/>
    <w:qFormat/>
    <w:locked/>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semiHidden/>
    <w:unhideWhenUsed/>
    <w:qFormat/>
    <w:locked/>
    <w:uiPriority w:val="99"/>
    <w:pPr>
      <w:keepNext/>
      <w:keepLines/>
      <w:spacing w:line="413" w:lineRule="auto"/>
      <w:outlineLvl w:val="2"/>
    </w:pPr>
    <w:rPr>
      <w:b/>
      <w:sz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Body Text"/>
    <w:basedOn w:val="1"/>
    <w:qFormat/>
    <w:uiPriority w:val="0"/>
    <w:pPr>
      <w:spacing w:after="120" w:afterLines="0" w:afterAutospacing="0"/>
    </w:pPr>
  </w:style>
  <w:style w:type="paragraph" w:styleId="6">
    <w:name w:val="Date"/>
    <w:basedOn w:val="1"/>
    <w:next w:val="1"/>
    <w:link w:val="30"/>
    <w:qFormat/>
    <w:uiPriority w:val="0"/>
    <w:pPr>
      <w:ind w:left="100" w:leftChars="2500"/>
    </w:pPr>
  </w:style>
  <w:style w:type="paragraph" w:styleId="7">
    <w:name w:val="Balloon Text"/>
    <w:basedOn w:val="1"/>
    <w:link w:val="25"/>
    <w:qFormat/>
    <w:uiPriority w:val="0"/>
    <w:rPr>
      <w:sz w:val="18"/>
      <w:szCs w:val="18"/>
    </w:rPr>
  </w:style>
  <w:style w:type="paragraph" w:styleId="8">
    <w:name w:val="footer"/>
    <w:basedOn w:val="1"/>
    <w:link w:val="24"/>
    <w:qFormat/>
    <w:uiPriority w:val="0"/>
    <w:pPr>
      <w:tabs>
        <w:tab w:val="center" w:pos="4153"/>
        <w:tab w:val="right" w:pos="8306"/>
      </w:tabs>
      <w:snapToGrid w:val="0"/>
      <w:jc w:val="left"/>
    </w:pPr>
    <w:rPr>
      <w:sz w:val="18"/>
      <w:szCs w:val="18"/>
    </w:rPr>
  </w:style>
  <w:style w:type="paragraph" w:styleId="9">
    <w:name w:val="header"/>
    <w:basedOn w:val="1"/>
    <w:link w:val="23"/>
    <w:qFormat/>
    <w:uiPriority w:val="0"/>
    <w:pPr>
      <w:pBdr>
        <w:bottom w:val="single" w:color="auto" w:sz="6" w:space="1"/>
      </w:pBdr>
      <w:tabs>
        <w:tab w:val="center" w:pos="4153"/>
        <w:tab w:val="right" w:pos="8306"/>
      </w:tabs>
      <w:snapToGrid w:val="0"/>
      <w:jc w:val="center"/>
    </w:pPr>
    <w:rPr>
      <w:sz w:val="18"/>
      <w:szCs w:val="18"/>
    </w:rPr>
  </w:style>
  <w:style w:type="paragraph" w:styleId="10">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paragraph" w:styleId="11">
    <w:name w:val="Normal (Web)"/>
    <w:basedOn w:val="1"/>
    <w:qFormat/>
    <w:uiPriority w:val="0"/>
    <w:pPr>
      <w:spacing w:beforeAutospacing="1" w:afterAutospacing="1"/>
      <w:jc w:val="left"/>
    </w:pPr>
    <w:rPr>
      <w:rFonts w:cs="Times New Roman"/>
      <w:kern w:val="0"/>
      <w:sz w:val="24"/>
    </w:rPr>
  </w:style>
  <w:style w:type="paragraph" w:styleId="12">
    <w:name w:val="Body Text First Indent"/>
    <w:basedOn w:val="5"/>
    <w:qFormat/>
    <w:uiPriority w:val="0"/>
    <w:pPr>
      <w:ind w:firstLine="420" w:firstLineChars="100"/>
    </w:pPr>
  </w:style>
  <w:style w:type="table" w:styleId="14">
    <w:name w:val="Table Grid"/>
    <w:basedOn w:val="13"/>
    <w:qFormat/>
    <w:locked/>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character" w:styleId="17">
    <w:name w:val="page number"/>
    <w:basedOn w:val="15"/>
    <w:qFormat/>
    <w:uiPriority w:val="0"/>
    <w:rPr>
      <w:rFonts w:cs="Times New Roman"/>
    </w:rPr>
  </w:style>
  <w:style w:type="character" w:styleId="18">
    <w:name w:val="Emphasis"/>
    <w:basedOn w:val="15"/>
    <w:qFormat/>
    <w:uiPriority w:val="0"/>
    <w:rPr>
      <w:i/>
    </w:rPr>
  </w:style>
  <w:style w:type="character" w:styleId="19">
    <w:name w:val="Hyperlink"/>
    <w:basedOn w:val="15"/>
    <w:qFormat/>
    <w:uiPriority w:val="0"/>
    <w:rPr>
      <w:color w:val="0000FF"/>
      <w:u w:val="single"/>
    </w:rPr>
  </w:style>
  <w:style w:type="character" w:customStyle="1" w:styleId="20">
    <w:name w:val="页脚 Char"/>
    <w:link w:val="8"/>
    <w:qFormat/>
    <w:locked/>
    <w:uiPriority w:val="0"/>
    <w:rPr>
      <w:rFonts w:ascii="Times New Roman" w:hAnsi="Times New Roman" w:eastAsia="宋体" w:cs="Times New Roman"/>
      <w:sz w:val="18"/>
      <w:szCs w:val="18"/>
    </w:rPr>
  </w:style>
  <w:style w:type="character" w:customStyle="1" w:styleId="21">
    <w:name w:val="页眉 Char"/>
    <w:link w:val="9"/>
    <w:qFormat/>
    <w:uiPriority w:val="0"/>
    <w:rPr>
      <w:rFonts w:ascii="Times New Roman" w:hAnsi="Times New Roman"/>
      <w:kern w:val="2"/>
      <w:sz w:val="18"/>
      <w:szCs w:val="18"/>
    </w:rPr>
  </w:style>
  <w:style w:type="paragraph" w:customStyle="1" w:styleId="22">
    <w:name w:val="正文 New New New New New New New New New New New New New New New New New New New"/>
    <w:qFormat/>
    <w:uiPriority w:val="0"/>
    <w:pPr>
      <w:widowControl w:val="0"/>
      <w:spacing w:line="346" w:lineRule="auto"/>
      <w:ind w:left="1" w:firstLine="419"/>
      <w:jc w:val="both"/>
      <w:textAlignment w:val="bottom"/>
    </w:pPr>
    <w:rPr>
      <w:rFonts w:ascii="Times New Roman" w:hAnsi="Times New Roman" w:eastAsia="仿宋_GB2312" w:cs="Times New Roman"/>
      <w:sz w:val="32"/>
      <w:lang w:val="en-US" w:eastAsia="zh-CN" w:bidi="ar-SA"/>
    </w:rPr>
  </w:style>
  <w:style w:type="character" w:customStyle="1" w:styleId="23">
    <w:name w:val="页眉 Char1"/>
    <w:basedOn w:val="15"/>
    <w:link w:val="9"/>
    <w:qFormat/>
    <w:uiPriority w:val="0"/>
    <w:rPr>
      <w:rFonts w:asciiTheme="minorHAnsi" w:hAnsiTheme="minorHAnsi" w:eastAsiaTheme="minorEastAsia" w:cstheme="minorBidi"/>
      <w:kern w:val="2"/>
      <w:sz w:val="18"/>
      <w:szCs w:val="18"/>
    </w:rPr>
  </w:style>
  <w:style w:type="character" w:customStyle="1" w:styleId="24">
    <w:name w:val="页脚 Char1"/>
    <w:basedOn w:val="15"/>
    <w:link w:val="8"/>
    <w:qFormat/>
    <w:uiPriority w:val="0"/>
    <w:rPr>
      <w:rFonts w:asciiTheme="minorHAnsi" w:hAnsiTheme="minorHAnsi" w:eastAsiaTheme="minorEastAsia" w:cstheme="minorBidi"/>
      <w:kern w:val="2"/>
      <w:sz w:val="18"/>
      <w:szCs w:val="18"/>
    </w:rPr>
  </w:style>
  <w:style w:type="character" w:customStyle="1" w:styleId="25">
    <w:name w:val="批注框文本 Char"/>
    <w:basedOn w:val="15"/>
    <w:link w:val="7"/>
    <w:qFormat/>
    <w:uiPriority w:val="0"/>
    <w:rPr>
      <w:rFonts w:asciiTheme="minorHAnsi" w:hAnsiTheme="minorHAnsi" w:eastAsiaTheme="minorEastAsia" w:cstheme="minorBidi"/>
      <w:kern w:val="2"/>
      <w:sz w:val="18"/>
      <w:szCs w:val="18"/>
    </w:rPr>
  </w:style>
  <w:style w:type="character" w:customStyle="1" w:styleId="26">
    <w:name w:val="font51"/>
    <w:basedOn w:val="15"/>
    <w:qFormat/>
    <w:uiPriority w:val="0"/>
    <w:rPr>
      <w:rFonts w:hint="default" w:ascii="Times New Roman" w:hAnsi="Times New Roman" w:cs="Times New Roman"/>
      <w:color w:val="000000"/>
      <w:sz w:val="20"/>
      <w:szCs w:val="20"/>
      <w:u w:val="none"/>
    </w:rPr>
  </w:style>
  <w:style w:type="character" w:customStyle="1" w:styleId="27">
    <w:name w:val="font11"/>
    <w:basedOn w:val="15"/>
    <w:qFormat/>
    <w:uiPriority w:val="0"/>
    <w:rPr>
      <w:rFonts w:hint="eastAsia" w:ascii="仿宋_GB2312" w:eastAsia="仿宋_GB2312" w:cs="仿宋_GB2312"/>
      <w:color w:val="000000"/>
      <w:sz w:val="20"/>
      <w:szCs w:val="20"/>
      <w:u w:val="none"/>
    </w:rPr>
  </w:style>
  <w:style w:type="character" w:customStyle="1" w:styleId="28">
    <w:name w:val="font41"/>
    <w:basedOn w:val="15"/>
    <w:qFormat/>
    <w:uiPriority w:val="0"/>
    <w:rPr>
      <w:rFonts w:hint="eastAsia" w:ascii="仿宋_GB2312" w:eastAsia="仿宋_GB2312" w:cs="仿宋_GB2312"/>
      <w:color w:val="000000"/>
      <w:sz w:val="20"/>
      <w:szCs w:val="20"/>
      <w:u w:val="none"/>
    </w:rPr>
  </w:style>
  <w:style w:type="character" w:customStyle="1" w:styleId="29">
    <w:name w:val="font31"/>
    <w:basedOn w:val="15"/>
    <w:qFormat/>
    <w:uiPriority w:val="0"/>
    <w:rPr>
      <w:rFonts w:hint="eastAsia" w:ascii="仿宋_GB2312" w:eastAsia="仿宋_GB2312" w:cs="仿宋_GB2312"/>
      <w:color w:val="FF0000"/>
      <w:sz w:val="20"/>
      <w:szCs w:val="20"/>
      <w:u w:val="none"/>
    </w:rPr>
  </w:style>
  <w:style w:type="character" w:customStyle="1" w:styleId="30">
    <w:name w:val="日期 Char"/>
    <w:basedOn w:val="15"/>
    <w:link w:val="6"/>
    <w:qFormat/>
    <w:uiPriority w:val="0"/>
    <w:rPr>
      <w:rFonts w:asciiTheme="minorHAnsi" w:hAnsiTheme="minorHAnsi" w:eastAsiaTheme="minorEastAsia" w:cstheme="minorBidi"/>
      <w:kern w:val="2"/>
      <w:sz w:val="21"/>
      <w:szCs w:val="24"/>
    </w:rPr>
  </w:style>
  <w:style w:type="paragraph" w:customStyle="1" w:styleId="31">
    <w:name w:val="NormalIndent"/>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Microsoft</Company>
  <Pages>268</Pages>
  <Words>4243</Words>
  <Characters>4248</Characters>
  <Lines>1</Lines>
  <Paragraphs>1</Paragraphs>
  <TotalTime>18</TotalTime>
  <ScaleCrop>false</ScaleCrop>
  <LinksUpToDate>false</LinksUpToDate>
  <CharactersWithSpaces>4297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2022-03-28T09:34:00Z</dcterms:created>
  <dc:creator>系统维护</dc:creator>
  <cp:lastModifiedBy>LV</cp:lastModifiedBy>
  <cp:lastPrinted>2026-07-27T02:07:00Z</cp:lastPrinted>
  <dcterms:modified xsi:type="dcterms:W3CDTF">2026-07-27T08:03:26Z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eyJoZGlkIjoiY2E4YmJiYzMyMzMxMTg0ZGZhN2RkNzAwNGFmYWI0MWMiLCJ1c2VySWQiOiI1NTQ4OTcyMTAifQ==</vt:lpwstr>
  </property>
  <property fmtid="{D5CDD505-2E9C-101B-9397-08002B2CF9AE}" pid="4" name="ICV">
    <vt:lpwstr>BA47BC465C4D44F6A14AD69FFC4F1C1E_13</vt:lpwstr>
  </property>
</Properties>
</file>