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6CA1" w14:textId="77777777" w:rsidR="00E220E6" w:rsidRDefault="00000000">
      <w:pPr>
        <w:spacing w:line="560" w:lineRule="exact"/>
        <w:rPr>
          <w:rFonts w:ascii="黑体" w:eastAsia="黑体" w:hAnsi="黑体" w:cs="黑体" w:hint="eastAsia"/>
          <w:color w:val="000000" w:themeColor="text1"/>
          <w:szCs w:val="32"/>
        </w:rPr>
      </w:pPr>
      <w:r>
        <w:rPr>
          <w:rFonts w:ascii="黑体" w:eastAsia="黑体" w:hAnsi="黑体" w:cs="黑体" w:hint="eastAsia"/>
          <w:color w:val="000000" w:themeColor="text1"/>
          <w:szCs w:val="32"/>
        </w:rPr>
        <w:t>附件2</w:t>
      </w:r>
    </w:p>
    <w:p w14:paraId="72692611" w14:textId="77777777" w:rsidR="00E220E6" w:rsidRDefault="00E220E6">
      <w:pPr>
        <w:spacing w:line="560" w:lineRule="exact"/>
        <w:rPr>
          <w:rFonts w:ascii="仿宋_GB2312" w:eastAsia="仿宋_GB2312"/>
          <w:color w:val="000000" w:themeColor="text1"/>
          <w:szCs w:val="32"/>
        </w:rPr>
      </w:pPr>
    </w:p>
    <w:p w14:paraId="46E64240" w14:textId="77777777" w:rsidR="00E220E6" w:rsidRDefault="00000000">
      <w:pPr>
        <w:spacing w:line="560" w:lineRule="exact"/>
        <w:jc w:val="center"/>
        <w:rPr>
          <w:rFonts w:eastAsia="方正小标宋简体"/>
          <w:color w:val="000000" w:themeColor="text1"/>
          <w:sz w:val="44"/>
          <w:szCs w:val="44"/>
        </w:rPr>
      </w:pPr>
      <w:r>
        <w:rPr>
          <w:rFonts w:eastAsia="方正小标宋简体"/>
          <w:color w:val="000000" w:themeColor="text1"/>
          <w:sz w:val="44"/>
          <w:szCs w:val="44"/>
        </w:rPr>
        <w:t>关于</w:t>
      </w:r>
      <w:proofErr w:type="gramStart"/>
      <w:r>
        <w:rPr>
          <w:rFonts w:eastAsia="方正小标宋简体"/>
          <w:color w:val="000000" w:themeColor="text1"/>
          <w:sz w:val="44"/>
          <w:szCs w:val="44"/>
        </w:rPr>
        <w:t>《</w:t>
      </w:r>
      <w:proofErr w:type="gramEnd"/>
      <w:r>
        <w:rPr>
          <w:rFonts w:eastAsia="方正小标宋简体" w:hint="eastAsia"/>
          <w:color w:val="000000" w:themeColor="text1"/>
          <w:sz w:val="44"/>
          <w:szCs w:val="44"/>
        </w:rPr>
        <w:t>山东省石油天然气管道外部隐患</w:t>
      </w:r>
    </w:p>
    <w:p w14:paraId="0A8876A2" w14:textId="77777777" w:rsidR="00E220E6" w:rsidRDefault="00000000">
      <w:pPr>
        <w:spacing w:line="560" w:lineRule="exact"/>
        <w:jc w:val="center"/>
        <w:rPr>
          <w:rFonts w:eastAsia="方正小标宋简体"/>
          <w:color w:val="000000" w:themeColor="text1"/>
          <w:sz w:val="44"/>
          <w:szCs w:val="44"/>
        </w:rPr>
      </w:pPr>
      <w:r>
        <w:rPr>
          <w:rFonts w:eastAsia="方正小标宋简体" w:hint="eastAsia"/>
          <w:color w:val="000000" w:themeColor="text1"/>
          <w:sz w:val="44"/>
          <w:szCs w:val="44"/>
        </w:rPr>
        <w:t>排查治理工作细则</w:t>
      </w:r>
      <w:proofErr w:type="gramStart"/>
      <w:r>
        <w:rPr>
          <w:rFonts w:eastAsia="方正小标宋简体"/>
          <w:color w:val="000000" w:themeColor="text1"/>
          <w:sz w:val="44"/>
          <w:szCs w:val="44"/>
        </w:rPr>
        <w:t>》</w:t>
      </w:r>
      <w:proofErr w:type="gramEnd"/>
      <w:r>
        <w:rPr>
          <w:rFonts w:eastAsia="方正小标宋简体"/>
          <w:color w:val="000000" w:themeColor="text1"/>
          <w:sz w:val="44"/>
          <w:szCs w:val="44"/>
        </w:rPr>
        <w:t>的起草说明</w:t>
      </w:r>
    </w:p>
    <w:p w14:paraId="303BCF1D" w14:textId="77777777" w:rsidR="00E220E6" w:rsidRDefault="00E220E6">
      <w:pPr>
        <w:spacing w:line="560" w:lineRule="exact"/>
        <w:rPr>
          <w:rFonts w:ascii="仿宋_GB2312" w:eastAsia="仿宋_GB2312"/>
          <w:color w:val="000000" w:themeColor="text1"/>
          <w:szCs w:val="32"/>
        </w:rPr>
      </w:pPr>
    </w:p>
    <w:p w14:paraId="01855019" w14:textId="77777777" w:rsidR="00E220E6" w:rsidRDefault="00000000">
      <w:pPr>
        <w:spacing w:line="560" w:lineRule="exact"/>
        <w:ind w:firstLineChars="200" w:firstLine="632"/>
        <w:rPr>
          <w:rFonts w:ascii="仿宋_GB2312" w:eastAsia="仿宋_GB2312"/>
          <w:color w:val="000000" w:themeColor="text1"/>
          <w:szCs w:val="32"/>
        </w:rPr>
      </w:pPr>
      <w:r>
        <w:rPr>
          <w:rFonts w:ascii="仿宋_GB2312" w:eastAsia="仿宋_GB2312" w:hint="eastAsia"/>
          <w:color w:val="000000" w:themeColor="text1"/>
          <w:szCs w:val="32"/>
        </w:rPr>
        <w:t>现将《山东省石油天然气管道外部隐患排查治理工作细则》起草有关情况说明如下：</w:t>
      </w:r>
    </w:p>
    <w:p w14:paraId="725E8A46" w14:textId="77777777" w:rsidR="00E220E6" w:rsidRDefault="00000000">
      <w:pPr>
        <w:spacing w:line="560" w:lineRule="exact"/>
        <w:ind w:firstLine="632"/>
        <w:rPr>
          <w:rFonts w:eastAsia="黑体"/>
          <w:color w:val="000000" w:themeColor="text1"/>
          <w:szCs w:val="32"/>
        </w:rPr>
      </w:pPr>
      <w:r>
        <w:rPr>
          <w:rFonts w:eastAsia="黑体" w:hint="eastAsia"/>
          <w:color w:val="000000" w:themeColor="text1"/>
          <w:szCs w:val="32"/>
        </w:rPr>
        <w:t>一、制定</w:t>
      </w:r>
      <w:r>
        <w:rPr>
          <w:rFonts w:eastAsia="黑体"/>
          <w:color w:val="000000" w:themeColor="text1"/>
          <w:szCs w:val="32"/>
        </w:rPr>
        <w:t>文件的必要性</w:t>
      </w:r>
    </w:p>
    <w:p w14:paraId="2FEB8C4E"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油气管道作为能源运输动脉，管道保护工作事关国家能源安全和社会稳定大局。占压等管道外部隐患严重威胁管道安全，极易引发油气泄漏爆炸事故，严重时造成群死群伤，必须及时予以排除。《中华人民共和国安全生产法》《中华人民共和国石油天然气管道保护法》均对隐患排查治理提出明确要求。我省也出台了《山东省生产安全事故隐患排查治理办法》（省政府令第347号）、《生产安全事故排查治理工作指南》《压力管道使用安全风险分级管控和事故隐患排查治理体系建设实施指南》等文件。</w:t>
      </w:r>
    </w:p>
    <w:p w14:paraId="7A724880"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通过前期开展的各项隐患排查整治行动，发现管道外部隐患排查整治还存在不规范、</w:t>
      </w:r>
      <w:proofErr w:type="gramStart"/>
      <w:r>
        <w:rPr>
          <w:rFonts w:ascii="仿宋_GB2312" w:eastAsia="仿宋_GB2312" w:hAnsi="仿宋_GB2312" w:cs="仿宋_GB2312" w:hint="eastAsia"/>
          <w:szCs w:val="32"/>
        </w:rPr>
        <w:t>不</w:t>
      </w:r>
      <w:proofErr w:type="gramEnd"/>
      <w:r>
        <w:rPr>
          <w:rFonts w:ascii="仿宋_GB2312" w:eastAsia="仿宋_GB2312" w:hAnsi="仿宋_GB2312" w:cs="仿宋_GB2312" w:hint="eastAsia"/>
          <w:szCs w:val="32"/>
        </w:rPr>
        <w:t>标准、质量不高、查不出隐患或者查出的隐患整改不及时不到位等问题。近年来，不管是国家层面，还是省级层面，都对强化“隐患就是事故”理念、进一步提升隐患排查整治质量提出明确要求。</w:t>
      </w:r>
    </w:p>
    <w:p w14:paraId="0D54513C" w14:textId="77777777" w:rsidR="00E220E6" w:rsidRDefault="00000000">
      <w:pPr>
        <w:pStyle w:val="a3"/>
        <w:widowControl/>
        <w:wordWrap w:val="0"/>
        <w:snapToGrid w:val="0"/>
        <w:spacing w:before="0" w:beforeAutospacing="0" w:after="0" w:afterAutospacing="0" w:line="560" w:lineRule="exact"/>
        <w:ind w:firstLineChars="200" w:firstLine="632"/>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起草制定《山东省石油天然气管道外部隐患排查治理工作细则》（以下简称《细则》），是贯彻落实管道保护法律法规的重要举措，对压实企业主体责任、提高隐患排查治理质量、有效防范管道事故发生具有重要意义。</w:t>
      </w:r>
    </w:p>
    <w:p w14:paraId="76BD32A6" w14:textId="77777777" w:rsidR="00E220E6" w:rsidRDefault="00000000">
      <w:pPr>
        <w:spacing w:line="560" w:lineRule="exact"/>
        <w:ind w:firstLine="632"/>
        <w:rPr>
          <w:rFonts w:eastAsia="黑体"/>
          <w:color w:val="000000" w:themeColor="text1"/>
          <w:szCs w:val="32"/>
        </w:rPr>
      </w:pPr>
      <w:r>
        <w:rPr>
          <w:rFonts w:eastAsia="黑体" w:hint="eastAsia"/>
          <w:color w:val="000000" w:themeColor="text1"/>
          <w:szCs w:val="32"/>
        </w:rPr>
        <w:t>二、起草依据</w:t>
      </w:r>
    </w:p>
    <w:p w14:paraId="534D11ED"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kern w:val="0"/>
          <w:szCs w:val="32"/>
        </w:rPr>
        <w:t>《细则》主要依据《中华人民共和国安全生产法》《中华人民共和国石油天然气管道保护法》《山东省石油天然气管道保护条例》等法律法规。</w:t>
      </w:r>
    </w:p>
    <w:p w14:paraId="4EB5823F" w14:textId="77777777" w:rsidR="00E220E6" w:rsidRDefault="00000000">
      <w:pPr>
        <w:spacing w:line="560" w:lineRule="exact"/>
        <w:ind w:firstLine="632"/>
        <w:rPr>
          <w:rFonts w:eastAsia="黑体"/>
          <w:color w:val="000000" w:themeColor="text1"/>
          <w:szCs w:val="32"/>
        </w:rPr>
      </w:pPr>
      <w:r>
        <w:rPr>
          <w:rFonts w:eastAsia="黑体" w:hint="eastAsia"/>
          <w:color w:val="000000" w:themeColor="text1"/>
          <w:szCs w:val="32"/>
        </w:rPr>
        <w:t>三、起草过程</w:t>
      </w:r>
    </w:p>
    <w:p w14:paraId="245279DD" w14:textId="77777777" w:rsidR="00E220E6" w:rsidRDefault="00000000">
      <w:pPr>
        <w:spacing w:line="560" w:lineRule="exact"/>
        <w:ind w:firstLineChars="200" w:firstLine="632"/>
        <w:rPr>
          <w:rFonts w:ascii="仿宋_GB2312" w:eastAsia="仿宋_GB2312" w:hAnsi="仿宋_GB2312" w:cs="仿宋_GB2312" w:hint="eastAsia"/>
          <w:szCs w:val="32"/>
          <w:shd w:val="clear" w:color="auto" w:fill="FFFFFF"/>
        </w:rPr>
      </w:pPr>
      <w:r>
        <w:rPr>
          <w:rFonts w:ascii="仿宋_GB2312" w:eastAsia="仿宋_GB2312" w:hAnsi="仿宋_GB2312" w:cs="仿宋_GB2312" w:hint="eastAsia"/>
          <w:szCs w:val="32"/>
          <w:shd w:val="clear" w:color="auto" w:fill="FFFFFF"/>
        </w:rPr>
        <w:t>省能源</w:t>
      </w:r>
      <w:proofErr w:type="gramStart"/>
      <w:r>
        <w:rPr>
          <w:rFonts w:ascii="仿宋_GB2312" w:eastAsia="仿宋_GB2312" w:hAnsi="仿宋_GB2312" w:cs="仿宋_GB2312" w:hint="eastAsia"/>
          <w:szCs w:val="32"/>
          <w:shd w:val="clear" w:color="auto" w:fill="FFFFFF"/>
        </w:rPr>
        <w:t>局石油</w:t>
      </w:r>
      <w:proofErr w:type="gramEnd"/>
      <w:r>
        <w:rPr>
          <w:rFonts w:ascii="仿宋_GB2312" w:eastAsia="仿宋_GB2312" w:hAnsi="仿宋_GB2312" w:cs="仿宋_GB2312" w:hint="eastAsia"/>
          <w:szCs w:val="32"/>
          <w:shd w:val="clear" w:color="auto" w:fill="FFFFFF"/>
        </w:rPr>
        <w:t>天然气处按照“部门规范性文件由制定部门负责评估”的原则，5月上旬成立制定前评估工作小组，拟定工作方案。5月中旬至6月上旬，深入各市和管道企业开展实地调研、座谈论证，2次非正式、1次正式征求各市管道保护主管部门和各管道企业意见建议。对征集到的意见建议进行梳理汇总，建立台账。集体讨论是否采纳，在此基础上进一步完善</w:t>
      </w:r>
      <w:r>
        <w:rPr>
          <w:rFonts w:ascii="仿宋_GB2312" w:eastAsia="仿宋_GB2312" w:hAnsi="仿宋_GB2312" w:cs="仿宋_GB2312" w:hint="eastAsia"/>
          <w:kern w:val="0"/>
          <w:szCs w:val="32"/>
        </w:rPr>
        <w:t>《细则》</w:t>
      </w:r>
      <w:r>
        <w:rPr>
          <w:rFonts w:ascii="仿宋_GB2312" w:eastAsia="仿宋_GB2312" w:hAnsi="仿宋_GB2312" w:cs="仿宋_GB2312" w:hint="eastAsia"/>
          <w:szCs w:val="32"/>
          <w:shd w:val="clear" w:color="auto" w:fill="FFFFFF"/>
        </w:rPr>
        <w:t>。</w:t>
      </w:r>
    </w:p>
    <w:p w14:paraId="0B19D7FF" w14:textId="77777777" w:rsidR="00E220E6" w:rsidRDefault="00000000">
      <w:pPr>
        <w:spacing w:line="560" w:lineRule="exact"/>
        <w:ind w:firstLine="632"/>
        <w:rPr>
          <w:rFonts w:eastAsia="黑体"/>
          <w:color w:val="000000" w:themeColor="text1"/>
          <w:szCs w:val="32"/>
        </w:rPr>
      </w:pPr>
      <w:r>
        <w:rPr>
          <w:rFonts w:eastAsia="黑体" w:hint="eastAsia"/>
          <w:color w:val="000000" w:themeColor="text1"/>
          <w:szCs w:val="32"/>
        </w:rPr>
        <w:t>四、</w:t>
      </w:r>
      <w:r>
        <w:rPr>
          <w:rFonts w:eastAsia="黑体"/>
          <w:color w:val="000000" w:themeColor="text1"/>
          <w:szCs w:val="32"/>
        </w:rPr>
        <w:t>主要内容</w:t>
      </w:r>
    </w:p>
    <w:p w14:paraId="79801AC3"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kern w:val="0"/>
          <w:szCs w:val="32"/>
        </w:rPr>
        <w:t>《细则》</w:t>
      </w:r>
      <w:r>
        <w:rPr>
          <w:rFonts w:ascii="仿宋_GB2312" w:eastAsia="仿宋_GB2312" w:hAnsi="仿宋_GB2312" w:cs="仿宋_GB2312" w:hint="eastAsia"/>
          <w:szCs w:val="32"/>
        </w:rPr>
        <w:t>共6章41条，3个附件。主要内容为：</w:t>
      </w:r>
    </w:p>
    <w:p w14:paraId="428FB5D5"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第一章总则，包括6条，明确制定目的、适用范围、隐患定义、基本原则、主体责任以及制度流程。</w:t>
      </w:r>
    </w:p>
    <w:p w14:paraId="1E3F841F"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第二章隐患排查，包括12条，对编制排查事项清单、制定排查计划、确定排查方式及要求、排查培训教育、组织实施排查、隐患分类、隐患分级等内容</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规定。</w:t>
      </w:r>
    </w:p>
    <w:p w14:paraId="05BC67A4"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第三章隐患治理，包括13条，对通报隐患信息、下发隐患整改通知、制定隐患治理方案、隐患治理方案评审、实施外部隐患治理、治理验收、文件资料整理归档等内容</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规定。</w:t>
      </w:r>
    </w:p>
    <w:p w14:paraId="27E0B1E8"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第四章隐患报告，包括4条，对社会报告、从业人员报告、管道企业报告等内容</w:t>
      </w:r>
      <w:proofErr w:type="gramStart"/>
      <w:r>
        <w:rPr>
          <w:rFonts w:ascii="仿宋_GB2312" w:eastAsia="仿宋_GB2312" w:hAnsi="仿宋_GB2312" w:cs="仿宋_GB2312" w:hint="eastAsia"/>
          <w:szCs w:val="32"/>
        </w:rPr>
        <w:t>作出</w:t>
      </w:r>
      <w:proofErr w:type="gramEnd"/>
      <w:r>
        <w:rPr>
          <w:rFonts w:ascii="仿宋_GB2312" w:eastAsia="仿宋_GB2312" w:hAnsi="仿宋_GB2312" w:cs="仿宋_GB2312" w:hint="eastAsia"/>
          <w:szCs w:val="32"/>
        </w:rPr>
        <w:t>规定。</w:t>
      </w:r>
    </w:p>
    <w:p w14:paraId="7215D504"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第五章监督管理，包括5条，根据《中华人民共和国石油天然气管道保护法》等法律法规，对管道保护主管部门关于油气管道外部隐患排查治理的监督管理职责予以细化。</w:t>
      </w:r>
    </w:p>
    <w:p w14:paraId="4A99DC16"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第六章附则，包括1条，明确</w:t>
      </w:r>
      <w:r>
        <w:rPr>
          <w:rFonts w:ascii="仿宋_GB2312" w:eastAsia="仿宋_GB2312" w:hAnsi="仿宋_GB2312" w:cs="仿宋_GB2312" w:hint="eastAsia"/>
          <w:kern w:val="0"/>
          <w:szCs w:val="32"/>
        </w:rPr>
        <w:t>《细则》</w:t>
      </w:r>
      <w:r>
        <w:rPr>
          <w:rFonts w:ascii="仿宋_GB2312" w:eastAsia="仿宋_GB2312" w:hAnsi="仿宋_GB2312" w:cs="仿宋_GB2312" w:hint="eastAsia"/>
          <w:szCs w:val="32"/>
        </w:rPr>
        <w:t>实施日期。</w:t>
      </w:r>
    </w:p>
    <w:p w14:paraId="0B9D058C"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附件1油气管道外部隐患排查治理工作流程，按照隐患排查、隐患治理、治理验收、资料归档的总流程，细化每一环节。</w:t>
      </w:r>
    </w:p>
    <w:p w14:paraId="21EA7F43"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附件2油气管道外部隐患排查事项清单（参考模版），为管道企业制定排查事项清单提供参考模板。</w:t>
      </w:r>
    </w:p>
    <w:p w14:paraId="3C20F80B" w14:textId="77777777" w:rsidR="00E220E6" w:rsidRDefault="00000000">
      <w:pPr>
        <w:spacing w:line="560" w:lineRule="exact"/>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附件3 油气管道外部隐患排查治理台账（参考模版），为管道企业制定排查治理台账提供参考模版。</w:t>
      </w:r>
    </w:p>
    <w:p w14:paraId="57D89B81" w14:textId="77777777" w:rsidR="00E220E6" w:rsidRDefault="00000000">
      <w:pPr>
        <w:spacing w:line="560" w:lineRule="exact"/>
        <w:ind w:firstLine="632"/>
        <w:rPr>
          <w:rFonts w:eastAsia="黑体"/>
          <w:color w:val="000000" w:themeColor="text1"/>
          <w:szCs w:val="32"/>
        </w:rPr>
      </w:pPr>
      <w:r>
        <w:rPr>
          <w:rFonts w:eastAsia="黑体" w:hint="eastAsia"/>
          <w:color w:val="000000" w:themeColor="text1"/>
          <w:szCs w:val="32"/>
        </w:rPr>
        <w:t>五、</w:t>
      </w:r>
      <w:r>
        <w:rPr>
          <w:rFonts w:eastAsia="黑体"/>
          <w:color w:val="000000" w:themeColor="text1"/>
          <w:szCs w:val="32"/>
        </w:rPr>
        <w:t>关于施行日期的说明</w:t>
      </w:r>
    </w:p>
    <w:p w14:paraId="2BD29814" w14:textId="77777777" w:rsidR="00E220E6" w:rsidRDefault="00000000">
      <w:pPr>
        <w:spacing w:line="560" w:lineRule="exact"/>
        <w:ind w:firstLineChars="200" w:firstLine="632"/>
        <w:rPr>
          <w:rFonts w:ascii="仿宋_GB2312" w:eastAsia="仿宋_GB2312"/>
          <w:color w:val="000000" w:themeColor="text1"/>
          <w:szCs w:val="32"/>
        </w:rPr>
      </w:pPr>
      <w:r>
        <w:rPr>
          <w:rFonts w:ascii="仿宋_GB2312" w:eastAsia="仿宋_GB2312" w:hint="eastAsia"/>
          <w:color w:val="000000" w:themeColor="text1"/>
          <w:szCs w:val="32"/>
        </w:rPr>
        <w:t>本制度的</w:t>
      </w:r>
      <w:proofErr w:type="gramStart"/>
      <w:r>
        <w:rPr>
          <w:rFonts w:ascii="仿宋_GB2312" w:eastAsia="仿宋_GB2312" w:hint="eastAsia"/>
          <w:color w:val="000000" w:themeColor="text1"/>
          <w:szCs w:val="32"/>
        </w:rPr>
        <w:t>拟公布</w:t>
      </w:r>
      <w:proofErr w:type="gramEnd"/>
      <w:r>
        <w:rPr>
          <w:rFonts w:ascii="仿宋_GB2312" w:eastAsia="仿宋_GB2312" w:hint="eastAsia"/>
          <w:color w:val="000000" w:themeColor="text1"/>
          <w:szCs w:val="32"/>
        </w:rPr>
        <w:t>日期是2025年8月10日，施行日期是2025年9月10日，有效期至2028年9月9日。</w:t>
      </w:r>
    </w:p>
    <w:p w14:paraId="4921068A" w14:textId="77777777" w:rsidR="00E220E6" w:rsidRDefault="00000000">
      <w:pPr>
        <w:spacing w:line="560" w:lineRule="exact"/>
        <w:ind w:firstLineChars="200" w:firstLine="632"/>
        <w:rPr>
          <w:rFonts w:eastAsia="仿宋_GB2312"/>
          <w:color w:val="000000" w:themeColor="text1"/>
          <w:szCs w:val="32"/>
        </w:rPr>
      </w:pPr>
      <w:r>
        <w:rPr>
          <w:rFonts w:eastAsia="仿宋_GB2312" w:hint="eastAsia"/>
          <w:color w:val="000000" w:themeColor="text1"/>
          <w:szCs w:val="32"/>
        </w:rPr>
        <w:t xml:space="preserve">  </w:t>
      </w:r>
    </w:p>
    <w:sectPr w:rsidR="00E220E6">
      <w:footerReference w:type="default" r:id="rId7"/>
      <w:pgSz w:w="11906" w:h="16838"/>
      <w:pgMar w:top="2098" w:right="1474" w:bottom="1984" w:left="1588" w:header="851" w:footer="141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BF42" w14:textId="77777777" w:rsidR="00E91417" w:rsidRDefault="00E91417">
      <w:r>
        <w:separator/>
      </w:r>
    </w:p>
  </w:endnote>
  <w:endnote w:type="continuationSeparator" w:id="0">
    <w:p w14:paraId="17C018AA" w14:textId="77777777" w:rsidR="00E91417" w:rsidRDefault="00E9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9384" w14:textId="77777777" w:rsidR="00E220E6" w:rsidRDefault="00000000">
    <w:pPr>
      <w:tabs>
        <w:tab w:val="center" w:pos="4153"/>
        <w:tab w:val="right" w:pos="8306"/>
      </w:tabs>
    </w:pPr>
    <w:r>
      <w:rPr>
        <w:noProof/>
      </w:rPr>
      <mc:AlternateContent>
        <mc:Choice Requires="wps">
          <w:drawing>
            <wp:anchor distT="0" distB="0" distL="114300" distR="114300" simplePos="0" relativeHeight="251659264" behindDoc="0" locked="0" layoutInCell="1" allowOverlap="1" wp14:anchorId="2B5AA460" wp14:editId="4F60C74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99E72" w14:textId="77777777" w:rsidR="00E220E6" w:rsidRDefault="00000000">
                          <w:pPr>
                            <w:tabs>
                              <w:tab w:val="center" w:pos="4153"/>
                              <w:tab w:val="right" w:pos="8306"/>
                            </w:tabs>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5AA46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C99E72" w14:textId="77777777" w:rsidR="00E220E6" w:rsidRDefault="00000000">
                    <w:pPr>
                      <w:tabs>
                        <w:tab w:val="center" w:pos="4153"/>
                        <w:tab w:val="right" w:pos="8306"/>
                      </w:tabs>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2232" w14:textId="77777777" w:rsidR="00E91417" w:rsidRDefault="00E91417">
      <w:r>
        <w:separator/>
      </w:r>
    </w:p>
  </w:footnote>
  <w:footnote w:type="continuationSeparator" w:id="0">
    <w:p w14:paraId="7638B6C8" w14:textId="77777777" w:rsidR="00E91417" w:rsidRDefault="00E91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58"/>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c2ZmRjODE3NGE4YjAzN2VhYmFkODIyNzdiZDJiOTAifQ=="/>
  </w:docVars>
  <w:rsids>
    <w:rsidRoot w:val="00031D82"/>
    <w:rsid w:val="00023E07"/>
    <w:rsid w:val="00031D82"/>
    <w:rsid w:val="000A5D08"/>
    <w:rsid w:val="000E7B1F"/>
    <w:rsid w:val="001F702C"/>
    <w:rsid w:val="00244890"/>
    <w:rsid w:val="002D3E6D"/>
    <w:rsid w:val="003072F6"/>
    <w:rsid w:val="00381AA9"/>
    <w:rsid w:val="003C3C6C"/>
    <w:rsid w:val="0057784D"/>
    <w:rsid w:val="00787EAB"/>
    <w:rsid w:val="008340B6"/>
    <w:rsid w:val="009F0360"/>
    <w:rsid w:val="00B72A3B"/>
    <w:rsid w:val="00CE72AE"/>
    <w:rsid w:val="00DD1440"/>
    <w:rsid w:val="00E220E6"/>
    <w:rsid w:val="00E50035"/>
    <w:rsid w:val="00E61F94"/>
    <w:rsid w:val="00E91417"/>
    <w:rsid w:val="00FA6F90"/>
    <w:rsid w:val="00FD05E4"/>
    <w:rsid w:val="02C62933"/>
    <w:rsid w:val="039A36A3"/>
    <w:rsid w:val="039D7B38"/>
    <w:rsid w:val="04CC1D57"/>
    <w:rsid w:val="05D37841"/>
    <w:rsid w:val="05E80A72"/>
    <w:rsid w:val="06151FDE"/>
    <w:rsid w:val="06651919"/>
    <w:rsid w:val="074A10E3"/>
    <w:rsid w:val="074D5706"/>
    <w:rsid w:val="07D94EB6"/>
    <w:rsid w:val="082D4E84"/>
    <w:rsid w:val="092D370C"/>
    <w:rsid w:val="093F343F"/>
    <w:rsid w:val="0A2C39C3"/>
    <w:rsid w:val="0A5922DF"/>
    <w:rsid w:val="0A734E3E"/>
    <w:rsid w:val="0A764C3F"/>
    <w:rsid w:val="0AC459AA"/>
    <w:rsid w:val="0B2F5913"/>
    <w:rsid w:val="0B696551"/>
    <w:rsid w:val="0B8F701F"/>
    <w:rsid w:val="0D020C86"/>
    <w:rsid w:val="0D2B7F62"/>
    <w:rsid w:val="0D7D4536"/>
    <w:rsid w:val="0D9915F8"/>
    <w:rsid w:val="0FD85A54"/>
    <w:rsid w:val="0FE32D76"/>
    <w:rsid w:val="10CC380A"/>
    <w:rsid w:val="114A472F"/>
    <w:rsid w:val="12A25CC9"/>
    <w:rsid w:val="12AF5192"/>
    <w:rsid w:val="12C0114D"/>
    <w:rsid w:val="12C66037"/>
    <w:rsid w:val="131E7C21"/>
    <w:rsid w:val="138959E3"/>
    <w:rsid w:val="140D38A9"/>
    <w:rsid w:val="14575AE1"/>
    <w:rsid w:val="145D1643"/>
    <w:rsid w:val="149425C9"/>
    <w:rsid w:val="14942891"/>
    <w:rsid w:val="1517701E"/>
    <w:rsid w:val="16730284"/>
    <w:rsid w:val="169A3A63"/>
    <w:rsid w:val="16F21AF1"/>
    <w:rsid w:val="17D66D1D"/>
    <w:rsid w:val="190B6E9A"/>
    <w:rsid w:val="19524AC9"/>
    <w:rsid w:val="19A5109C"/>
    <w:rsid w:val="1A7506E9"/>
    <w:rsid w:val="1AF2632B"/>
    <w:rsid w:val="1B5A7C65"/>
    <w:rsid w:val="1CD3197C"/>
    <w:rsid w:val="1D351E1B"/>
    <w:rsid w:val="1D570900"/>
    <w:rsid w:val="1E1E4F79"/>
    <w:rsid w:val="1E554A50"/>
    <w:rsid w:val="1EC570FE"/>
    <w:rsid w:val="1F325180"/>
    <w:rsid w:val="20592BE1"/>
    <w:rsid w:val="20CE0ED9"/>
    <w:rsid w:val="230230BC"/>
    <w:rsid w:val="235356C5"/>
    <w:rsid w:val="23BD6FE3"/>
    <w:rsid w:val="23C87E61"/>
    <w:rsid w:val="261C26E6"/>
    <w:rsid w:val="26245763"/>
    <w:rsid w:val="2693339F"/>
    <w:rsid w:val="26A5092E"/>
    <w:rsid w:val="27201D62"/>
    <w:rsid w:val="2738083A"/>
    <w:rsid w:val="274F704C"/>
    <w:rsid w:val="276230B3"/>
    <w:rsid w:val="277B168E"/>
    <w:rsid w:val="27C76682"/>
    <w:rsid w:val="28406AB3"/>
    <w:rsid w:val="29194CBB"/>
    <w:rsid w:val="2C4B2140"/>
    <w:rsid w:val="2D6A736C"/>
    <w:rsid w:val="2E975000"/>
    <w:rsid w:val="2EC102CF"/>
    <w:rsid w:val="2FEC3129"/>
    <w:rsid w:val="30FE0982"/>
    <w:rsid w:val="31C0486E"/>
    <w:rsid w:val="32171FB4"/>
    <w:rsid w:val="337E22EA"/>
    <w:rsid w:val="34256C0A"/>
    <w:rsid w:val="344439C8"/>
    <w:rsid w:val="34796F56"/>
    <w:rsid w:val="347B0F20"/>
    <w:rsid w:val="34D4418C"/>
    <w:rsid w:val="35170194"/>
    <w:rsid w:val="351B1DBB"/>
    <w:rsid w:val="35386E11"/>
    <w:rsid w:val="35D03AE5"/>
    <w:rsid w:val="37AF33BA"/>
    <w:rsid w:val="37D90437"/>
    <w:rsid w:val="37E64902"/>
    <w:rsid w:val="391D7CAB"/>
    <w:rsid w:val="396401D4"/>
    <w:rsid w:val="39E82BB3"/>
    <w:rsid w:val="3A00614F"/>
    <w:rsid w:val="3BE058FC"/>
    <w:rsid w:val="3D2A5291"/>
    <w:rsid w:val="3D7529B0"/>
    <w:rsid w:val="3E1F291C"/>
    <w:rsid w:val="3ECB4852"/>
    <w:rsid w:val="3FD34FFE"/>
    <w:rsid w:val="411B561D"/>
    <w:rsid w:val="412C5C81"/>
    <w:rsid w:val="415669EA"/>
    <w:rsid w:val="41AF25D2"/>
    <w:rsid w:val="42666D6B"/>
    <w:rsid w:val="432509D4"/>
    <w:rsid w:val="43C04259"/>
    <w:rsid w:val="43EB7685"/>
    <w:rsid w:val="441717BF"/>
    <w:rsid w:val="44181FA3"/>
    <w:rsid w:val="44A60F09"/>
    <w:rsid w:val="459B6204"/>
    <w:rsid w:val="45CF2E79"/>
    <w:rsid w:val="46932FE2"/>
    <w:rsid w:val="46DC3AA0"/>
    <w:rsid w:val="46FC37FA"/>
    <w:rsid w:val="47125F49"/>
    <w:rsid w:val="47B95B8F"/>
    <w:rsid w:val="48174664"/>
    <w:rsid w:val="48853CC3"/>
    <w:rsid w:val="49D92519"/>
    <w:rsid w:val="4A276594"/>
    <w:rsid w:val="4A2C089A"/>
    <w:rsid w:val="4AE253FD"/>
    <w:rsid w:val="4B475260"/>
    <w:rsid w:val="4BEE392E"/>
    <w:rsid w:val="4CDF1BF4"/>
    <w:rsid w:val="4CF11927"/>
    <w:rsid w:val="4DFA6D48"/>
    <w:rsid w:val="4E2C067A"/>
    <w:rsid w:val="4E8C5053"/>
    <w:rsid w:val="4ECC264C"/>
    <w:rsid w:val="4FAD5FDA"/>
    <w:rsid w:val="501D0A03"/>
    <w:rsid w:val="51134562"/>
    <w:rsid w:val="511E4CB5"/>
    <w:rsid w:val="5196484B"/>
    <w:rsid w:val="524E3378"/>
    <w:rsid w:val="52CA6EA2"/>
    <w:rsid w:val="545A4256"/>
    <w:rsid w:val="548B2661"/>
    <w:rsid w:val="54E81862"/>
    <w:rsid w:val="558C6691"/>
    <w:rsid w:val="569D38C0"/>
    <w:rsid w:val="56B75990"/>
    <w:rsid w:val="56C2678C"/>
    <w:rsid w:val="5753390A"/>
    <w:rsid w:val="576553EC"/>
    <w:rsid w:val="57F329F7"/>
    <w:rsid w:val="591E5852"/>
    <w:rsid w:val="593C03CE"/>
    <w:rsid w:val="596516D3"/>
    <w:rsid w:val="5A9130DD"/>
    <w:rsid w:val="5B445318"/>
    <w:rsid w:val="5B461090"/>
    <w:rsid w:val="5C1A1471"/>
    <w:rsid w:val="5C9F314E"/>
    <w:rsid w:val="5CE32DA7"/>
    <w:rsid w:val="5D0C11D1"/>
    <w:rsid w:val="5D3E5719"/>
    <w:rsid w:val="5DD961EC"/>
    <w:rsid w:val="5F0279C4"/>
    <w:rsid w:val="60172FFB"/>
    <w:rsid w:val="60193217"/>
    <w:rsid w:val="60402552"/>
    <w:rsid w:val="604C539B"/>
    <w:rsid w:val="60C05441"/>
    <w:rsid w:val="61852AD6"/>
    <w:rsid w:val="62976675"/>
    <w:rsid w:val="63376256"/>
    <w:rsid w:val="6384309D"/>
    <w:rsid w:val="64A158D8"/>
    <w:rsid w:val="65F95E0A"/>
    <w:rsid w:val="65FE0EE5"/>
    <w:rsid w:val="66682803"/>
    <w:rsid w:val="68C53F3C"/>
    <w:rsid w:val="6A2B4273"/>
    <w:rsid w:val="6AE0505D"/>
    <w:rsid w:val="6B250D48"/>
    <w:rsid w:val="6B981494"/>
    <w:rsid w:val="6CE43CA6"/>
    <w:rsid w:val="6DB63E53"/>
    <w:rsid w:val="6DF7216D"/>
    <w:rsid w:val="71754A5F"/>
    <w:rsid w:val="72020EA1"/>
    <w:rsid w:val="725F173B"/>
    <w:rsid w:val="73A330CC"/>
    <w:rsid w:val="74251D33"/>
    <w:rsid w:val="75220EDE"/>
    <w:rsid w:val="752B5A21"/>
    <w:rsid w:val="75956A44"/>
    <w:rsid w:val="75B415C0"/>
    <w:rsid w:val="75EB011A"/>
    <w:rsid w:val="77316164"/>
    <w:rsid w:val="782567A5"/>
    <w:rsid w:val="786A240A"/>
    <w:rsid w:val="78961451"/>
    <w:rsid w:val="7A2D2380"/>
    <w:rsid w:val="7ABF3072"/>
    <w:rsid w:val="7AD67076"/>
    <w:rsid w:val="7AF76FC5"/>
    <w:rsid w:val="7B6B4E54"/>
    <w:rsid w:val="7BA23A7E"/>
    <w:rsid w:val="7C183F2B"/>
    <w:rsid w:val="7CF20C20"/>
    <w:rsid w:val="7D25073A"/>
    <w:rsid w:val="7F9F4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921E"/>
  <w15:docId w15:val="{1FA97695-33AE-4FD5-8520-E8531004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683</Characters>
  <Application>Microsoft Office Word</Application>
  <DocSecurity>0</DocSecurity>
  <Lines>32</Lines>
  <Paragraphs>25</Paragraphs>
  <ScaleCrop>false</ScaleCrop>
  <Company>Home</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yifei hou</cp:lastModifiedBy>
  <cp:revision>2</cp:revision>
  <dcterms:created xsi:type="dcterms:W3CDTF">2025-07-09T06:01:00Z</dcterms:created>
  <dcterms:modified xsi:type="dcterms:W3CDTF">2025-07-09T06:01:00Z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615DE693D2714A6AB33CDA4E08593A4F_12</vt:lpwstr>
  </property>
  <property fmtid="{D5CDD505-2E9C-101B-9397-08002B2CF9AE}" pid="4" name="KSOTemplateDocerSaveRecord">
    <vt:lpwstr>eyJoZGlkIjoiMjJjYWMwMjM3ZGFlMWFkMWUzMzljOTI1ZTQ1MDBlNDgiLCJ1c2VySWQiOiIzODkyNTk2MDMifQ==</vt:lpwstr>
  </property>
</Properties>
</file>