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山东省能源局</w:t>
      </w:r>
    </w:p>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年政府信息公开工作年度报告</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val="0"/>
        <w:overflowPunct/>
        <w:topLinePunct w:val="0"/>
        <w:autoSpaceDE/>
        <w:autoSpaceDN w:val="0"/>
        <w:bidi w:val="0"/>
        <w:adjustRightInd/>
        <w:snapToGrid/>
        <w:spacing w:beforeAutospacing="0" w:afterAutospacing="0" w:line="560" w:lineRule="exact"/>
        <w:ind w:firstLine="622" w:firstLineChars="200"/>
        <w:jc w:val="both"/>
        <w:textAlignment w:val="auto"/>
        <w:rPr>
          <w:rFonts w:ascii="sans-serif" w:hAnsi="sans-serif" w:eastAsia="sans-serif" w:cs="sans-serif"/>
          <w:color w:val="auto"/>
          <w:sz w:val="32"/>
          <w:szCs w:val="32"/>
        </w:rPr>
      </w:pPr>
      <w:r>
        <w:rPr>
          <w:rFonts w:ascii="仿宋_GB2312" w:hAnsi="sans-serif" w:eastAsia="仿宋_GB2312" w:cs="仿宋_GB2312"/>
          <w:color w:val="auto"/>
          <w:sz w:val="32"/>
          <w:szCs w:val="32"/>
          <w:shd w:val="clear" w:color="auto" w:fill="FFFFFF"/>
        </w:rPr>
        <w:t>根据《中华人民共和国政府信息公开条例》</w:t>
      </w:r>
      <w:r>
        <w:rPr>
          <w:rFonts w:hint="eastAsia" w:ascii="仿宋_GB2312" w:hAnsi="sans-serif" w:eastAsia="仿宋_GB2312" w:cs="仿宋_GB2312"/>
          <w:color w:val="auto"/>
          <w:sz w:val="32"/>
          <w:szCs w:val="32"/>
          <w:shd w:val="clear" w:color="auto" w:fill="FFFFFF"/>
        </w:rPr>
        <w:t>和《国务院办公厅政府信息与政务公开办公室关于政府信息公开工作年度报告有关事项的通知》要求，</w:t>
      </w:r>
      <w:r>
        <w:rPr>
          <w:rFonts w:hint="eastAsia" w:ascii="仿宋_GB2312" w:hAnsi="sans-serif" w:eastAsia="仿宋_GB2312" w:cs="仿宋_GB2312"/>
          <w:color w:val="auto"/>
          <w:sz w:val="32"/>
          <w:szCs w:val="32"/>
          <w:shd w:val="clear" w:color="auto" w:fill="FFFFFF"/>
          <w:lang w:val="en-US" w:eastAsia="zh-CN"/>
        </w:rPr>
        <w:t>编制并</w:t>
      </w:r>
      <w:r>
        <w:rPr>
          <w:rFonts w:hint="eastAsia" w:ascii="仿宋_GB2312" w:hAnsi="sans-serif" w:eastAsia="仿宋_GB2312" w:cs="仿宋_GB2312"/>
          <w:color w:val="auto"/>
          <w:sz w:val="32"/>
          <w:szCs w:val="32"/>
          <w:shd w:val="clear" w:color="auto" w:fill="FFFFFF"/>
        </w:rPr>
        <w:t>公布山东省能源局202</w:t>
      </w:r>
      <w:r>
        <w:rPr>
          <w:rFonts w:hint="eastAsia" w:ascii="仿宋_GB2312" w:hAnsi="sans-serif" w:eastAsia="仿宋_GB2312" w:cs="仿宋_GB2312"/>
          <w:color w:val="auto"/>
          <w:sz w:val="32"/>
          <w:szCs w:val="32"/>
          <w:shd w:val="clear" w:color="auto" w:fill="FFFFFF"/>
          <w:lang w:val="en-US" w:eastAsia="zh-CN"/>
        </w:rPr>
        <w:t>3</w:t>
      </w:r>
      <w:r>
        <w:rPr>
          <w:rFonts w:hint="eastAsia" w:ascii="仿宋_GB2312" w:hAnsi="sans-serif" w:eastAsia="仿宋_GB2312" w:cs="仿宋_GB2312"/>
          <w:color w:val="auto"/>
          <w:sz w:val="32"/>
          <w:szCs w:val="32"/>
          <w:shd w:val="clear" w:color="auto" w:fill="FFFFFF"/>
        </w:rPr>
        <w:t>年政府信息公开工作年度报告。本报告所列数据统计期限为202</w:t>
      </w:r>
      <w:r>
        <w:rPr>
          <w:rFonts w:hint="eastAsia" w:ascii="仿宋_GB2312" w:hAnsi="sans-serif" w:eastAsia="仿宋_GB2312" w:cs="仿宋_GB2312"/>
          <w:color w:val="auto"/>
          <w:sz w:val="32"/>
          <w:szCs w:val="32"/>
          <w:shd w:val="clear" w:color="auto" w:fill="FFFFFF"/>
          <w:lang w:val="en-US" w:eastAsia="zh-CN"/>
        </w:rPr>
        <w:t>3</w:t>
      </w:r>
      <w:r>
        <w:rPr>
          <w:rFonts w:hint="eastAsia" w:ascii="仿宋_GB2312" w:hAnsi="sans-serif" w:eastAsia="仿宋_GB2312" w:cs="仿宋_GB2312"/>
          <w:color w:val="auto"/>
          <w:sz w:val="32"/>
          <w:szCs w:val="32"/>
          <w:shd w:val="clear" w:color="auto" w:fill="FFFFFF"/>
        </w:rPr>
        <w:t>年1月1日起至202</w:t>
      </w:r>
      <w:r>
        <w:rPr>
          <w:rFonts w:hint="eastAsia" w:ascii="仿宋_GB2312" w:hAnsi="sans-serif" w:eastAsia="仿宋_GB2312" w:cs="仿宋_GB2312"/>
          <w:color w:val="auto"/>
          <w:sz w:val="32"/>
          <w:szCs w:val="32"/>
          <w:shd w:val="clear" w:color="auto" w:fill="FFFFFF"/>
          <w:lang w:val="en-US" w:eastAsia="zh-CN"/>
        </w:rPr>
        <w:t>3</w:t>
      </w:r>
      <w:r>
        <w:rPr>
          <w:rFonts w:hint="eastAsia" w:ascii="仿宋_GB2312" w:hAnsi="sans-serif" w:eastAsia="仿宋_GB2312" w:cs="仿宋_GB2312"/>
          <w:color w:val="auto"/>
          <w:sz w:val="32"/>
          <w:szCs w:val="32"/>
          <w:shd w:val="clear" w:color="auto" w:fill="FFFFFF"/>
        </w:rPr>
        <w:t>年12月31日止。报告电子版可从山东省能源局门户网站（http://nyj.shandong.gov.cn）下载。如对本报告有疑问，请与山东省能源局办公室联系（地址：济南市市中区旅游路28666号，电话：0531-51763</w:t>
      </w:r>
      <w:r>
        <w:rPr>
          <w:rFonts w:hint="eastAsia" w:ascii="仿宋_GB2312" w:hAnsi="sans-serif" w:eastAsia="仿宋_GB2312" w:cs="仿宋_GB2312"/>
          <w:color w:val="auto"/>
          <w:sz w:val="32"/>
          <w:szCs w:val="32"/>
          <w:shd w:val="clear" w:color="auto" w:fill="FFFFFF"/>
          <w:lang w:val="en-US" w:eastAsia="zh-CN"/>
        </w:rPr>
        <w:t>615</w:t>
      </w:r>
      <w:r>
        <w:rPr>
          <w:rFonts w:hint="eastAsia" w:ascii="仿宋_GB2312" w:hAnsi="sans-serif" w:eastAsia="仿宋_GB2312" w:cs="仿宋_GB2312"/>
          <w:color w:val="auto"/>
          <w:sz w:val="32"/>
          <w:szCs w:val="32"/>
          <w:shd w:val="clear" w:color="auto" w:fill="FFFFFF"/>
        </w:rPr>
        <w:t>，传真：0531-51763610）。</w:t>
      </w:r>
    </w:p>
    <w:p>
      <w:pPr>
        <w:keepNext w:val="0"/>
        <w:keepLines w:val="0"/>
        <w:pageBreakBefore w:val="0"/>
        <w:kinsoku/>
        <w:overflowPunct/>
        <w:topLinePunct w:val="0"/>
        <w:autoSpaceDE/>
        <w:autoSpaceDN/>
        <w:bidi w:val="0"/>
        <w:adjustRightInd/>
        <w:snapToGrid/>
        <w:spacing w:line="560" w:lineRule="exact"/>
        <w:ind w:firstLine="622"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一、总体情况</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22" w:firstLineChars="200"/>
        <w:jc w:val="both"/>
        <w:textAlignment w:val="auto"/>
        <w:rPr>
          <w:rFonts w:hint="eastAsia" w:ascii="仿宋_GB2312" w:hAnsi="sans-serif" w:eastAsia="仿宋_GB2312" w:cs="仿宋_GB2312"/>
          <w:color w:val="auto"/>
          <w:sz w:val="32"/>
          <w:szCs w:val="32"/>
          <w:shd w:val="clear" w:color="auto" w:fill="FFFFFF"/>
        </w:rPr>
      </w:pPr>
      <w:r>
        <w:rPr>
          <w:rFonts w:hint="eastAsia" w:ascii="仿宋_GB2312" w:hAnsi="sans-serif" w:eastAsia="仿宋_GB2312" w:cs="仿宋_GB2312"/>
          <w:color w:val="auto"/>
          <w:sz w:val="32"/>
          <w:szCs w:val="32"/>
          <w:shd w:val="clear" w:color="auto" w:fill="FFFFFF"/>
        </w:rPr>
        <w:t>202</w:t>
      </w:r>
      <w:r>
        <w:rPr>
          <w:rFonts w:hint="eastAsia" w:ascii="仿宋_GB2312" w:hAnsi="sans-serif" w:eastAsia="仿宋_GB2312" w:cs="仿宋_GB2312"/>
          <w:color w:val="auto"/>
          <w:sz w:val="32"/>
          <w:szCs w:val="32"/>
          <w:shd w:val="clear" w:color="auto" w:fill="FFFFFF"/>
          <w:lang w:val="en-US" w:eastAsia="zh-CN"/>
        </w:rPr>
        <w:t>3</w:t>
      </w:r>
      <w:r>
        <w:rPr>
          <w:rFonts w:hint="eastAsia" w:ascii="仿宋_GB2312" w:hAnsi="sans-serif" w:eastAsia="仿宋_GB2312" w:cs="仿宋_GB2312"/>
          <w:color w:val="auto"/>
          <w:sz w:val="32"/>
          <w:szCs w:val="32"/>
          <w:shd w:val="clear" w:color="auto" w:fill="FFFFFF"/>
        </w:rPr>
        <w:t>年，省能源局坚持以习近平新时代中国特色社会主义思想为指导，全面贯彻落实国务院、省政府关于政务公开工作的决策部署，紧紧围绕能源</w:t>
      </w:r>
      <w:r>
        <w:rPr>
          <w:rFonts w:hint="eastAsia" w:ascii="仿宋_GB2312" w:hAnsi="sans-serif" w:eastAsia="仿宋_GB2312" w:cs="仿宋_GB2312"/>
          <w:color w:val="auto"/>
          <w:sz w:val="32"/>
          <w:szCs w:val="32"/>
          <w:shd w:val="clear" w:color="auto" w:fill="FFFFFF"/>
          <w:lang w:val="en-US" w:eastAsia="zh-CN"/>
        </w:rPr>
        <w:t>绿色低碳高质量发展</w:t>
      </w:r>
      <w:r>
        <w:rPr>
          <w:rFonts w:hint="eastAsia" w:ascii="仿宋_GB2312" w:hAnsi="sans-serif" w:eastAsia="仿宋_GB2312" w:cs="仿宋_GB2312"/>
          <w:color w:val="auto"/>
          <w:sz w:val="32"/>
          <w:szCs w:val="32"/>
          <w:shd w:val="clear" w:color="auto" w:fill="FFFFFF"/>
        </w:rPr>
        <w:t>，及时准确公布</w:t>
      </w:r>
      <w:r>
        <w:rPr>
          <w:rFonts w:hint="eastAsia" w:ascii="仿宋_GB2312" w:hAnsi="sans-serif" w:eastAsia="仿宋_GB2312" w:cs="仿宋_GB2312"/>
          <w:color w:val="auto"/>
          <w:sz w:val="32"/>
          <w:szCs w:val="32"/>
          <w:shd w:val="clear" w:color="auto" w:fill="FFFFFF"/>
          <w:lang w:val="en-US" w:eastAsia="zh-CN"/>
        </w:rPr>
        <w:t>能源</w:t>
      </w:r>
      <w:r>
        <w:rPr>
          <w:rFonts w:hint="eastAsia" w:ascii="仿宋_GB2312" w:hAnsi="sans-serif" w:eastAsia="仿宋_GB2312" w:cs="仿宋_GB2312"/>
          <w:color w:val="auto"/>
          <w:sz w:val="32"/>
          <w:szCs w:val="32"/>
          <w:shd w:val="clear" w:color="auto" w:fill="FFFFFF"/>
        </w:rPr>
        <w:t>领域各项信息，</w:t>
      </w:r>
      <w:r>
        <w:rPr>
          <w:rFonts w:hint="eastAsia" w:ascii="仿宋_GB2312" w:hAnsi="sans-serif" w:eastAsia="仿宋_GB2312" w:cs="仿宋_GB2312"/>
          <w:color w:val="auto"/>
          <w:sz w:val="32"/>
          <w:szCs w:val="32"/>
          <w:shd w:val="clear" w:color="auto" w:fill="FFFFFF"/>
          <w:lang w:val="en-US" w:eastAsia="zh-CN"/>
        </w:rPr>
        <w:t>全面</w:t>
      </w:r>
      <w:r>
        <w:rPr>
          <w:rFonts w:hint="eastAsia" w:ascii="仿宋_GB2312" w:hAnsi="sans-serif" w:eastAsia="仿宋_GB2312" w:cs="仿宋_GB2312"/>
          <w:color w:val="auto"/>
          <w:sz w:val="32"/>
          <w:szCs w:val="32"/>
          <w:shd w:val="clear" w:color="auto" w:fill="FFFFFF"/>
        </w:rPr>
        <w:t>提升政策发布、转载、解读、回应质量。</w:t>
      </w:r>
    </w:p>
    <w:p>
      <w:pPr>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突出抓好主动公开</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val="en-US" w:eastAsia="zh-CN"/>
        </w:rPr>
        <w:t>坚持以公开为常态、不公开为例外，深入</w:t>
      </w:r>
      <w:r>
        <w:rPr>
          <w:rFonts w:hint="eastAsia" w:ascii="仿宋_GB2312" w:hAnsi="sans-serif" w:eastAsia="仿宋_GB2312" w:cs="仿宋_GB2312"/>
          <w:color w:val="auto"/>
          <w:kern w:val="0"/>
          <w:sz w:val="32"/>
          <w:szCs w:val="32"/>
          <w:shd w:val="clear" w:color="auto" w:fill="FFFFFF"/>
          <w:lang w:val="en-US" w:eastAsia="zh-CN" w:bidi="ar-SA"/>
        </w:rPr>
        <w:t>推进能源领域</w:t>
      </w:r>
      <w:r>
        <w:rPr>
          <w:rFonts w:hint="eastAsia" w:ascii="仿宋_GB2312" w:hAnsi="sans-serif" w:eastAsia="仿宋_GB2312" w:cs="仿宋_GB2312"/>
          <w:color w:val="auto"/>
          <w:sz w:val="32"/>
          <w:szCs w:val="32"/>
          <w:shd w:val="clear" w:color="auto" w:fill="FFFFFF"/>
        </w:rPr>
        <w:t>重大政策、权威信息</w:t>
      </w:r>
      <w:r>
        <w:rPr>
          <w:rFonts w:hint="eastAsia" w:ascii="仿宋_GB2312" w:hAnsi="sans-serif" w:eastAsia="仿宋_GB2312" w:cs="仿宋_GB2312"/>
          <w:color w:val="auto"/>
          <w:sz w:val="32"/>
          <w:szCs w:val="32"/>
          <w:shd w:val="clear" w:color="auto" w:fill="FFFFFF"/>
          <w:lang w:eastAsia="zh-CN"/>
        </w:rPr>
        <w:t>、</w:t>
      </w:r>
      <w:r>
        <w:rPr>
          <w:rFonts w:hint="eastAsia" w:ascii="仿宋_GB2312" w:hAnsi="sans-serif" w:eastAsia="仿宋_GB2312" w:cs="仿宋_GB2312"/>
          <w:color w:val="auto"/>
          <w:sz w:val="32"/>
          <w:szCs w:val="32"/>
          <w:shd w:val="clear" w:color="auto" w:fill="FFFFFF"/>
          <w:lang w:val="en-US" w:eastAsia="zh-CN"/>
        </w:rPr>
        <w:t>重要会议、</w:t>
      </w:r>
      <w:r>
        <w:rPr>
          <w:rFonts w:hint="eastAsia" w:ascii="仿宋_GB2312" w:hAnsi="仿宋_GB2312" w:eastAsia="仿宋_GB2312" w:cs="仿宋_GB2312"/>
          <w:color w:val="auto"/>
          <w:sz w:val="32"/>
          <w:szCs w:val="32"/>
          <w:lang w:val="en-US" w:eastAsia="zh-CN"/>
        </w:rPr>
        <w:t>财政预决算、行政执法公示、“双随机、一公开”监管等信息发布，切实做到应公开尽公开。坚持</w:t>
      </w:r>
      <w:r>
        <w:rPr>
          <w:rFonts w:hint="eastAsia" w:ascii="仿宋_GB2312" w:hAnsi="仿宋_GB2312" w:eastAsia="仿宋_GB2312" w:cs="仿宋_GB2312"/>
          <w:color w:val="auto"/>
          <w:kern w:val="2"/>
          <w:sz w:val="32"/>
          <w:szCs w:val="32"/>
          <w:lang w:val="en-US" w:eastAsia="zh-CN" w:bidi="ar-SA"/>
        </w:rPr>
        <w:t>多</w:t>
      </w:r>
      <w:r>
        <w:rPr>
          <w:rFonts w:hint="default" w:ascii="仿宋_GB2312" w:hAnsi="仿宋_GB2312" w:eastAsia="仿宋_GB2312" w:cs="仿宋_GB2312"/>
          <w:color w:val="auto"/>
          <w:kern w:val="2"/>
          <w:sz w:val="32"/>
          <w:szCs w:val="32"/>
          <w:lang w:val="en-US" w:eastAsia="zh-CN" w:bidi="ar-SA"/>
        </w:rPr>
        <w:t>角度</w:t>
      </w:r>
      <w:r>
        <w:rPr>
          <w:rFonts w:hint="eastAsia" w:ascii="仿宋_GB2312" w:hAnsi="仿宋_GB2312" w:eastAsia="仿宋_GB2312" w:cs="仿宋_GB2312"/>
          <w:color w:val="auto"/>
          <w:kern w:val="2"/>
          <w:sz w:val="32"/>
          <w:szCs w:val="32"/>
          <w:lang w:val="en-US" w:eastAsia="zh-CN" w:bidi="ar-SA"/>
        </w:rPr>
        <w:t>多形式政策解读宣传，媒体发布</w:t>
      </w:r>
      <w:r>
        <w:rPr>
          <w:rFonts w:hint="default" w:ascii="仿宋_GB2312" w:hAnsi="仿宋_GB2312" w:eastAsia="仿宋_GB2312" w:cs="仿宋_GB2312"/>
          <w:color w:val="auto"/>
          <w:kern w:val="2"/>
          <w:sz w:val="32"/>
          <w:szCs w:val="32"/>
          <w:lang w:val="en-US" w:eastAsia="zh-CN" w:bidi="ar-SA"/>
        </w:rPr>
        <w:t>解读20余条、“一图读懂”</w:t>
      </w:r>
      <w:r>
        <w:rPr>
          <w:rFonts w:hint="eastAsia" w:ascii="仿宋_GB2312" w:hAnsi="仿宋_GB2312" w:eastAsia="仿宋_GB2312" w:cs="仿宋_GB2312"/>
          <w:color w:val="auto"/>
          <w:kern w:val="2"/>
          <w:sz w:val="32"/>
          <w:szCs w:val="32"/>
          <w:lang w:val="en-US" w:eastAsia="zh-CN" w:bidi="ar-SA"/>
        </w:rPr>
        <w:t>解读9</w:t>
      </w:r>
      <w:r>
        <w:rPr>
          <w:rFonts w:hint="default" w:ascii="仿宋_GB2312" w:hAnsi="仿宋_GB2312" w:eastAsia="仿宋_GB2312" w:cs="仿宋_GB2312"/>
          <w:color w:val="auto"/>
          <w:kern w:val="2"/>
          <w:sz w:val="32"/>
          <w:szCs w:val="32"/>
          <w:lang w:val="en-US" w:eastAsia="zh-CN" w:bidi="ar-SA"/>
        </w:rPr>
        <w:t>个</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新闻发布会</w:t>
      </w:r>
      <w:r>
        <w:rPr>
          <w:rFonts w:hint="eastAsia" w:ascii="仿宋_GB2312" w:hAnsi="仿宋_GB2312" w:eastAsia="仿宋_GB2312" w:cs="仿宋_GB2312"/>
          <w:color w:val="auto"/>
          <w:kern w:val="2"/>
          <w:sz w:val="32"/>
          <w:szCs w:val="32"/>
          <w:lang w:val="en-US" w:eastAsia="zh-CN" w:bidi="ar-SA"/>
        </w:rPr>
        <w:t>及</w:t>
      </w:r>
      <w:r>
        <w:rPr>
          <w:rFonts w:hint="default" w:ascii="仿宋_GB2312" w:hAnsi="仿宋_GB2312" w:eastAsia="仿宋_GB2312" w:cs="仿宋_GB2312"/>
          <w:color w:val="auto"/>
          <w:kern w:val="2"/>
          <w:sz w:val="32"/>
          <w:szCs w:val="32"/>
          <w:lang w:val="en-US" w:eastAsia="zh-CN" w:bidi="ar-SA"/>
        </w:rPr>
        <w:t>政策吹风会</w:t>
      </w:r>
      <w:r>
        <w:rPr>
          <w:rFonts w:hint="eastAsia" w:ascii="仿宋_GB2312" w:hAnsi="仿宋_GB2312" w:eastAsia="仿宋_GB2312" w:cs="仿宋_GB2312"/>
          <w:color w:val="auto"/>
          <w:kern w:val="2"/>
          <w:sz w:val="32"/>
          <w:szCs w:val="32"/>
          <w:lang w:val="en-US" w:eastAsia="zh-CN" w:bidi="ar-SA"/>
        </w:rPr>
        <w:t>解读</w:t>
      </w: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次</w:t>
      </w:r>
      <w:r>
        <w:rPr>
          <w:rFonts w:hint="eastAsia" w:ascii="仿宋_GB2312" w:hAnsi="方正小标宋简体" w:eastAsia="仿宋_GB2312" w:cs="Times New Roman"/>
          <w:color w:val="auto"/>
          <w:sz w:val="32"/>
          <w:szCs w:val="32"/>
          <w:lang w:val="en-US" w:eastAsia="zh-CN" w:bidi="ar-SA"/>
        </w:rPr>
        <w:t>。</w:t>
      </w:r>
      <w:r>
        <w:rPr>
          <w:rFonts w:hint="eastAsia" w:ascii="仿宋_GB2312" w:hAnsi="sans-serif" w:eastAsia="仿宋_GB2312" w:cs="仿宋_GB2312"/>
          <w:color w:val="auto"/>
          <w:sz w:val="32"/>
          <w:szCs w:val="32"/>
          <w:shd w:val="clear" w:color="auto" w:fill="FFFFFF"/>
        </w:rPr>
        <w:t>全年</w:t>
      </w:r>
      <w:r>
        <w:rPr>
          <w:rFonts w:hint="eastAsia" w:ascii="仿宋_GB2312" w:hAnsi="sans-serif" w:eastAsia="仿宋_GB2312" w:cs="仿宋_GB2312"/>
          <w:color w:val="auto"/>
          <w:sz w:val="32"/>
          <w:szCs w:val="32"/>
          <w:shd w:val="clear" w:color="auto" w:fill="FFFFFF"/>
          <w:lang w:val="en-US" w:eastAsia="zh-CN"/>
        </w:rPr>
        <w:t>局</w:t>
      </w:r>
      <w:r>
        <w:rPr>
          <w:rFonts w:hint="eastAsia" w:ascii="仿宋_GB2312" w:hAnsi="sans-serif" w:eastAsia="仿宋_GB2312" w:cs="仿宋_GB2312"/>
          <w:color w:val="auto"/>
          <w:sz w:val="32"/>
          <w:szCs w:val="32"/>
          <w:shd w:val="clear" w:color="auto" w:fill="FFFFFF"/>
        </w:rPr>
        <w:t>门户网站</w:t>
      </w:r>
      <w:r>
        <w:rPr>
          <w:rFonts w:hint="eastAsia" w:ascii="仿宋_GB2312" w:hAnsi="sans-serif" w:eastAsia="仿宋_GB2312" w:cs="仿宋_GB2312"/>
          <w:color w:val="auto"/>
          <w:sz w:val="32"/>
          <w:szCs w:val="32"/>
          <w:shd w:val="clear" w:color="auto" w:fill="FFFFFF"/>
          <w:lang w:val="en-US" w:eastAsia="zh-CN"/>
        </w:rPr>
        <w:t>发布</w:t>
      </w:r>
      <w:r>
        <w:rPr>
          <w:rFonts w:hint="eastAsia" w:ascii="仿宋_GB2312" w:hAnsi="sans-serif" w:eastAsia="仿宋_GB2312" w:cs="仿宋_GB2312"/>
          <w:color w:val="auto"/>
          <w:sz w:val="32"/>
          <w:szCs w:val="32"/>
          <w:shd w:val="clear" w:color="auto" w:fill="FFFFFF"/>
        </w:rPr>
        <w:t>信息</w:t>
      </w:r>
      <w:r>
        <w:rPr>
          <w:rFonts w:hint="eastAsia" w:ascii="仿宋_GB2312" w:hAnsi="sans-serif" w:eastAsia="仿宋_GB2312" w:cs="仿宋_GB2312"/>
          <w:color w:val="auto"/>
          <w:sz w:val="32"/>
          <w:szCs w:val="32"/>
          <w:shd w:val="clear" w:color="auto" w:fill="FFFFFF"/>
          <w:lang w:val="en-US" w:eastAsia="zh-CN"/>
        </w:rPr>
        <w:t>709条</w:t>
      </w:r>
      <w:r>
        <w:rPr>
          <w:rFonts w:hint="eastAsia" w:ascii="仿宋_GB2312" w:hAnsi="sans-serif" w:eastAsia="仿宋_GB2312" w:cs="仿宋_GB2312"/>
          <w:color w:val="auto"/>
          <w:sz w:val="32"/>
          <w:szCs w:val="32"/>
          <w:shd w:val="clear" w:color="auto" w:fill="FFFFFF"/>
        </w:rPr>
        <w:t>、微信微博</w:t>
      </w:r>
      <w:r>
        <w:rPr>
          <w:rFonts w:hint="eastAsia" w:ascii="仿宋_GB2312" w:hAnsi="sans-serif" w:eastAsia="仿宋_GB2312" w:cs="仿宋_GB2312"/>
          <w:color w:val="auto"/>
          <w:sz w:val="32"/>
          <w:szCs w:val="32"/>
          <w:shd w:val="clear" w:color="auto" w:fill="FFFFFF"/>
          <w:lang w:val="en-US" w:eastAsia="zh-CN"/>
        </w:rPr>
        <w:t>发布信息489条</w:t>
      </w:r>
      <w:r>
        <w:rPr>
          <w:rFonts w:hint="eastAsia" w:ascii="仿宋_GB2312" w:hAnsi="sans-serif" w:eastAsia="仿宋_GB2312" w:cs="仿宋_GB2312"/>
          <w:color w:val="auto"/>
          <w:sz w:val="32"/>
          <w:szCs w:val="32"/>
          <w:shd w:val="clear" w:color="auto" w:fill="FFFFFF"/>
        </w:rPr>
        <w:t>，中央</w:t>
      </w:r>
      <w:r>
        <w:rPr>
          <w:rFonts w:hint="eastAsia" w:ascii="仿宋_GB2312" w:hAnsi="sans-serif" w:eastAsia="仿宋_GB2312" w:cs="仿宋_GB2312"/>
          <w:color w:val="auto"/>
          <w:sz w:val="32"/>
          <w:szCs w:val="32"/>
          <w:shd w:val="clear" w:color="auto" w:fill="FFFFFF"/>
          <w:lang w:val="en-US" w:eastAsia="zh-CN"/>
        </w:rPr>
        <w:t>及</w:t>
      </w:r>
      <w:r>
        <w:rPr>
          <w:rFonts w:hint="eastAsia" w:ascii="仿宋_GB2312" w:hAnsi="sans-serif" w:eastAsia="仿宋_GB2312" w:cs="仿宋_GB2312"/>
          <w:color w:val="auto"/>
          <w:sz w:val="32"/>
          <w:szCs w:val="32"/>
          <w:shd w:val="clear" w:color="auto" w:fill="FFFFFF"/>
        </w:rPr>
        <w:t>省级主流媒体刊发</w:t>
      </w:r>
      <w:r>
        <w:rPr>
          <w:rFonts w:hint="eastAsia" w:ascii="仿宋_GB2312" w:hAnsi="sans-serif" w:eastAsia="仿宋_GB2312" w:cs="仿宋_GB2312"/>
          <w:color w:val="auto"/>
          <w:sz w:val="32"/>
          <w:szCs w:val="32"/>
          <w:shd w:val="clear" w:color="auto" w:fill="FFFFFF"/>
          <w:lang w:val="en-US" w:eastAsia="zh-CN"/>
        </w:rPr>
        <w:t>文章150</w:t>
      </w:r>
      <w:r>
        <w:rPr>
          <w:rFonts w:hint="eastAsia" w:ascii="仿宋_GB2312" w:hAnsi="sans-serif" w:eastAsia="仿宋_GB2312" w:cs="仿宋_GB2312"/>
          <w:color w:val="auto"/>
          <w:sz w:val="32"/>
          <w:szCs w:val="32"/>
          <w:shd w:val="clear" w:color="auto" w:fill="FFFFFF"/>
        </w:rPr>
        <w:t>余篇</w:t>
      </w:r>
      <w:r>
        <w:rPr>
          <w:rFonts w:hint="eastAsia" w:ascii="仿宋_GB2312" w:hAnsi="sans-serif" w:eastAsia="仿宋_GB2312" w:cs="仿宋_GB2312"/>
          <w:color w:val="auto"/>
          <w:sz w:val="32"/>
          <w:szCs w:val="32"/>
          <w:shd w:val="clear" w:color="auto" w:fill="FFFFFF"/>
          <w:lang w:eastAsia="zh-CN"/>
        </w:rPr>
        <w:t>，</w:t>
      </w:r>
      <w:r>
        <w:rPr>
          <w:rFonts w:hint="eastAsia" w:ascii="仿宋_GB2312" w:hAnsi="方正小标宋简体" w:eastAsia="仿宋_GB2312" w:cs="Times New Roman"/>
          <w:color w:val="auto"/>
          <w:sz w:val="32"/>
          <w:szCs w:val="32"/>
          <w:lang w:val="en-US" w:eastAsia="zh-CN" w:bidi="ar-SA"/>
        </w:rPr>
        <w:t>答复局长信箱37件、互动问答87件</w:t>
      </w:r>
      <w:r>
        <w:rPr>
          <w:rFonts w:hint="eastAsia" w:ascii="仿宋_GB2312" w:hAnsi="sans-serif"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认真抓好依申请公开</w:t>
      </w:r>
      <w:r>
        <w:rPr>
          <w:rFonts w:hint="eastAsia" w:ascii="楷体_GB2312" w:hAnsi="楷体_GB2312" w:eastAsia="楷体_GB2312" w:cs="楷体_GB2312"/>
          <w:color w:val="auto"/>
          <w:sz w:val="32"/>
          <w:szCs w:val="32"/>
        </w:rPr>
        <w:t>。</w:t>
      </w:r>
      <w:r>
        <w:rPr>
          <w:rFonts w:hint="eastAsia" w:ascii="仿宋_GB2312" w:hAnsi="sans-serif" w:eastAsia="仿宋_GB2312" w:cs="仿宋_GB2312"/>
          <w:color w:val="auto"/>
          <w:sz w:val="32"/>
          <w:szCs w:val="32"/>
          <w:shd w:val="clear" w:color="auto" w:fill="FFFFFF"/>
          <w:lang w:val="en-US" w:eastAsia="zh-CN"/>
        </w:rPr>
        <w:t>严格落实政府信息依申请公开制度，加强网络申请办理，认真做好沟通反馈，切实</w:t>
      </w:r>
      <w:r>
        <w:rPr>
          <w:rFonts w:hint="eastAsia" w:ascii="仿宋_GB2312" w:hAnsi="sans-serif" w:eastAsia="仿宋_GB2312" w:cs="仿宋_GB2312"/>
          <w:color w:val="auto"/>
          <w:sz w:val="32"/>
          <w:szCs w:val="32"/>
          <w:shd w:val="clear" w:color="auto" w:fill="FFFFFF"/>
        </w:rPr>
        <w:t>提高服务水平</w:t>
      </w:r>
      <w:r>
        <w:rPr>
          <w:rFonts w:hint="eastAsia" w:ascii="仿宋_GB2312" w:hAnsi="sans-serif" w:eastAsia="仿宋_GB2312" w:cs="仿宋_GB2312"/>
          <w:color w:val="auto"/>
          <w:sz w:val="32"/>
          <w:szCs w:val="32"/>
          <w:shd w:val="clear" w:color="auto" w:fill="FFFFFF"/>
          <w:lang w:eastAsia="zh-CN"/>
        </w:rPr>
        <w:t>。</w:t>
      </w:r>
      <w:r>
        <w:rPr>
          <w:rFonts w:hint="eastAsia" w:ascii="仿宋_GB2312" w:hAnsi="sans-serif" w:eastAsia="仿宋_GB2312" w:cs="仿宋_GB2312"/>
          <w:color w:val="auto"/>
          <w:sz w:val="32"/>
          <w:szCs w:val="32"/>
          <w:shd w:val="clear" w:color="auto" w:fill="FFFFFF"/>
          <w:lang w:val="en-US" w:eastAsia="zh-CN"/>
        </w:rPr>
        <w:t>全年</w:t>
      </w:r>
      <w:r>
        <w:rPr>
          <w:rFonts w:hint="eastAsia" w:ascii="仿宋_GB2312" w:hAnsi="sans-serif" w:eastAsia="仿宋_GB2312" w:cs="仿宋_GB2312"/>
          <w:color w:val="auto"/>
          <w:sz w:val="32"/>
          <w:szCs w:val="32"/>
          <w:shd w:val="clear" w:color="auto" w:fill="FFFFFF"/>
        </w:rPr>
        <w:t>共受理政府信息公开申请</w:t>
      </w:r>
      <w:r>
        <w:rPr>
          <w:rFonts w:hint="eastAsia" w:ascii="仿宋_GB2312" w:hAnsi="sans-serif" w:eastAsia="仿宋_GB2312" w:cs="仿宋_GB2312"/>
          <w:color w:val="auto"/>
          <w:sz w:val="32"/>
          <w:szCs w:val="32"/>
          <w:shd w:val="clear" w:color="auto" w:fill="FFFFFF"/>
          <w:lang w:val="en-US" w:eastAsia="zh-CN"/>
        </w:rPr>
        <w:t>15</w:t>
      </w:r>
      <w:r>
        <w:rPr>
          <w:rFonts w:hint="eastAsia" w:ascii="仿宋_GB2312" w:hAnsi="sans-serif" w:eastAsia="仿宋_GB2312" w:cs="仿宋_GB2312"/>
          <w:color w:val="auto"/>
          <w:sz w:val="32"/>
          <w:szCs w:val="32"/>
          <w:shd w:val="clear" w:color="auto" w:fill="FFFFFF"/>
        </w:rPr>
        <w:t>件</w:t>
      </w:r>
      <w:r>
        <w:rPr>
          <w:rFonts w:hint="eastAsia" w:ascii="仿宋_GB2312" w:hAnsi="sans-serif" w:eastAsia="仿宋_GB2312" w:cs="仿宋_GB2312"/>
          <w:color w:val="auto"/>
          <w:sz w:val="32"/>
          <w:szCs w:val="32"/>
          <w:shd w:val="clear" w:color="auto" w:fill="FFFFFF"/>
          <w:lang w:eastAsia="zh-CN"/>
        </w:rPr>
        <w:t>、</w:t>
      </w:r>
      <w:r>
        <w:rPr>
          <w:rFonts w:hint="eastAsia" w:ascii="仿宋_GB2312" w:hAnsi="sans-serif" w:eastAsia="仿宋_GB2312" w:cs="仿宋_GB2312"/>
          <w:color w:val="auto"/>
          <w:sz w:val="32"/>
          <w:szCs w:val="32"/>
          <w:shd w:val="clear" w:color="auto" w:fill="FFFFFF"/>
          <w:lang w:val="en-US" w:eastAsia="zh-CN"/>
        </w:rPr>
        <w:t>协助办理4件</w:t>
      </w:r>
      <w:r>
        <w:rPr>
          <w:rFonts w:hint="eastAsia" w:ascii="仿宋_GB2312" w:hAnsi="sans-serif"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lang w:val="en-US" w:eastAsia="zh-CN"/>
        </w:rPr>
        <w:t>均无</w:t>
      </w:r>
      <w:r>
        <w:rPr>
          <w:rFonts w:hint="eastAsia" w:ascii="仿宋_GB2312" w:eastAsia="仿宋_GB2312"/>
          <w:color w:val="auto"/>
          <w:sz w:val="32"/>
          <w:szCs w:val="32"/>
          <w:highlight w:val="none"/>
        </w:rPr>
        <w:t>行政复议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诉讼案件。</w:t>
      </w:r>
    </w:p>
    <w:p>
      <w:pPr>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巩固深化信息</w:t>
      </w:r>
      <w:r>
        <w:rPr>
          <w:rFonts w:hint="eastAsia" w:ascii="楷体_GB2312" w:hAnsi="楷体_GB2312" w:eastAsia="楷体_GB2312" w:cs="楷体_GB2312"/>
          <w:color w:val="auto"/>
          <w:sz w:val="32"/>
          <w:szCs w:val="32"/>
        </w:rPr>
        <w:t>管理。</w:t>
      </w:r>
      <w:r>
        <w:rPr>
          <w:rFonts w:hint="eastAsia" w:ascii="仿宋_GB2312" w:hAnsi="sans-serif" w:eastAsia="仿宋_GB2312" w:cs="仿宋_GB2312"/>
          <w:color w:val="auto"/>
          <w:sz w:val="32"/>
          <w:szCs w:val="32"/>
          <w:highlight w:val="none"/>
          <w:shd w:val="clear" w:color="auto" w:fill="FFFFFF"/>
        </w:rPr>
        <w:t>系统梳理、规范公开现行有效</w:t>
      </w:r>
      <w:r>
        <w:rPr>
          <w:rFonts w:hint="eastAsia" w:ascii="仿宋_GB2312" w:hAnsi="sans-serif" w:eastAsia="仿宋_GB2312" w:cs="仿宋_GB2312"/>
          <w:color w:val="auto"/>
          <w:sz w:val="32"/>
          <w:szCs w:val="32"/>
          <w:highlight w:val="none"/>
          <w:shd w:val="clear" w:color="auto" w:fill="FFFFFF"/>
          <w:lang w:val="en-US" w:eastAsia="zh-CN"/>
        </w:rPr>
        <w:t>规范性文件6条，创新“行政规范性文件”专栏，实现省政府网站政策文件库与局门户网站法定主动公开栏目、规范性文件专栏同步</w:t>
      </w:r>
      <w:r>
        <w:rPr>
          <w:rFonts w:hint="eastAsia" w:ascii="仿宋_GB2312" w:hAnsi="仿宋_GB2312" w:eastAsia="仿宋_GB2312" w:cs="仿宋_GB2312"/>
          <w:color w:val="auto"/>
          <w:sz w:val="32"/>
          <w:szCs w:val="32"/>
          <w:lang w:val="en-US" w:eastAsia="zh-CN"/>
        </w:rPr>
        <w:t>管理、同质同源。建立“行政执法公示”专栏，涵盖执法人员、职责依据、程序信息、行政许可结果、行政处罚结果、行政检查结果等内容，做到专题专栏与信息发布配套。</w:t>
      </w:r>
    </w:p>
    <w:p>
      <w:pPr>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w:t>
      </w:r>
      <w:r>
        <w:rPr>
          <w:rFonts w:hint="eastAsia" w:ascii="楷体_GB2312" w:hAnsi="楷体_GB2312" w:eastAsia="楷体_GB2312" w:cs="楷体_GB2312"/>
          <w:color w:val="auto"/>
          <w:sz w:val="32"/>
          <w:szCs w:val="32"/>
          <w:lang w:val="en-US" w:eastAsia="zh-CN"/>
        </w:rPr>
        <w:t>持续优化</w:t>
      </w:r>
      <w:r>
        <w:rPr>
          <w:rFonts w:hint="eastAsia" w:ascii="楷体_GB2312" w:hAnsi="楷体_GB2312" w:eastAsia="楷体_GB2312" w:cs="楷体_GB2312"/>
          <w:color w:val="auto"/>
          <w:sz w:val="32"/>
          <w:szCs w:val="32"/>
          <w:highlight w:val="none"/>
        </w:rPr>
        <w:t>平台建设</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val="en-US" w:eastAsia="zh-CN"/>
        </w:rPr>
        <w:t>强化局门户网站、微信公众号、政务微博管理，优化门户网站政务公开栏目，动态更新平台信息，及时转发时政要闻，转载率100%。常态化</w:t>
      </w:r>
      <w:r>
        <w:rPr>
          <w:rFonts w:hint="default" w:ascii="仿宋_GB2312" w:hAnsi="仿宋_GB2312" w:eastAsia="仿宋_GB2312" w:cs="仿宋_GB2312"/>
          <w:color w:val="auto"/>
          <w:sz w:val="32"/>
          <w:szCs w:val="32"/>
          <w:lang w:val="en-US" w:eastAsia="zh-CN"/>
        </w:rPr>
        <w:t>抓好政府网站</w:t>
      </w:r>
      <w:r>
        <w:rPr>
          <w:rFonts w:hint="eastAsia" w:ascii="仿宋_GB2312" w:hAnsi="仿宋_GB2312" w:eastAsia="仿宋_GB2312" w:cs="仿宋_GB2312"/>
          <w:color w:val="auto"/>
          <w:sz w:val="32"/>
          <w:szCs w:val="32"/>
          <w:lang w:val="en-US" w:eastAsia="zh-CN"/>
        </w:rPr>
        <w:t>和政务</w:t>
      </w:r>
      <w:r>
        <w:rPr>
          <w:rFonts w:hint="default" w:ascii="仿宋_GB2312" w:hAnsi="仿宋_GB2312" w:eastAsia="仿宋_GB2312" w:cs="仿宋_GB2312"/>
          <w:color w:val="auto"/>
          <w:sz w:val="32"/>
          <w:szCs w:val="32"/>
          <w:lang w:val="en-US" w:eastAsia="zh-CN"/>
        </w:rPr>
        <w:t>新媒体</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b w:val="0"/>
          <w:bCs w:val="0"/>
          <w:color w:val="auto"/>
          <w:sz w:val="32"/>
          <w:szCs w:val="32"/>
          <w:highlight w:val="none"/>
          <w:lang w:val="en-US" w:eastAsia="zh-CN"/>
        </w:rPr>
        <w:t>4次</w:t>
      </w:r>
      <w:r>
        <w:rPr>
          <w:rFonts w:hint="eastAsia" w:ascii="仿宋_GB2312" w:hAnsi="仿宋_GB2312" w:eastAsia="仿宋_GB2312" w:cs="仿宋_GB2312"/>
          <w:b w:val="0"/>
          <w:bCs w:val="0"/>
          <w:color w:val="auto"/>
          <w:sz w:val="32"/>
          <w:szCs w:val="32"/>
          <w:lang w:val="en-US" w:eastAsia="zh-CN"/>
        </w:rPr>
        <w:t>开展安全监测扫描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
        </w:rPr>
        <w:t>及时整改错敏信息、暗链外链、失效链接等问题</w:t>
      </w:r>
      <w:r>
        <w:rPr>
          <w:rFonts w:hint="eastAsia" w:ascii="仿宋_GB2312" w:hAnsi="仿宋_GB2312" w:eastAsia="仿宋_GB2312" w:cs="仿宋_GB2312"/>
          <w:color w:val="auto"/>
          <w:sz w:val="32"/>
          <w:szCs w:val="32"/>
          <w:lang w:val="en-US" w:eastAsia="zh-CN"/>
        </w:rPr>
        <w:t>。第二、三季度网站和政务新媒体工作，被省政府办公厅通报表扬。</w:t>
      </w:r>
    </w:p>
    <w:p>
      <w:pPr>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（五）</w:t>
      </w:r>
      <w:r>
        <w:rPr>
          <w:rFonts w:hint="eastAsia" w:ascii="楷体_GB2312" w:hAnsi="楷体_GB2312" w:eastAsia="楷体_GB2312" w:cs="楷体_GB2312"/>
          <w:color w:val="auto"/>
          <w:sz w:val="32"/>
          <w:szCs w:val="32"/>
          <w:lang w:val="en-US" w:eastAsia="zh-CN"/>
        </w:rPr>
        <w:t>全面加强监督保障</w:t>
      </w:r>
      <w:r>
        <w:rPr>
          <w:rFonts w:hint="eastAsia" w:ascii="楷体_GB2312" w:hAnsi="楷体_GB2312" w:eastAsia="楷体_GB2312" w:cs="楷体_GB2312"/>
          <w:color w:val="auto"/>
          <w:sz w:val="32"/>
          <w:szCs w:val="32"/>
        </w:rPr>
        <w:t>。</w:t>
      </w:r>
      <w:r>
        <w:rPr>
          <w:rFonts w:hint="eastAsia" w:ascii="仿宋_GB2312" w:hAnsi="方正小标宋简体" w:eastAsia="仿宋_GB2312"/>
          <w:color w:val="auto"/>
          <w:sz w:val="32"/>
          <w:szCs w:val="21"/>
          <w:lang w:val="en-US" w:eastAsia="zh-CN"/>
        </w:rPr>
        <w:t>制定《山东省能源局政府信息公开管理办法》《山东省能源局新闻宣传工作实施办法》《山东省能源局新闻发布管理制度》，印发《</w:t>
      </w:r>
      <w:r>
        <w:rPr>
          <w:rFonts w:hint="eastAsia" w:ascii="仿宋_GB2312" w:hAnsi="仿宋_GB2312" w:eastAsia="仿宋_GB2312" w:cs="仿宋_GB2312"/>
          <w:color w:val="auto"/>
          <w:sz w:val="32"/>
          <w:szCs w:val="32"/>
          <w:lang w:val="en-US" w:eastAsia="zh-CN"/>
        </w:rPr>
        <w:t>2023年山东省能源局政务公开工作要点任务分解表》，</w:t>
      </w:r>
      <w:r>
        <w:rPr>
          <w:rFonts w:hint="eastAsia" w:ascii="仿宋_GB2312" w:hAnsi="方正小标宋简体" w:eastAsia="仿宋_GB2312"/>
          <w:color w:val="auto"/>
          <w:sz w:val="32"/>
          <w:szCs w:val="21"/>
          <w:lang w:val="en-US" w:eastAsia="zh-CN"/>
        </w:rPr>
        <w:t>开展政务公开专题培训，全面提升政务公开能力水平。</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二、行政机关主动公开政府信息的情况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6</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167</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3</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宋体" w:eastAsia="仿宋_GB2312" w:cs="宋体"/>
                <w:color w:val="000000"/>
                <w:kern w:val="0"/>
                <w:szCs w:val="21"/>
                <w:lang w:val="en-US" w:eastAsia="zh-CN"/>
              </w:rPr>
              <w:t>19</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404</w:t>
            </w:r>
          </w:p>
        </w:tc>
      </w:tr>
    </w:tbl>
    <w:p>
      <w:pPr>
        <w:numPr>
          <w:ilvl w:val="0"/>
          <w:numId w:val="1"/>
        </w:numPr>
        <w:spacing w:line="600" w:lineRule="exact"/>
        <w:rPr>
          <w:rFonts w:hint="eastAsia" w:ascii="黑体" w:hAnsi="黑体" w:eastAsia="黑体" w:cs="黑体"/>
          <w:sz w:val="32"/>
          <w:szCs w:val="32"/>
        </w:rPr>
      </w:pPr>
      <w:r>
        <w:rPr>
          <w:rFonts w:hint="eastAsia" w:ascii="黑体" w:hAnsi="黑体" w:eastAsia="黑体" w:cs="黑体"/>
          <w:sz w:val="32"/>
          <w:szCs w:val="32"/>
        </w:rPr>
        <w:t>行政机关收到和处理政府信息公开申请的情况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16</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5</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1"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9</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7</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7</w:t>
            </w:r>
          </w:p>
        </w:tc>
      </w:tr>
    </w:tbl>
    <w:p>
      <w:pPr>
        <w:spacing w:line="600" w:lineRule="exact"/>
        <w:rPr>
          <w:rFonts w:ascii="黑体" w:hAnsi="黑体" w:eastAsia="黑体" w:cs="黑体"/>
          <w:sz w:val="32"/>
          <w:szCs w:val="32"/>
        </w:rPr>
      </w:pPr>
      <w:r>
        <w:rPr>
          <w:rFonts w:hint="eastAsia" w:ascii="黑体" w:hAnsi="黑体" w:eastAsia="黑体" w:cs="黑体"/>
          <w:sz w:val="32"/>
          <w:szCs w:val="32"/>
        </w:rPr>
        <w:t>四、因政府信息公开工作被申请行政复议、提起行政诉讼的情况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rPr>
              <w:t>0</w:t>
            </w:r>
          </w:p>
        </w:tc>
      </w:tr>
    </w:tbl>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五、政府信息公开工作存在的主要问题及改进情况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sans-serif" w:eastAsia="仿宋_GB2312" w:cs="仿宋_GB2312"/>
          <w:color w:val="auto"/>
          <w:sz w:val="32"/>
          <w:szCs w:val="32"/>
          <w:shd w:val="clear" w:color="auto" w:fill="FFFFFF"/>
          <w:lang w:val="en-US" w:eastAsia="zh-CN"/>
        </w:rPr>
        <w:t>根据</w:t>
      </w:r>
      <w:r>
        <w:rPr>
          <w:rFonts w:hint="eastAsia" w:ascii="仿宋_GB2312" w:hAnsi="sans-serif" w:eastAsia="仿宋_GB2312" w:cs="仿宋_GB2312"/>
          <w:color w:val="auto"/>
          <w:sz w:val="32"/>
          <w:szCs w:val="32"/>
          <w:shd w:val="clear" w:color="auto" w:fill="FFFFFF"/>
          <w:lang w:eastAsia="zh-CN"/>
        </w:rPr>
        <w:t>202</w:t>
      </w:r>
      <w:r>
        <w:rPr>
          <w:rFonts w:hint="eastAsia" w:ascii="仿宋_GB2312" w:hAnsi="sans-serif" w:eastAsia="仿宋_GB2312" w:cs="仿宋_GB2312"/>
          <w:color w:val="auto"/>
          <w:sz w:val="32"/>
          <w:szCs w:val="32"/>
          <w:shd w:val="clear" w:color="auto" w:fill="FFFFFF"/>
          <w:lang w:val="en-US" w:eastAsia="zh-CN"/>
        </w:rPr>
        <w:t>2</w:t>
      </w:r>
      <w:r>
        <w:rPr>
          <w:rFonts w:hint="eastAsia" w:ascii="仿宋_GB2312" w:hAnsi="sans-serif" w:eastAsia="仿宋_GB2312" w:cs="仿宋_GB2312"/>
          <w:color w:val="auto"/>
          <w:sz w:val="32"/>
          <w:szCs w:val="32"/>
          <w:shd w:val="clear" w:color="auto" w:fill="FFFFFF"/>
          <w:lang w:eastAsia="zh-CN"/>
        </w:rPr>
        <w:t>年度政务公开评估考核、202</w:t>
      </w:r>
      <w:r>
        <w:rPr>
          <w:rFonts w:hint="eastAsia" w:ascii="仿宋_GB2312" w:hAnsi="sans-serif" w:eastAsia="仿宋_GB2312" w:cs="仿宋_GB2312"/>
          <w:color w:val="auto"/>
          <w:sz w:val="32"/>
          <w:szCs w:val="32"/>
          <w:shd w:val="clear" w:color="auto" w:fill="FFFFFF"/>
          <w:lang w:val="en-US" w:eastAsia="zh-CN"/>
        </w:rPr>
        <w:t>3</w:t>
      </w:r>
      <w:r>
        <w:rPr>
          <w:rFonts w:hint="eastAsia" w:ascii="仿宋_GB2312" w:hAnsi="sans-serif" w:eastAsia="仿宋_GB2312" w:cs="仿宋_GB2312"/>
          <w:color w:val="auto"/>
          <w:sz w:val="32"/>
          <w:szCs w:val="32"/>
          <w:shd w:val="clear" w:color="auto" w:fill="FFFFFF"/>
          <w:lang w:eastAsia="zh-CN"/>
        </w:rPr>
        <w:t>年政务公开季度评估反馈</w:t>
      </w:r>
      <w:r>
        <w:rPr>
          <w:rFonts w:hint="eastAsia" w:ascii="仿宋_GB2312" w:hAnsi="sans-serif" w:eastAsia="仿宋_GB2312" w:cs="仿宋_GB2312"/>
          <w:color w:val="auto"/>
          <w:sz w:val="32"/>
          <w:szCs w:val="32"/>
          <w:shd w:val="clear" w:color="auto" w:fill="FFFFFF"/>
          <w:lang w:val="en-US" w:eastAsia="zh-CN"/>
        </w:rPr>
        <w:t>意见</w:t>
      </w:r>
      <w:r>
        <w:rPr>
          <w:rFonts w:hint="eastAsia" w:ascii="仿宋_GB2312" w:hAnsi="sans-serif" w:eastAsia="仿宋_GB2312" w:cs="仿宋_GB2312"/>
          <w:color w:val="auto"/>
          <w:sz w:val="32"/>
          <w:szCs w:val="32"/>
          <w:shd w:val="clear" w:color="auto" w:fill="FFFFFF"/>
          <w:lang w:eastAsia="zh-CN"/>
        </w:rPr>
        <w:t>，坚持问题导向，</w:t>
      </w:r>
      <w:r>
        <w:rPr>
          <w:rFonts w:hint="eastAsia" w:ascii="仿宋_GB2312" w:hAnsi="sans-serif" w:eastAsia="仿宋_GB2312" w:cs="仿宋_GB2312"/>
          <w:color w:val="auto"/>
          <w:sz w:val="32"/>
          <w:szCs w:val="32"/>
          <w:shd w:val="clear" w:color="auto" w:fill="FFFFFF"/>
          <w:lang w:val="en-US" w:eastAsia="zh-CN"/>
        </w:rPr>
        <w:t>着力补</w:t>
      </w:r>
      <w:r>
        <w:rPr>
          <w:rFonts w:hint="eastAsia" w:ascii="仿宋_GB2312" w:hAnsi="sans-serif" w:eastAsia="仿宋_GB2312" w:cs="仿宋_GB2312"/>
          <w:color w:val="auto"/>
          <w:sz w:val="32"/>
          <w:szCs w:val="32"/>
          <w:shd w:val="clear" w:color="auto" w:fill="FFFFFF"/>
          <w:lang w:eastAsia="zh-CN"/>
        </w:rPr>
        <w:t>短板、</w:t>
      </w:r>
      <w:r>
        <w:rPr>
          <w:rFonts w:hint="eastAsia" w:ascii="仿宋_GB2312" w:hAnsi="sans-serif" w:eastAsia="仿宋_GB2312" w:cs="仿宋_GB2312"/>
          <w:color w:val="auto"/>
          <w:sz w:val="32"/>
          <w:szCs w:val="32"/>
          <w:shd w:val="clear" w:color="auto" w:fill="FFFFFF"/>
          <w:lang w:val="en-US" w:eastAsia="zh-CN"/>
        </w:rPr>
        <w:t>强</w:t>
      </w:r>
      <w:r>
        <w:rPr>
          <w:rFonts w:hint="eastAsia" w:ascii="仿宋_GB2312" w:hAnsi="sans-serif" w:eastAsia="仿宋_GB2312" w:cs="仿宋_GB2312"/>
          <w:color w:val="auto"/>
          <w:sz w:val="32"/>
          <w:szCs w:val="32"/>
          <w:shd w:val="clear" w:color="auto" w:fill="FFFFFF"/>
          <w:lang w:eastAsia="zh-CN"/>
        </w:rPr>
        <w:t>弱项，</w:t>
      </w:r>
      <w:r>
        <w:rPr>
          <w:rFonts w:hint="eastAsia" w:ascii="仿宋_GB2312" w:hAnsi="sans-serif" w:eastAsia="仿宋_GB2312" w:cs="仿宋_GB2312"/>
          <w:color w:val="auto"/>
          <w:sz w:val="32"/>
          <w:szCs w:val="32"/>
          <w:shd w:val="clear" w:color="auto" w:fill="FFFFFF"/>
          <w:lang w:val="en-US" w:eastAsia="zh-CN"/>
        </w:rPr>
        <w:t>努力在加强和改进政务公开工作上取得新成效</w:t>
      </w:r>
      <w:r>
        <w:rPr>
          <w:rFonts w:hint="eastAsia" w:ascii="仿宋_GB2312" w:hAnsi="sans-serif" w:eastAsia="仿宋_GB2312" w:cs="仿宋_GB2312"/>
          <w:color w:val="auto"/>
          <w:sz w:val="32"/>
          <w:szCs w:val="32"/>
          <w:shd w:val="clear" w:color="auto" w:fill="FFFFFF"/>
          <w:lang w:eastAsia="zh-CN"/>
        </w:rPr>
        <w:t>。</w:t>
      </w:r>
      <w:r>
        <w:rPr>
          <w:rFonts w:hint="eastAsia" w:ascii="仿宋_GB2312" w:hAnsi="sans-serif" w:eastAsia="仿宋_GB2312" w:cs="仿宋_GB2312"/>
          <w:color w:val="auto"/>
          <w:sz w:val="32"/>
          <w:szCs w:val="32"/>
          <w:shd w:val="clear" w:color="auto" w:fill="FFFFFF"/>
          <w:lang w:val="en-US" w:eastAsia="zh-CN"/>
        </w:rPr>
        <w:t>一是严格落实公文公开属性源头认定制度和政策解读“三同步”制度。二是图文并茂多样化解读能源领域政策文件，让政策更通俗易懂，更接地气贴民心，更能满足各类群体需要</w:t>
      </w:r>
      <w:r>
        <w:rPr>
          <w:rFonts w:hint="eastAsia" w:ascii="仿宋_GB2312" w:hAnsi="仿宋_GB2312" w:eastAsia="仿宋_GB2312" w:cs="仿宋_GB2312"/>
          <w:color w:val="auto"/>
          <w:sz w:val="32"/>
          <w:szCs w:val="32"/>
          <w:lang w:val="en-US" w:eastAsia="zh-CN"/>
        </w:rPr>
        <w:t>。三是调整页面栏目设置，增加“</w:t>
      </w:r>
      <w:r>
        <w:rPr>
          <w:rFonts w:hint="eastAsia" w:ascii="仿宋_GB2312" w:hAnsi="sans-serif" w:eastAsia="仿宋_GB2312" w:cs="仿宋_GB2312"/>
          <w:color w:val="auto"/>
          <w:sz w:val="32"/>
          <w:szCs w:val="32"/>
          <w:highlight w:val="none"/>
          <w:shd w:val="clear" w:color="auto" w:fill="FFFFFF"/>
          <w:lang w:val="en-US" w:eastAsia="zh-CN"/>
        </w:rPr>
        <w:t>行政规范性文件”</w:t>
      </w:r>
      <w:r>
        <w:rPr>
          <w:rFonts w:hint="eastAsia" w:ascii="仿宋_GB2312" w:hAnsi="仿宋_GB2312" w:eastAsia="仿宋_GB2312" w:cs="仿宋_GB2312"/>
          <w:color w:val="auto"/>
          <w:sz w:val="32"/>
          <w:szCs w:val="32"/>
          <w:lang w:val="en-US" w:eastAsia="zh-CN"/>
        </w:rPr>
        <w:t>“行政执法公示”</w:t>
      </w:r>
      <w:r>
        <w:rPr>
          <w:rFonts w:hint="eastAsia" w:ascii="仿宋_GB2312" w:hAnsi="sans-serif" w:eastAsia="仿宋_GB2312" w:cs="仿宋_GB2312"/>
          <w:color w:val="auto"/>
          <w:sz w:val="32"/>
          <w:szCs w:val="32"/>
          <w:highlight w:val="none"/>
          <w:shd w:val="clear" w:color="auto" w:fill="FFFFFF"/>
          <w:lang w:val="en-US" w:eastAsia="zh-CN"/>
        </w:rPr>
        <w:t>专栏。</w:t>
      </w:r>
      <w:r>
        <w:rPr>
          <w:rFonts w:hint="eastAsia" w:ascii="仿宋_GB2312" w:hAnsi="仿宋_GB2312" w:eastAsia="仿宋_GB2312" w:cs="仿宋_GB2312"/>
          <w:color w:val="auto"/>
          <w:sz w:val="32"/>
          <w:szCs w:val="32"/>
          <w:lang w:val="en-US" w:eastAsia="zh-CN"/>
        </w:rPr>
        <w:t>四是加大会议公开力度，全年公开会议15次。</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22"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对照考核评估指标</w:t>
      </w:r>
      <w:r>
        <w:rPr>
          <w:rFonts w:hint="eastAsia" w:ascii="仿宋_GB2312" w:hAnsi="仿宋_GB2312" w:eastAsia="仿宋_GB2312" w:cs="仿宋_GB2312"/>
          <w:color w:val="auto"/>
          <w:sz w:val="32"/>
          <w:szCs w:val="32"/>
          <w:lang w:val="en-US" w:eastAsia="zh-CN"/>
        </w:rPr>
        <w:t>体系，政府信息公开工作仍</w:t>
      </w:r>
      <w:r>
        <w:rPr>
          <w:rFonts w:hint="default" w:ascii="仿宋_GB2312" w:hAnsi="仿宋_GB2312" w:eastAsia="仿宋_GB2312" w:cs="仿宋_GB2312"/>
          <w:color w:val="auto"/>
          <w:sz w:val="32"/>
          <w:szCs w:val="32"/>
          <w:lang w:val="en-US" w:eastAsia="zh-CN"/>
        </w:rPr>
        <w:t>存在不足。比如，专家、媒体、利益相关方等列席会议的制度</w:t>
      </w:r>
      <w:r>
        <w:rPr>
          <w:rFonts w:hint="eastAsia" w:ascii="仿宋_GB2312" w:hAnsi="仿宋_GB2312" w:eastAsia="仿宋_GB2312" w:cs="仿宋_GB2312"/>
          <w:color w:val="auto"/>
          <w:sz w:val="32"/>
          <w:szCs w:val="32"/>
          <w:lang w:val="en-US" w:eastAsia="zh-CN"/>
        </w:rPr>
        <w:t>还需进一步</w:t>
      </w:r>
      <w:r>
        <w:rPr>
          <w:rFonts w:hint="default" w:ascii="仿宋_GB2312" w:hAnsi="仿宋_GB2312" w:eastAsia="仿宋_GB2312" w:cs="仿宋_GB2312"/>
          <w:color w:val="auto"/>
          <w:sz w:val="32"/>
          <w:szCs w:val="32"/>
          <w:lang w:val="en-US" w:eastAsia="zh-CN"/>
        </w:rPr>
        <w:t>完善，政策解读深度</w:t>
      </w:r>
      <w:r>
        <w:rPr>
          <w:rFonts w:hint="eastAsia" w:ascii="仿宋_GB2312" w:hAnsi="仿宋_GB2312" w:eastAsia="仿宋_GB2312" w:cs="仿宋_GB2312"/>
          <w:color w:val="auto"/>
          <w:sz w:val="32"/>
          <w:szCs w:val="32"/>
          <w:lang w:val="en-US" w:eastAsia="zh-CN"/>
        </w:rPr>
        <w:t>还有待提升</w:t>
      </w:r>
      <w:r>
        <w:rPr>
          <w:rFonts w:hint="default" w:ascii="仿宋_GB2312" w:hAnsi="仿宋_GB2312" w:eastAsia="仿宋_GB2312" w:cs="仿宋_GB2312"/>
          <w:color w:val="auto"/>
          <w:sz w:val="32"/>
          <w:szCs w:val="32"/>
          <w:lang w:val="en-US" w:eastAsia="zh-CN"/>
        </w:rPr>
        <w:t>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22" w:firstLineChars="200"/>
        <w:jc w:val="both"/>
        <w:textAlignment w:val="auto"/>
        <w:rPr>
          <w:rFonts w:hint="default" w:ascii="仿宋_GB2312" w:hAnsi="sans-serif" w:eastAsia="仿宋_GB2312" w:cs="仿宋_GB2312"/>
          <w:color w:val="auto"/>
          <w:sz w:val="32"/>
          <w:szCs w:val="32"/>
          <w:shd w:val="clear" w:color="auto" w:fill="FFFFFF"/>
          <w:lang w:val="en-US" w:eastAsia="zh-CN"/>
        </w:rPr>
      </w:pPr>
      <w:r>
        <w:rPr>
          <w:rFonts w:hint="eastAsia" w:ascii="仿宋_GB2312" w:hAnsi="sans-serif" w:eastAsia="仿宋_GB2312" w:cs="仿宋_GB2312"/>
          <w:color w:val="auto"/>
          <w:sz w:val="32"/>
          <w:szCs w:val="32"/>
          <w:shd w:val="clear" w:color="auto" w:fill="FFFFFF"/>
        </w:rPr>
        <w:t>下一步，省</w:t>
      </w:r>
      <w:r>
        <w:rPr>
          <w:rFonts w:hint="eastAsia" w:ascii="仿宋_GB2312" w:hAnsi="sans-serif" w:eastAsia="仿宋_GB2312" w:cs="仿宋_GB2312"/>
          <w:color w:val="auto"/>
          <w:sz w:val="32"/>
          <w:szCs w:val="32"/>
          <w:shd w:val="clear" w:color="auto" w:fill="FFFFFF"/>
          <w:lang w:val="en-US" w:eastAsia="zh-CN"/>
        </w:rPr>
        <w:t>能源局</w:t>
      </w:r>
      <w:r>
        <w:rPr>
          <w:rFonts w:hint="eastAsia" w:ascii="仿宋_GB2312" w:hAnsi="sans-serif" w:eastAsia="仿宋_GB2312" w:cs="仿宋_GB2312"/>
          <w:color w:val="auto"/>
          <w:sz w:val="32"/>
          <w:szCs w:val="32"/>
          <w:shd w:val="clear" w:color="auto" w:fill="FFFFFF"/>
        </w:rPr>
        <w:t>将根据国务院、省政府202</w:t>
      </w:r>
      <w:r>
        <w:rPr>
          <w:rFonts w:hint="eastAsia" w:ascii="仿宋_GB2312" w:hAnsi="sans-serif" w:eastAsia="仿宋_GB2312" w:cs="仿宋_GB2312"/>
          <w:color w:val="auto"/>
          <w:sz w:val="32"/>
          <w:szCs w:val="32"/>
          <w:shd w:val="clear" w:color="auto" w:fill="FFFFFF"/>
          <w:lang w:val="en-US" w:eastAsia="zh-CN"/>
        </w:rPr>
        <w:t>4</w:t>
      </w:r>
      <w:r>
        <w:rPr>
          <w:rFonts w:hint="eastAsia" w:ascii="仿宋_GB2312" w:hAnsi="sans-serif" w:eastAsia="仿宋_GB2312" w:cs="仿宋_GB2312"/>
          <w:color w:val="auto"/>
          <w:sz w:val="32"/>
          <w:szCs w:val="32"/>
          <w:shd w:val="clear" w:color="auto" w:fill="FFFFFF"/>
        </w:rPr>
        <w:t>年政务公开工作部署要求，以政务公开标准化法治化规范化建设为目标，</w:t>
      </w:r>
      <w:r>
        <w:rPr>
          <w:rFonts w:hint="eastAsia" w:ascii="仿宋_GB2312" w:hAnsi="sans-serif" w:eastAsia="仿宋_GB2312" w:cs="仿宋_GB2312"/>
          <w:color w:val="auto"/>
          <w:sz w:val="32"/>
          <w:szCs w:val="32"/>
          <w:shd w:val="clear" w:color="auto" w:fill="FFFFFF"/>
          <w:lang w:val="en-US" w:eastAsia="zh-CN"/>
        </w:rPr>
        <w:t>持续</w:t>
      </w:r>
      <w:r>
        <w:rPr>
          <w:rFonts w:hint="eastAsia" w:ascii="仿宋_GB2312" w:hAnsi="sans-serif" w:eastAsia="仿宋_GB2312" w:cs="仿宋_GB2312"/>
          <w:color w:val="auto"/>
          <w:sz w:val="32"/>
          <w:szCs w:val="32"/>
          <w:shd w:val="clear" w:color="auto" w:fill="FFFFFF"/>
        </w:rPr>
        <w:t>加大政策文件解读力度，推动政务公开工作取得新进步。</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方正小标宋简体" w:eastAsia="仿宋_GB2312"/>
          <w:color w:val="auto"/>
          <w:sz w:val="32"/>
          <w:szCs w:val="21"/>
          <w:lang w:eastAsia="zh-CN"/>
        </w:rPr>
      </w:pPr>
      <w:r>
        <w:rPr>
          <w:rFonts w:hint="eastAsia" w:ascii="楷体_GB2312" w:hAnsi="楷体_GB2312" w:eastAsia="楷体_GB2312" w:cs="楷体_GB2312"/>
          <w:color w:val="auto"/>
          <w:sz w:val="32"/>
          <w:szCs w:val="21"/>
          <w:lang w:eastAsia="zh-CN"/>
        </w:rPr>
        <w:t>（一）收取信息处理费的情况</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ascii="仿宋_GB2312" w:hAnsi="sans-serif" w:eastAsia="仿宋_GB2312" w:cs="仿宋_GB2312"/>
          <w:color w:val="auto"/>
          <w:sz w:val="32"/>
          <w:szCs w:val="32"/>
          <w:shd w:val="clear" w:color="auto" w:fill="FFFFFF"/>
        </w:rPr>
      </w:pPr>
      <w:r>
        <w:rPr>
          <w:rFonts w:hint="eastAsia" w:ascii="仿宋_GB2312" w:eastAsia="仿宋_GB2312" w:cs="仿宋_GB2312"/>
          <w:color w:val="auto"/>
          <w:sz w:val="32"/>
          <w:szCs w:val="32"/>
        </w:rPr>
        <w:t>严格执行</w:t>
      </w:r>
      <w:r>
        <w:rPr>
          <w:rFonts w:hint="default" w:ascii="仿宋_GB2312" w:eastAsia="仿宋_GB2312" w:cs="仿宋_GB2312"/>
          <w:color w:val="auto"/>
          <w:sz w:val="32"/>
          <w:szCs w:val="32"/>
        </w:rPr>
        <w:t>《政府信息公开信息处理费管理办法》，未收取信息处理费。</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楷体_GB2312" w:hAnsi="楷体_GB2312" w:eastAsia="楷体_GB2312" w:cs="楷体_GB2312"/>
          <w:color w:val="auto"/>
          <w:sz w:val="32"/>
          <w:szCs w:val="21"/>
          <w:lang w:eastAsia="zh-CN"/>
        </w:rPr>
      </w:pPr>
      <w:r>
        <w:rPr>
          <w:rFonts w:hint="eastAsia" w:ascii="楷体_GB2312" w:hAnsi="楷体_GB2312" w:eastAsia="楷体_GB2312" w:cs="楷体_GB2312"/>
          <w:color w:val="auto"/>
          <w:sz w:val="32"/>
          <w:szCs w:val="21"/>
          <w:lang w:eastAsia="zh-CN"/>
        </w:rPr>
        <w:t>（二）落实202</w:t>
      </w:r>
      <w:r>
        <w:rPr>
          <w:rFonts w:hint="eastAsia" w:ascii="楷体_GB2312" w:hAnsi="楷体_GB2312" w:eastAsia="楷体_GB2312" w:cs="楷体_GB2312"/>
          <w:color w:val="auto"/>
          <w:sz w:val="32"/>
          <w:szCs w:val="21"/>
          <w:lang w:val="en-US" w:eastAsia="zh-CN"/>
        </w:rPr>
        <w:t>3</w:t>
      </w:r>
      <w:r>
        <w:rPr>
          <w:rFonts w:hint="eastAsia" w:ascii="楷体_GB2312" w:hAnsi="楷体_GB2312" w:eastAsia="楷体_GB2312" w:cs="楷体_GB2312"/>
          <w:color w:val="auto"/>
          <w:sz w:val="32"/>
          <w:szCs w:val="21"/>
          <w:lang w:eastAsia="zh-CN"/>
        </w:rPr>
        <w:t>年山东省政务公开工作要点情况</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楷体_GB2312" w:hAnsi="楷体_GB2312" w:eastAsia="楷体_GB2312" w:cs="楷体_GB2312"/>
          <w:color w:val="auto"/>
          <w:sz w:val="32"/>
          <w:szCs w:val="21"/>
          <w:lang w:eastAsia="zh-CN"/>
        </w:rPr>
      </w:pPr>
      <w:r>
        <w:rPr>
          <w:rFonts w:hint="eastAsia" w:ascii="仿宋_GB2312" w:eastAsia="仿宋_GB2312" w:cs="仿宋_GB2312"/>
          <w:color w:val="auto"/>
          <w:sz w:val="32"/>
          <w:szCs w:val="32"/>
          <w:lang w:eastAsia="zh-CN"/>
        </w:rPr>
        <w:t>认真贯彻落实《202</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lang w:eastAsia="zh-CN"/>
        </w:rPr>
        <w:t>年山东省政务公开工作要点》，研究制定《</w:t>
      </w:r>
      <w:r>
        <w:rPr>
          <w:rFonts w:hint="eastAsia" w:ascii="仿宋_GB2312" w:hAnsi="仿宋_GB2312" w:eastAsia="仿宋_GB2312" w:cs="仿宋_GB2312"/>
          <w:color w:val="auto"/>
          <w:sz w:val="32"/>
          <w:szCs w:val="32"/>
          <w:lang w:val="en-US" w:eastAsia="zh-CN"/>
        </w:rPr>
        <w:t>2023年山东省能源局政务公开工作要点任务分解表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分解责任、</w:t>
      </w:r>
      <w:r>
        <w:rPr>
          <w:rFonts w:hint="eastAsia" w:ascii="仿宋_GB2312" w:eastAsia="仿宋_GB2312" w:cs="仿宋_GB2312"/>
          <w:color w:val="auto"/>
          <w:sz w:val="32"/>
          <w:szCs w:val="32"/>
          <w:lang w:eastAsia="zh-CN"/>
        </w:rPr>
        <w:t>台账管理、定期督查，确保各项任务落实到位。</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方正小标宋简体" w:eastAsia="仿宋_GB2312"/>
          <w:color w:val="auto"/>
          <w:sz w:val="32"/>
          <w:szCs w:val="21"/>
          <w:lang w:eastAsia="zh-CN"/>
        </w:rPr>
      </w:pPr>
      <w:r>
        <w:rPr>
          <w:rFonts w:hint="eastAsia" w:ascii="楷体_GB2312" w:hAnsi="楷体_GB2312" w:eastAsia="楷体_GB2312" w:cs="楷体_GB2312"/>
          <w:color w:val="auto"/>
          <w:sz w:val="32"/>
          <w:szCs w:val="21"/>
          <w:lang w:eastAsia="zh-CN"/>
        </w:rPr>
        <w:t>（</w:t>
      </w:r>
      <w:r>
        <w:rPr>
          <w:rFonts w:hint="eastAsia" w:ascii="楷体_GB2312" w:hAnsi="楷体_GB2312" w:eastAsia="楷体_GB2312" w:cs="楷体_GB2312"/>
          <w:color w:val="auto"/>
          <w:sz w:val="32"/>
          <w:szCs w:val="21"/>
          <w:lang w:val="en-US" w:eastAsia="zh-CN"/>
        </w:rPr>
        <w:t>三</w:t>
      </w:r>
      <w:r>
        <w:rPr>
          <w:rFonts w:hint="eastAsia" w:ascii="楷体_GB2312" w:hAnsi="楷体_GB2312" w:eastAsia="楷体_GB2312" w:cs="楷体_GB2312"/>
          <w:color w:val="auto"/>
          <w:sz w:val="32"/>
          <w:szCs w:val="21"/>
          <w:lang w:eastAsia="zh-CN"/>
        </w:rPr>
        <w:t>）本年度建议提案办理情况</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lang w:eastAsia="zh-CN"/>
        </w:rPr>
      </w:pPr>
      <w:r>
        <w:rPr>
          <w:rFonts w:hint="eastAsia" w:ascii="仿宋_GB2312" w:hAnsi="sans-serif" w:eastAsia="仿宋_GB2312" w:cs="仿宋_GB2312"/>
          <w:color w:val="auto"/>
          <w:sz w:val="32"/>
          <w:szCs w:val="32"/>
          <w:shd w:val="clear" w:color="auto" w:fill="FFFFFF"/>
          <w:lang w:eastAsia="zh-CN"/>
        </w:rPr>
        <w:t>全年共办理人大代表建议、政协委员提案77件，其中人大代表建议43件，政协委员提案34件，办结率和满意率均为100%。</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lang w:eastAsia="zh-CN"/>
        </w:rPr>
      </w:pPr>
      <w:r>
        <w:rPr>
          <w:rFonts w:hint="eastAsia" w:ascii="仿宋_GB2312" w:hAnsi="sans-serif" w:eastAsia="仿宋_GB2312" w:cs="仿宋_GB2312"/>
          <w:color w:val="auto"/>
          <w:sz w:val="32"/>
          <w:szCs w:val="32"/>
          <w:shd w:val="clear" w:color="auto" w:fill="FFFFFF"/>
          <w:lang w:eastAsia="zh-CN"/>
        </w:rPr>
        <w:t>办理情况详见本机关网站发布的相关信息，链接如下：</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lang w:eastAsia="zh-CN"/>
        </w:rPr>
      </w:pPr>
      <w:r>
        <w:rPr>
          <w:rFonts w:hint="eastAsia" w:ascii="仿宋_GB2312" w:hAnsi="sans-serif" w:eastAsia="仿宋_GB2312" w:cs="仿宋_GB2312"/>
          <w:color w:val="auto"/>
          <w:sz w:val="32"/>
          <w:szCs w:val="32"/>
          <w:u w:val="none"/>
          <w:shd w:val="clear" w:color="auto" w:fill="FFFFFF"/>
          <w:lang w:eastAsia="zh-CN"/>
        </w:rPr>
        <w:t>http://nyj.shandong.gov.cn/art/2023/11/19/art_100420_10301797.html?xxgkhide=1</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_GB2312" w:hAnsi="sans-serif" w:eastAsia="仿宋_GB2312" w:cs="仿宋_GB2312"/>
          <w:color w:val="auto"/>
          <w:sz w:val="32"/>
          <w:szCs w:val="32"/>
          <w:shd w:val="clear" w:color="auto" w:fill="FFFFFF"/>
          <w:lang w:eastAsia="zh-CN"/>
        </w:rPr>
      </w:pPr>
      <w:r>
        <w:rPr>
          <w:rFonts w:hint="eastAsia" w:ascii="仿宋_GB2312" w:hAnsi="sans-serif" w:eastAsia="仿宋_GB2312" w:cs="仿宋_GB2312"/>
          <w:color w:val="auto"/>
          <w:sz w:val="32"/>
          <w:szCs w:val="32"/>
          <w:shd w:val="clear" w:color="auto" w:fill="FFFFFF"/>
          <w:lang w:eastAsia="zh-CN"/>
        </w:rPr>
        <w:t>http://nyj.shandong.gov.cn/art/2023/10/31/art_100420_10301798.html?xxgkhide=1</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ascii="仿宋_GB2312" w:hAnsi="宋体" w:eastAsia="仿宋_GB2312" w:cs="仿宋_GB2312"/>
          <w:i w:val="0"/>
          <w:caps w:val="0"/>
          <w:color w:val="auto"/>
          <w:spacing w:val="0"/>
          <w:sz w:val="31"/>
          <w:szCs w:val="31"/>
        </w:rPr>
      </w:pPr>
      <w:r>
        <w:rPr>
          <w:rFonts w:hint="eastAsia" w:ascii="楷体_GB2312" w:hAnsi="楷体_GB2312" w:eastAsia="楷体_GB2312" w:cs="楷体_GB2312"/>
          <w:color w:val="auto"/>
          <w:sz w:val="32"/>
          <w:szCs w:val="21"/>
          <w:lang w:eastAsia="zh-CN"/>
        </w:rPr>
        <w:t>（</w:t>
      </w:r>
      <w:r>
        <w:rPr>
          <w:rFonts w:hint="eastAsia" w:ascii="楷体_GB2312" w:hAnsi="楷体_GB2312" w:eastAsia="楷体_GB2312" w:cs="楷体_GB2312"/>
          <w:color w:val="auto"/>
          <w:sz w:val="32"/>
          <w:szCs w:val="21"/>
          <w:lang w:val="en-US" w:eastAsia="zh-CN"/>
        </w:rPr>
        <w:t>四</w:t>
      </w:r>
      <w:r>
        <w:rPr>
          <w:rFonts w:hint="eastAsia" w:ascii="楷体_GB2312" w:hAnsi="楷体_GB2312" w:eastAsia="楷体_GB2312" w:cs="楷体_GB2312"/>
          <w:color w:val="auto"/>
          <w:sz w:val="32"/>
          <w:szCs w:val="21"/>
          <w:lang w:eastAsia="zh-CN"/>
        </w:rPr>
        <w:t>）政务公开工作创新情况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依托门户网站本级“山东省政策文件库”，率先打造“行政规范性文件专栏”。专栏首页以列表形式展示文件标题、发文机关、有效性、发文日期等内容。文件公开页面文档信息栏清晰展示索引号、主题分类、成文日期、发布日期、发布机关、统一编号、标题、发文字号、有效性等要素，右边栏互联政策解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left"/>
        <w:textAlignment w:val="auto"/>
        <w:rPr>
          <w:color w:val="auto"/>
        </w:rPr>
      </w:pPr>
      <w:r>
        <w:rPr>
          <w:rFonts w:hint="eastAsia" w:ascii="仿宋_GB2312" w:hAnsi="方正小标宋简体" w:eastAsia="仿宋_GB2312"/>
          <w:sz w:val="32"/>
          <w:szCs w:val="32"/>
          <w:lang w:val="en-US" w:eastAsia="zh-CN"/>
        </w:rPr>
        <w:t>2.围绕</w:t>
      </w:r>
      <w:r>
        <w:rPr>
          <w:rFonts w:hint="eastAsia" w:ascii="仿宋_GB2312" w:hAnsi="仿宋_GB2312" w:eastAsia="仿宋_GB2312" w:cs="仿宋_GB2312"/>
          <w:b w:val="0"/>
          <w:bCs w:val="0"/>
          <w:sz w:val="32"/>
          <w:szCs w:val="32"/>
          <w:lang w:val="en-US" w:eastAsia="zh-CN"/>
        </w:rPr>
        <w:t>配建储能、分布式光伏、成品油管道、景区游客电动汽车充电等问题，</w:t>
      </w:r>
      <w:r>
        <w:rPr>
          <w:rFonts w:hint="eastAsia" w:ascii="仿宋_GB2312" w:hAnsi="方正小标宋简体" w:eastAsia="仿宋_GB2312"/>
          <w:sz w:val="32"/>
          <w:szCs w:val="32"/>
          <w:lang w:val="en-US" w:eastAsia="zh-CN"/>
        </w:rPr>
        <w:t>以电视问政形式，公开向社会和群众解答疑惑、作出答复。</w:t>
      </w:r>
      <w:r>
        <w:rPr>
          <w:rFonts w:hint="eastAsia" w:ascii="仿宋_GB2312" w:hAnsi="仿宋_GB2312" w:eastAsia="仿宋_GB2312" w:cs="仿宋_GB2312"/>
          <w:sz w:val="32"/>
          <w:szCs w:val="32"/>
          <w:lang w:val="en-US" w:eastAsia="zh-CN"/>
        </w:rPr>
        <w:t>通过网站专栏、座谈会、电子邮件等途径，开展政策评价4次，评价专栏融合“山东省统一身份认证平台”，让问题反馈更便捷、公众参与渠道更通畅。</w:t>
      </w:r>
    </w:p>
    <w:sectPr>
      <w:pgSz w:w="11906" w:h="16838"/>
      <w:pgMar w:top="2098" w:right="1474" w:bottom="1984" w:left="1588" w:header="851" w:footer="992"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F629"/>
    <w:multiLevelType w:val="singleLevel"/>
    <w:tmpl w:val="830DF6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M2E0NjRhOTM5MzljMzc0M2E1NGNiZGEzN2I2ZTUifQ=="/>
  </w:docVars>
  <w:rsids>
    <w:rsidRoot w:val="005058B7"/>
    <w:rsid w:val="005058B7"/>
    <w:rsid w:val="009A6905"/>
    <w:rsid w:val="00C956C2"/>
    <w:rsid w:val="00E40325"/>
    <w:rsid w:val="00F03D7A"/>
    <w:rsid w:val="045C197D"/>
    <w:rsid w:val="051A0D14"/>
    <w:rsid w:val="0557167D"/>
    <w:rsid w:val="09F613E0"/>
    <w:rsid w:val="0EF7250F"/>
    <w:rsid w:val="0FE2228B"/>
    <w:rsid w:val="1170491F"/>
    <w:rsid w:val="12617F82"/>
    <w:rsid w:val="13E9022F"/>
    <w:rsid w:val="148368D6"/>
    <w:rsid w:val="15A9411A"/>
    <w:rsid w:val="16C46D32"/>
    <w:rsid w:val="1A144EF9"/>
    <w:rsid w:val="1A6844DB"/>
    <w:rsid w:val="1C9D47B1"/>
    <w:rsid w:val="2094615C"/>
    <w:rsid w:val="210E07A3"/>
    <w:rsid w:val="21AC2C88"/>
    <w:rsid w:val="228D583F"/>
    <w:rsid w:val="27716A93"/>
    <w:rsid w:val="28101DD7"/>
    <w:rsid w:val="2B1157DF"/>
    <w:rsid w:val="2DCF44E2"/>
    <w:rsid w:val="2E224612"/>
    <w:rsid w:val="38F2006E"/>
    <w:rsid w:val="3D1B32A0"/>
    <w:rsid w:val="3D702A67"/>
    <w:rsid w:val="3D873286"/>
    <w:rsid w:val="3EAD6F7F"/>
    <w:rsid w:val="41240303"/>
    <w:rsid w:val="43A22025"/>
    <w:rsid w:val="481132D5"/>
    <w:rsid w:val="48DA4254"/>
    <w:rsid w:val="4B983D0E"/>
    <w:rsid w:val="4C4022D8"/>
    <w:rsid w:val="4CA80FDC"/>
    <w:rsid w:val="50C62D41"/>
    <w:rsid w:val="52276F33"/>
    <w:rsid w:val="55CA6AB7"/>
    <w:rsid w:val="56BC6B02"/>
    <w:rsid w:val="5A2E63F6"/>
    <w:rsid w:val="5F433EA1"/>
    <w:rsid w:val="6131633F"/>
    <w:rsid w:val="69AA45D8"/>
    <w:rsid w:val="6BC63A7A"/>
    <w:rsid w:val="6E9B675A"/>
    <w:rsid w:val="6EAC7AE7"/>
    <w:rsid w:val="6F363D12"/>
    <w:rsid w:val="72623E2A"/>
    <w:rsid w:val="741D6F5B"/>
    <w:rsid w:val="749E5B99"/>
    <w:rsid w:val="76DC4E7F"/>
    <w:rsid w:val="781E7F9F"/>
    <w:rsid w:val="784A1B96"/>
    <w:rsid w:val="7C3B470B"/>
    <w:rsid w:val="7E867872"/>
    <w:rsid w:val="7FD34D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99"/>
    <w:pPr>
      <w:ind w:left="114"/>
    </w:pPr>
    <w:rPr>
      <w:sz w:val="32"/>
      <w:szCs w:val="32"/>
    </w:rPr>
  </w:style>
  <w:style w:type="paragraph" w:styleId="4">
    <w:name w:val="Balloon Text"/>
    <w:basedOn w:val="1"/>
    <w:link w:val="9"/>
    <w:autoRedefine/>
    <w:qFormat/>
    <w:uiPriority w:val="0"/>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Hyperlink"/>
    <w:basedOn w:val="7"/>
    <w:uiPriority w:val="0"/>
    <w:rPr>
      <w:color w:val="0000FF"/>
      <w:u w:val="single"/>
    </w:rPr>
  </w:style>
  <w:style w:type="character" w:customStyle="1" w:styleId="9">
    <w:name w:val="批注框文本 字符"/>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3088</Words>
  <Characters>3235</Characters>
  <Lines>25</Lines>
  <Paragraphs>7</Paragraphs>
  <TotalTime>1091</TotalTime>
  <ScaleCrop>false</ScaleCrop>
  <LinksUpToDate>false</LinksUpToDate>
  <CharactersWithSpaces>3239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2021-05-18T07:39:00Z</dcterms:created>
  <dc:creator>YX</dc:creator>
  <cp:lastModifiedBy>段文奇</cp:lastModifiedBy>
  <cp:lastPrinted>2024-01-22T01:07:12Z</cp:lastPrinted>
  <dcterms:modified xsi:type="dcterms:W3CDTF">2024-01-24T09:51:51Z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8C6120CB6B824CE9992C288417E901BD_13</vt:lpwstr>
  </property>
</Properties>
</file>